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color w:val="auto"/>
          <w:highlight w:val="none"/>
        </w:rPr>
      </w:pPr>
      <w:bookmarkStart w:id="0" w:name="OLE_LINK1"/>
    </w:p>
    <w:p>
      <w:pPr>
        <w:keepNext w:val="0"/>
        <w:keepLines w:val="0"/>
        <w:pageBreakBefore w:val="0"/>
        <w:widowControl w:val="0"/>
        <w:kinsoku/>
        <w:wordWrap/>
        <w:overflowPunct/>
        <w:topLinePunct w:val="0"/>
        <w:autoSpaceDE/>
        <w:autoSpaceDN/>
        <w:bidi w:val="0"/>
        <w:adjustRightInd/>
        <w:snapToGrid w:val="0"/>
        <w:spacing w:before="313" w:beforeLines="100" w:after="313" w:afterLines="100" w:line="700" w:lineRule="exact"/>
        <w:jc w:val="center"/>
        <w:textAlignment w:val="auto"/>
        <w:rPr>
          <w:rFonts w:hint="default" w:eastAsia="宋体"/>
          <w:color w:val="auto"/>
          <w:sz w:val="20"/>
          <w:szCs w:val="22"/>
          <w:highlight w:val="none"/>
          <w:lang w:val="en-US" w:eastAsia="zh-CN"/>
        </w:rPr>
      </w:pPr>
      <w:r>
        <w:rPr>
          <w:rFonts w:hint="eastAsia" w:ascii="宋体" w:hAnsi="宋体" w:eastAsia="宋体" w:cs="宋体"/>
          <w:b/>
          <w:bCs/>
          <w:color w:val="auto"/>
          <w:w w:val="85"/>
          <w:sz w:val="40"/>
          <w:szCs w:val="40"/>
          <w:highlight w:val="none"/>
        </w:rPr>
        <w:t>滁州市城泊车辆服务有限公司公共停车场保洁服务项目</w:t>
      </w:r>
      <w:r>
        <w:rPr>
          <w:rFonts w:hint="eastAsia" w:ascii="宋体" w:hAnsi="宋体" w:cs="宋体"/>
          <w:b/>
          <w:bCs/>
          <w:color w:val="auto"/>
          <w:w w:val="85"/>
          <w:sz w:val="40"/>
          <w:szCs w:val="40"/>
          <w:highlight w:val="none"/>
          <w:lang w:eastAsia="zh-CN"/>
        </w:rPr>
        <w:t>（</w:t>
      </w:r>
      <w:r>
        <w:rPr>
          <w:rFonts w:hint="eastAsia" w:ascii="宋体" w:hAnsi="宋体" w:cs="宋体"/>
          <w:b/>
          <w:bCs/>
          <w:color w:val="auto"/>
          <w:w w:val="85"/>
          <w:sz w:val="40"/>
          <w:szCs w:val="40"/>
          <w:highlight w:val="none"/>
          <w:lang w:val="en-US" w:eastAsia="zh-CN"/>
        </w:rPr>
        <w:t>三次）</w:t>
      </w:r>
    </w:p>
    <w:p>
      <w:pPr>
        <w:spacing w:after="156" w:afterLines="50"/>
        <w:ind w:left="-850" w:leftChars="-405" w:right="-625"/>
        <w:jc w:val="center"/>
        <w:rPr>
          <w:rFonts w:hint="eastAsia"/>
          <w:color w:val="auto"/>
          <w:sz w:val="24"/>
          <w:highlight w:val="none"/>
        </w:rPr>
      </w:pPr>
    </w:p>
    <w:p>
      <w:pPr>
        <w:rPr>
          <w:rFonts w:hint="eastAsia" w:ascii="宋体"/>
          <w:bCs/>
          <w:color w:val="auto"/>
          <w:szCs w:val="21"/>
          <w:highlight w:val="none"/>
        </w:rPr>
      </w:pPr>
    </w:p>
    <w:p>
      <w:pPr>
        <w:rPr>
          <w:rFonts w:hint="eastAsia" w:ascii="宋体"/>
          <w:bCs/>
          <w:color w:val="auto"/>
          <w:szCs w:val="21"/>
          <w:highlight w:val="none"/>
        </w:rPr>
      </w:pPr>
    </w:p>
    <w:p>
      <w:pPr>
        <w:spacing w:line="360" w:lineRule="auto"/>
        <w:jc w:val="center"/>
        <w:rPr>
          <w:rFonts w:hint="eastAsia" w:ascii="宋体" w:hAnsi="宋体" w:cs="宋体"/>
          <w:bCs/>
          <w:color w:val="auto"/>
          <w:sz w:val="96"/>
          <w:szCs w:val="96"/>
          <w:highlight w:val="none"/>
        </w:rPr>
      </w:pPr>
      <w:r>
        <w:rPr>
          <w:rFonts w:hint="eastAsia" w:ascii="宋体" w:hAnsi="宋体" w:cs="宋体"/>
          <w:b/>
          <w:color w:val="auto"/>
          <w:sz w:val="96"/>
          <w:szCs w:val="96"/>
          <w:highlight w:val="none"/>
        </w:rPr>
        <w:t>招 标 文 件</w:t>
      </w:r>
    </w:p>
    <w:p>
      <w:pPr>
        <w:rPr>
          <w:rFonts w:hint="eastAsia" w:ascii="宋体" w:hAnsi="宋体"/>
          <w:b/>
          <w:color w:val="auto"/>
          <w:sz w:val="84"/>
          <w:szCs w:val="84"/>
          <w:highlight w:val="none"/>
        </w:rPr>
      </w:pPr>
    </w:p>
    <w:p>
      <w:pPr>
        <w:pStyle w:val="2"/>
        <w:rPr>
          <w:rFonts w:hint="eastAsia"/>
          <w:color w:val="auto"/>
          <w:highlight w:val="none"/>
        </w:rPr>
      </w:pPr>
    </w:p>
    <w:p>
      <w:pPr>
        <w:rPr>
          <w:rFonts w:hint="eastAsia"/>
          <w:color w:val="auto"/>
          <w:highlight w:val="none"/>
        </w:rPr>
      </w:pPr>
    </w:p>
    <w:p>
      <w:pPr>
        <w:rPr>
          <w:rFonts w:hint="eastAsia" w:ascii="宋体"/>
          <w:color w:val="auto"/>
          <w:sz w:val="28"/>
          <w:szCs w:val="28"/>
          <w:highlight w:val="none"/>
        </w:rPr>
      </w:pPr>
    </w:p>
    <w:p>
      <w:pPr>
        <w:pStyle w:val="21"/>
        <w:rPr>
          <w:rFonts w:hint="eastAsia"/>
          <w:color w:val="auto"/>
          <w:highlight w:val="none"/>
        </w:rPr>
      </w:pPr>
    </w:p>
    <w:p>
      <w:pPr>
        <w:rPr>
          <w:rFonts w:hint="eastAsia" w:ascii="宋体"/>
          <w:b/>
          <w:color w:val="auto"/>
          <w:sz w:val="32"/>
          <w:szCs w:val="32"/>
          <w:highlight w:val="none"/>
        </w:rPr>
      </w:pPr>
    </w:p>
    <w:p>
      <w:pPr>
        <w:pStyle w:val="2"/>
        <w:rPr>
          <w:rFonts w:hint="eastAsia"/>
          <w:color w:val="auto"/>
        </w:rPr>
      </w:pPr>
    </w:p>
    <w:p>
      <w:pPr>
        <w:pStyle w:val="27"/>
        <w:rPr>
          <w:rFonts w:hint="eastAsia"/>
          <w:color w:val="auto"/>
        </w:rPr>
      </w:pPr>
    </w:p>
    <w:p>
      <w:pPr>
        <w:pStyle w:val="27"/>
        <w:rPr>
          <w:rFonts w:hint="eastAsia"/>
          <w:color w:val="auto"/>
        </w:rPr>
      </w:pPr>
    </w:p>
    <w:p>
      <w:pPr>
        <w:pStyle w:val="27"/>
        <w:rPr>
          <w:rFonts w:hint="eastAsia"/>
          <w:color w:val="auto"/>
        </w:rPr>
      </w:pPr>
    </w:p>
    <w:p>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rPr>
      </w:pPr>
      <w:r>
        <w:rPr>
          <w:rFonts w:hint="eastAsia" w:ascii="宋体"/>
          <w:b/>
          <w:color w:val="auto"/>
          <w:sz w:val="32"/>
          <w:szCs w:val="32"/>
          <w:highlight w:val="none"/>
          <w:lang w:val="en-US" w:eastAsia="zh-CN"/>
        </w:rPr>
        <w:t>招</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标</w:t>
      </w:r>
      <w:r>
        <w:rPr>
          <w:rFonts w:hint="eastAsia" w:ascii="宋体"/>
          <w:b/>
          <w:color w:val="auto"/>
          <w:sz w:val="32"/>
          <w:szCs w:val="32"/>
          <w:highlight w:val="none"/>
        </w:rPr>
        <w:t xml:space="preserve">   人</w:t>
      </w:r>
      <w:r>
        <w:rPr>
          <w:rFonts w:hint="eastAsia" w:ascii="宋体"/>
          <w:b/>
          <w:color w:val="auto"/>
          <w:sz w:val="32"/>
          <w:szCs w:val="32"/>
          <w:highlight w:val="none"/>
          <w:u w:val="none"/>
          <w:lang w:eastAsia="zh-CN"/>
        </w:rPr>
        <w:t>：</w:t>
      </w:r>
      <w:r>
        <w:rPr>
          <w:rFonts w:hint="eastAsia" w:ascii="宋体"/>
          <w:b/>
          <w:color w:val="auto"/>
          <w:sz w:val="32"/>
          <w:szCs w:val="32"/>
          <w:highlight w:val="none"/>
          <w:u w:val="single"/>
          <w:lang w:val="en-US" w:eastAsia="zh-CN"/>
        </w:rPr>
        <w:t xml:space="preserve">  </w:t>
      </w:r>
      <w:r>
        <w:rPr>
          <w:rFonts w:hint="eastAsia" w:ascii="宋体"/>
          <w:b/>
          <w:color w:val="auto"/>
          <w:sz w:val="32"/>
          <w:szCs w:val="32"/>
          <w:highlight w:val="none"/>
          <w:u w:val="single"/>
          <w:lang w:eastAsia="zh-CN"/>
        </w:rPr>
        <w:t>滁州市城泊车辆服务有限公司</w:t>
      </w:r>
      <w:r>
        <w:rPr>
          <w:rFonts w:hint="eastAsia" w:ascii="宋体"/>
          <w:b/>
          <w:color w:val="auto"/>
          <w:sz w:val="32"/>
          <w:szCs w:val="32"/>
          <w:highlight w:val="none"/>
          <w:u w:val="single"/>
          <w:lang w:val="en-US" w:eastAsia="zh-CN"/>
        </w:rPr>
        <w:t xml:space="preserve"> </w:t>
      </w:r>
      <w:r>
        <w:rPr>
          <w:rFonts w:hint="eastAsia" w:ascii="宋体"/>
          <w:b/>
          <w:color w:val="auto"/>
          <w:sz w:val="32"/>
          <w:szCs w:val="32"/>
          <w:highlight w:val="none"/>
        </w:rPr>
        <w:t>（盖单位章）</w:t>
      </w:r>
    </w:p>
    <w:p>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b/>
          <w:color w:val="auto"/>
          <w:sz w:val="32"/>
          <w:szCs w:val="32"/>
          <w:highlight w:val="none"/>
          <w:u w:val="single"/>
        </w:rPr>
      </w:pPr>
      <w:r>
        <w:rPr>
          <w:rFonts w:hint="eastAsia" w:ascii="宋体"/>
          <w:b/>
          <w:color w:val="auto"/>
          <w:sz w:val="32"/>
          <w:szCs w:val="32"/>
          <w:highlight w:val="none"/>
          <w:lang w:val="en-US" w:eastAsia="zh-CN"/>
        </w:rPr>
        <w:t>招标</w:t>
      </w:r>
      <w:r>
        <w:rPr>
          <w:rFonts w:hint="eastAsia" w:ascii="宋体"/>
          <w:b/>
          <w:color w:val="auto"/>
          <w:sz w:val="32"/>
          <w:szCs w:val="32"/>
          <w:highlight w:val="none"/>
        </w:rPr>
        <w:t>代理机构：</w:t>
      </w:r>
      <w:r>
        <w:rPr>
          <w:rFonts w:hint="eastAsia" w:ascii="宋体"/>
          <w:b/>
          <w:color w:val="auto"/>
          <w:sz w:val="32"/>
          <w:szCs w:val="32"/>
          <w:highlight w:val="none"/>
          <w:u w:val="single"/>
          <w:lang w:eastAsia="zh-CN"/>
        </w:rPr>
        <w:t>滁州市城投工程咨询管理有限公司</w:t>
      </w:r>
      <w:r>
        <w:rPr>
          <w:rFonts w:hint="eastAsia" w:ascii="宋体"/>
          <w:b/>
          <w:color w:val="auto"/>
          <w:sz w:val="32"/>
          <w:szCs w:val="32"/>
          <w:highlight w:val="none"/>
        </w:rPr>
        <w:t>（盖单位章）</w:t>
      </w:r>
    </w:p>
    <w:p>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宋体"/>
          <w:b/>
          <w:color w:val="auto"/>
          <w:sz w:val="32"/>
          <w:szCs w:val="32"/>
          <w:highlight w:val="none"/>
        </w:rPr>
      </w:pPr>
      <w:r>
        <w:rPr>
          <w:rFonts w:hint="eastAsia" w:ascii="宋体"/>
          <w:b/>
          <w:color w:val="auto"/>
          <w:sz w:val="32"/>
          <w:szCs w:val="32"/>
          <w:highlight w:val="none"/>
          <w:u w:val="single"/>
        </w:rPr>
        <w:t>202</w:t>
      </w:r>
      <w:r>
        <w:rPr>
          <w:rFonts w:hint="eastAsia" w:ascii="宋体"/>
          <w:b/>
          <w:color w:val="auto"/>
          <w:sz w:val="32"/>
          <w:szCs w:val="32"/>
          <w:highlight w:val="none"/>
          <w:u w:val="single"/>
          <w:lang w:val="en-US" w:eastAsia="zh-CN"/>
        </w:rPr>
        <w:t>4</w:t>
      </w:r>
      <w:r>
        <w:rPr>
          <w:rFonts w:hint="eastAsia" w:ascii="宋体"/>
          <w:b/>
          <w:color w:val="auto"/>
          <w:sz w:val="32"/>
          <w:szCs w:val="32"/>
          <w:highlight w:val="none"/>
        </w:rPr>
        <w:t>年</w:t>
      </w:r>
      <w:r>
        <w:rPr>
          <w:rFonts w:hint="eastAsia" w:ascii="宋体"/>
          <w:b/>
          <w:color w:val="auto"/>
          <w:sz w:val="32"/>
          <w:szCs w:val="32"/>
          <w:highlight w:val="none"/>
          <w:u w:val="single"/>
        </w:rPr>
        <w:t xml:space="preserve"> </w:t>
      </w:r>
      <w:r>
        <w:rPr>
          <w:rFonts w:hint="eastAsia" w:ascii="宋体"/>
          <w:b/>
          <w:color w:val="auto"/>
          <w:sz w:val="32"/>
          <w:szCs w:val="32"/>
          <w:highlight w:val="none"/>
          <w:u w:val="single"/>
          <w:lang w:val="en-US" w:eastAsia="zh-CN"/>
        </w:rPr>
        <w:t xml:space="preserve">2 </w:t>
      </w:r>
      <w:r>
        <w:rPr>
          <w:rFonts w:hint="eastAsia" w:ascii="宋体"/>
          <w:b/>
          <w:color w:val="auto"/>
          <w:sz w:val="32"/>
          <w:szCs w:val="32"/>
          <w:highlight w:val="none"/>
        </w:rPr>
        <w:t>月</w:t>
      </w:r>
    </w:p>
    <w:p>
      <w:pPr>
        <w:spacing w:line="360" w:lineRule="exact"/>
        <w:rPr>
          <w:rFonts w:hint="eastAsia"/>
          <w:b/>
          <w:color w:val="auto"/>
          <w:sz w:val="36"/>
          <w:highlight w:val="none"/>
        </w:rPr>
      </w:pPr>
    </w:p>
    <w:p>
      <w:pPr>
        <w:spacing w:line="360" w:lineRule="exact"/>
        <w:jc w:val="center"/>
        <w:rPr>
          <w:rFonts w:hint="eastAsia"/>
          <w:b/>
          <w:color w:val="auto"/>
          <w:sz w:val="36"/>
          <w:highlight w:val="none"/>
        </w:rPr>
      </w:pPr>
      <w:r>
        <w:rPr>
          <w:rFonts w:hint="eastAsia"/>
          <w:b/>
          <w:color w:val="auto"/>
          <w:sz w:val="36"/>
          <w:highlight w:val="none"/>
        </w:rPr>
        <w:br w:type="page"/>
      </w:r>
    </w:p>
    <w:p>
      <w:pPr>
        <w:spacing w:line="360" w:lineRule="exact"/>
        <w:jc w:val="center"/>
        <w:rPr>
          <w:rFonts w:hint="eastAsia"/>
          <w:b/>
          <w:color w:val="auto"/>
          <w:sz w:val="36"/>
          <w:highlight w:val="none"/>
        </w:rPr>
      </w:pPr>
      <w:r>
        <w:rPr>
          <w:rFonts w:hint="eastAsia"/>
          <w:b/>
          <w:color w:val="auto"/>
          <w:sz w:val="36"/>
          <w:highlight w:val="none"/>
        </w:rPr>
        <w:t>目  录</w:t>
      </w:r>
    </w:p>
    <w:p>
      <w:pPr>
        <w:spacing w:line="360" w:lineRule="exact"/>
        <w:jc w:val="center"/>
        <w:rPr>
          <w:rFonts w:hint="eastAsia"/>
          <w:b/>
          <w:color w:val="auto"/>
          <w:sz w:val="36"/>
          <w:highlight w:val="none"/>
        </w:rPr>
      </w:pPr>
    </w:p>
    <w:p>
      <w:pPr>
        <w:pStyle w:val="25"/>
        <w:tabs>
          <w:tab w:val="right" w:leader="dot" w:pos="8296"/>
        </w:tabs>
        <w:spacing w:before="156" w:beforeLines="50" w:after="156" w:afterLines="50" w:line="500" w:lineRule="exact"/>
        <w:rPr>
          <w:rFonts w:ascii="宋体" w:hAnsi="宋体"/>
          <w:b/>
          <w:color w:val="auto"/>
          <w:sz w:val="24"/>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TOC \o "1-3" \h \z \u </w:instrText>
      </w:r>
      <w:r>
        <w:rPr>
          <w:rFonts w:hint="eastAsia" w:ascii="宋体" w:hAnsi="宋体" w:cs="宋体"/>
          <w:color w:val="auto"/>
          <w:sz w:val="24"/>
          <w:highlight w:val="none"/>
        </w:rPr>
        <w:fldChar w:fldCharType="separate"/>
      </w:r>
      <w:r>
        <w:rPr>
          <w:rFonts w:ascii="宋体" w:hAnsi="宋体"/>
          <w:color w:val="auto"/>
          <w:sz w:val="24"/>
          <w:highlight w:val="none"/>
        </w:rPr>
        <w:fldChar w:fldCharType="begin"/>
      </w:r>
      <w:r>
        <w:rPr>
          <w:rStyle w:val="45"/>
          <w:rFonts w:ascii="宋体" w:hAnsi="宋体"/>
          <w:color w:val="auto"/>
          <w:sz w:val="24"/>
          <w:highlight w:val="none"/>
        </w:rPr>
        <w:instrText xml:space="preserve"> </w:instrText>
      </w:r>
      <w:r>
        <w:rPr>
          <w:rFonts w:ascii="宋体" w:hAnsi="宋体"/>
          <w:color w:val="auto"/>
          <w:sz w:val="24"/>
          <w:highlight w:val="none"/>
        </w:rPr>
        <w:instrText xml:space="preserve">HYPERLINK \l "_Toc58430304"</w:instrText>
      </w:r>
      <w:r>
        <w:rPr>
          <w:rStyle w:val="45"/>
          <w:rFonts w:ascii="宋体" w:hAnsi="宋体"/>
          <w:color w:val="auto"/>
          <w:sz w:val="24"/>
          <w:highlight w:val="none"/>
        </w:rPr>
        <w:instrText xml:space="preserve"> </w:instrText>
      </w:r>
      <w:r>
        <w:rPr>
          <w:rFonts w:ascii="宋体" w:hAnsi="宋体"/>
          <w:color w:val="auto"/>
          <w:sz w:val="24"/>
          <w:highlight w:val="none"/>
        </w:rPr>
        <w:fldChar w:fldCharType="separate"/>
      </w:r>
      <w:r>
        <w:rPr>
          <w:rStyle w:val="45"/>
          <w:rFonts w:hint="eastAsia" w:ascii="宋体" w:hAnsi="宋体"/>
          <w:b/>
          <w:color w:val="auto"/>
          <w:sz w:val="24"/>
          <w:highlight w:val="none"/>
        </w:rPr>
        <w:t>第一章</w:t>
      </w:r>
      <w:r>
        <w:rPr>
          <w:rStyle w:val="45"/>
          <w:rFonts w:ascii="宋体" w:hAnsi="宋体"/>
          <w:b/>
          <w:color w:val="auto"/>
          <w:sz w:val="24"/>
          <w:highlight w:val="none"/>
        </w:rPr>
        <w:t xml:space="preserve"> </w:t>
      </w:r>
      <w:r>
        <w:rPr>
          <w:rStyle w:val="45"/>
          <w:rFonts w:hint="eastAsia" w:ascii="宋体" w:hAnsi="宋体"/>
          <w:b/>
          <w:color w:val="auto"/>
          <w:sz w:val="24"/>
          <w:highlight w:val="none"/>
          <w:lang w:val="en-US" w:eastAsia="zh-CN"/>
        </w:rPr>
        <w:t>招标公告</w:t>
      </w:r>
      <w:r>
        <w:rPr>
          <w:rFonts w:ascii="宋体" w:hAnsi="宋体"/>
          <w:b/>
          <w:color w:val="auto"/>
          <w:sz w:val="24"/>
          <w:highlight w:val="none"/>
        </w:rPr>
        <w:tab/>
      </w:r>
      <w:r>
        <w:rPr>
          <w:rFonts w:hint="eastAsia" w:ascii="宋体" w:hAnsi="宋体"/>
          <w:b/>
          <w:color w:val="auto"/>
          <w:sz w:val="24"/>
          <w:highlight w:val="none"/>
          <w:lang w:val="en-US" w:eastAsia="zh-CN"/>
        </w:rPr>
        <w:t>1</w:t>
      </w:r>
      <w:r>
        <w:rPr>
          <w:rFonts w:ascii="宋体" w:hAnsi="宋体"/>
          <w:b/>
          <w:color w:val="auto"/>
          <w:sz w:val="24"/>
          <w:highlight w:val="none"/>
        </w:rPr>
        <w:fldChar w:fldCharType="end"/>
      </w:r>
    </w:p>
    <w:p>
      <w:pPr>
        <w:pStyle w:val="25"/>
        <w:tabs>
          <w:tab w:val="right" w:leader="dot" w:pos="8296"/>
        </w:tabs>
        <w:spacing w:before="156" w:beforeLines="50" w:after="156" w:afterLines="50" w:line="500" w:lineRule="exact"/>
        <w:rPr>
          <w:rFonts w:hint="eastAsia" w:ascii="宋体" w:hAnsi="宋体" w:eastAsia="宋体"/>
          <w:b/>
          <w:color w:val="auto"/>
          <w:sz w:val="24"/>
          <w:highlight w:val="none"/>
          <w:lang w:eastAsia="zh-CN"/>
        </w:rPr>
      </w:pPr>
      <w:r>
        <w:rPr>
          <w:rFonts w:ascii="宋体" w:hAnsi="宋体"/>
          <w:b/>
          <w:color w:val="auto"/>
          <w:sz w:val="24"/>
          <w:highlight w:val="none"/>
        </w:rPr>
        <w:fldChar w:fldCharType="begin"/>
      </w:r>
      <w:r>
        <w:rPr>
          <w:rStyle w:val="45"/>
          <w:rFonts w:ascii="宋体" w:hAnsi="宋体"/>
          <w:b/>
          <w:color w:val="auto"/>
          <w:sz w:val="24"/>
          <w:highlight w:val="none"/>
        </w:rPr>
        <w:instrText xml:space="preserve"> </w:instrText>
      </w:r>
      <w:r>
        <w:rPr>
          <w:rFonts w:ascii="宋体" w:hAnsi="宋体"/>
          <w:b/>
          <w:color w:val="auto"/>
          <w:sz w:val="24"/>
          <w:highlight w:val="none"/>
        </w:rPr>
        <w:instrText xml:space="preserve">HYPERLINK \l "_Toc58430313"</w:instrText>
      </w:r>
      <w:r>
        <w:rPr>
          <w:rStyle w:val="45"/>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5"/>
          <w:rFonts w:hint="eastAsia" w:ascii="宋体" w:hAnsi="宋体"/>
          <w:b/>
          <w:color w:val="auto"/>
          <w:sz w:val="24"/>
          <w:highlight w:val="none"/>
        </w:rPr>
        <w:t>第二章</w:t>
      </w:r>
      <w:r>
        <w:rPr>
          <w:rStyle w:val="45"/>
          <w:rFonts w:ascii="宋体" w:hAnsi="宋体"/>
          <w:b/>
          <w:color w:val="auto"/>
          <w:sz w:val="24"/>
          <w:highlight w:val="none"/>
        </w:rPr>
        <w:t xml:space="preserve"> </w:t>
      </w:r>
      <w:r>
        <w:rPr>
          <w:rStyle w:val="45"/>
          <w:rFonts w:hint="eastAsia" w:ascii="宋体" w:hAnsi="宋体"/>
          <w:b/>
          <w:color w:val="auto"/>
          <w:sz w:val="24"/>
          <w:highlight w:val="none"/>
        </w:rPr>
        <w:t>投标人须知</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4</w:t>
      </w:r>
    </w:p>
    <w:p>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5"/>
          <w:rFonts w:ascii="宋体" w:hAnsi="宋体"/>
          <w:b/>
          <w:color w:val="auto"/>
          <w:sz w:val="24"/>
          <w:highlight w:val="none"/>
        </w:rPr>
        <w:instrText xml:space="preserve"> </w:instrText>
      </w:r>
      <w:r>
        <w:rPr>
          <w:rFonts w:ascii="宋体" w:hAnsi="宋体"/>
          <w:b/>
          <w:color w:val="auto"/>
          <w:sz w:val="24"/>
          <w:highlight w:val="none"/>
        </w:rPr>
        <w:instrText xml:space="preserve">HYPERLINK \l "_Toc58430316"</w:instrText>
      </w:r>
      <w:r>
        <w:rPr>
          <w:rStyle w:val="45"/>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5"/>
          <w:rFonts w:hint="eastAsia" w:ascii="宋体" w:hAnsi="宋体"/>
          <w:b/>
          <w:color w:val="auto"/>
          <w:sz w:val="24"/>
          <w:highlight w:val="none"/>
        </w:rPr>
        <w:t>第三章</w:t>
      </w:r>
      <w:r>
        <w:rPr>
          <w:rStyle w:val="45"/>
          <w:rFonts w:ascii="宋体" w:hAnsi="宋体"/>
          <w:b/>
          <w:color w:val="auto"/>
          <w:sz w:val="24"/>
          <w:highlight w:val="none"/>
        </w:rPr>
        <w:t xml:space="preserve"> </w:t>
      </w:r>
      <w:r>
        <w:rPr>
          <w:rStyle w:val="45"/>
          <w:rFonts w:hint="eastAsia" w:ascii="宋体" w:hAnsi="宋体"/>
          <w:b/>
          <w:color w:val="auto"/>
          <w:sz w:val="24"/>
          <w:highlight w:val="none"/>
        </w:rPr>
        <w:t>评标办法</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16</w:t>
      </w:r>
    </w:p>
    <w:p>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5"/>
          <w:rFonts w:ascii="宋体" w:hAnsi="宋体"/>
          <w:b/>
          <w:color w:val="auto"/>
          <w:sz w:val="24"/>
          <w:highlight w:val="none"/>
        </w:rPr>
        <w:instrText xml:space="preserve"> </w:instrText>
      </w:r>
      <w:r>
        <w:rPr>
          <w:rFonts w:ascii="宋体" w:hAnsi="宋体"/>
          <w:b/>
          <w:color w:val="auto"/>
          <w:sz w:val="24"/>
          <w:highlight w:val="none"/>
        </w:rPr>
        <w:instrText xml:space="preserve">HYPERLINK \l "_Toc58430328"</w:instrText>
      </w:r>
      <w:r>
        <w:rPr>
          <w:rStyle w:val="45"/>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5"/>
          <w:rFonts w:hint="eastAsia" w:ascii="宋体" w:hAnsi="宋体"/>
          <w:b/>
          <w:color w:val="auto"/>
          <w:sz w:val="24"/>
          <w:highlight w:val="none"/>
        </w:rPr>
        <w:t>第四章</w:t>
      </w:r>
      <w:r>
        <w:rPr>
          <w:rStyle w:val="45"/>
          <w:rFonts w:ascii="宋体" w:hAnsi="宋体"/>
          <w:b/>
          <w:color w:val="auto"/>
          <w:sz w:val="24"/>
          <w:highlight w:val="none"/>
        </w:rPr>
        <w:t xml:space="preserve"> </w:t>
      </w:r>
      <w:r>
        <w:rPr>
          <w:rStyle w:val="45"/>
          <w:rFonts w:hint="eastAsia" w:ascii="宋体" w:hAnsi="宋体"/>
          <w:b/>
          <w:color w:val="auto"/>
          <w:sz w:val="24"/>
          <w:highlight w:val="none"/>
        </w:rPr>
        <w:t>采购需求</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21</w:t>
      </w:r>
    </w:p>
    <w:p>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hint="eastAsia" w:ascii="宋体" w:hAnsi="宋体"/>
          <w:b/>
          <w:color w:val="auto"/>
          <w:sz w:val="24"/>
          <w:highlight w:val="none"/>
          <w:lang w:val="en-US" w:eastAsia="zh-CN"/>
        </w:rPr>
        <w:t>第五章 合同格式（参考）</w:t>
      </w:r>
      <w:r>
        <w:rPr>
          <w:rFonts w:ascii="宋体" w:hAnsi="宋体"/>
          <w:b/>
          <w:color w:val="auto"/>
          <w:sz w:val="24"/>
          <w:highlight w:val="none"/>
        </w:rPr>
        <w:tab/>
      </w:r>
      <w:r>
        <w:rPr>
          <w:rFonts w:hint="eastAsia" w:ascii="宋体" w:hAnsi="宋体"/>
          <w:b/>
          <w:color w:val="auto"/>
          <w:sz w:val="24"/>
          <w:highlight w:val="none"/>
          <w:lang w:val="en-US" w:eastAsia="zh-CN"/>
        </w:rPr>
        <w:t>32</w:t>
      </w:r>
    </w:p>
    <w:p>
      <w:pPr>
        <w:pStyle w:val="25"/>
        <w:tabs>
          <w:tab w:val="right" w:leader="dot" w:pos="8296"/>
        </w:tabs>
        <w:spacing w:before="156" w:beforeLines="50" w:after="156" w:afterLines="50" w:line="500" w:lineRule="exact"/>
        <w:rPr>
          <w:rFonts w:hint="default" w:ascii="宋体" w:hAnsi="宋体" w:eastAsia="宋体"/>
          <w:b/>
          <w:color w:val="auto"/>
          <w:sz w:val="24"/>
          <w:highlight w:val="none"/>
          <w:lang w:val="en-US" w:eastAsia="zh-CN"/>
        </w:rPr>
      </w:pPr>
      <w:r>
        <w:rPr>
          <w:rFonts w:ascii="宋体" w:hAnsi="宋体"/>
          <w:b/>
          <w:color w:val="auto"/>
          <w:sz w:val="24"/>
          <w:highlight w:val="none"/>
        </w:rPr>
        <w:fldChar w:fldCharType="begin"/>
      </w:r>
      <w:r>
        <w:rPr>
          <w:rStyle w:val="45"/>
          <w:rFonts w:ascii="宋体" w:hAnsi="宋体"/>
          <w:b/>
          <w:color w:val="auto"/>
          <w:sz w:val="24"/>
          <w:highlight w:val="none"/>
        </w:rPr>
        <w:instrText xml:space="preserve"> </w:instrText>
      </w:r>
      <w:r>
        <w:rPr>
          <w:rFonts w:ascii="宋体" w:hAnsi="宋体"/>
          <w:b/>
          <w:color w:val="auto"/>
          <w:sz w:val="24"/>
          <w:highlight w:val="none"/>
        </w:rPr>
        <w:instrText xml:space="preserve">HYPERLINK \l "_Toc58430332"</w:instrText>
      </w:r>
      <w:r>
        <w:rPr>
          <w:rStyle w:val="45"/>
          <w:rFonts w:ascii="宋体" w:hAnsi="宋体"/>
          <w:b/>
          <w:color w:val="auto"/>
          <w:sz w:val="24"/>
          <w:highlight w:val="none"/>
        </w:rPr>
        <w:instrText xml:space="preserve"> </w:instrText>
      </w:r>
      <w:r>
        <w:rPr>
          <w:rFonts w:ascii="宋体" w:hAnsi="宋体"/>
          <w:b/>
          <w:color w:val="auto"/>
          <w:sz w:val="24"/>
          <w:highlight w:val="none"/>
        </w:rPr>
        <w:fldChar w:fldCharType="separate"/>
      </w:r>
      <w:r>
        <w:rPr>
          <w:rStyle w:val="45"/>
          <w:rFonts w:hint="eastAsia" w:ascii="宋体" w:hAnsi="宋体"/>
          <w:b/>
          <w:color w:val="auto"/>
          <w:sz w:val="24"/>
          <w:highlight w:val="none"/>
        </w:rPr>
        <w:t>第</w:t>
      </w:r>
      <w:r>
        <w:rPr>
          <w:rStyle w:val="45"/>
          <w:rFonts w:hint="eastAsia" w:ascii="宋体" w:hAnsi="宋体"/>
          <w:b/>
          <w:color w:val="auto"/>
          <w:sz w:val="24"/>
          <w:highlight w:val="none"/>
          <w:lang w:val="en-US" w:eastAsia="zh-CN"/>
        </w:rPr>
        <w:t>六</w:t>
      </w:r>
      <w:r>
        <w:rPr>
          <w:rStyle w:val="45"/>
          <w:rFonts w:hint="eastAsia" w:ascii="宋体" w:hAnsi="宋体"/>
          <w:b/>
          <w:color w:val="auto"/>
          <w:sz w:val="24"/>
          <w:highlight w:val="none"/>
        </w:rPr>
        <w:t>章</w:t>
      </w:r>
      <w:r>
        <w:rPr>
          <w:rStyle w:val="45"/>
          <w:rFonts w:ascii="宋体" w:hAnsi="宋体"/>
          <w:b/>
          <w:color w:val="auto"/>
          <w:sz w:val="24"/>
          <w:highlight w:val="none"/>
        </w:rPr>
        <w:t xml:space="preserve"> </w:t>
      </w:r>
      <w:r>
        <w:rPr>
          <w:rStyle w:val="45"/>
          <w:rFonts w:hint="eastAsia" w:ascii="宋体" w:hAnsi="宋体"/>
          <w:b/>
          <w:color w:val="auto"/>
          <w:sz w:val="24"/>
          <w:highlight w:val="none"/>
        </w:rPr>
        <w:t>投标文件格式</w:t>
      </w:r>
      <w:r>
        <w:rPr>
          <w:rFonts w:ascii="宋体" w:hAnsi="宋体"/>
          <w:b/>
          <w:color w:val="auto"/>
          <w:sz w:val="24"/>
          <w:highlight w:val="none"/>
        </w:rPr>
        <w:tab/>
      </w:r>
      <w:r>
        <w:rPr>
          <w:rFonts w:ascii="宋体" w:hAnsi="宋体"/>
          <w:b/>
          <w:color w:val="auto"/>
          <w:sz w:val="24"/>
          <w:highlight w:val="none"/>
        </w:rPr>
        <w:fldChar w:fldCharType="end"/>
      </w:r>
      <w:r>
        <w:rPr>
          <w:rFonts w:hint="eastAsia" w:ascii="宋体" w:hAnsi="宋体"/>
          <w:b/>
          <w:color w:val="auto"/>
          <w:sz w:val="24"/>
          <w:highlight w:val="none"/>
          <w:lang w:val="en-US" w:eastAsia="zh-CN"/>
        </w:rPr>
        <w:t>40</w:t>
      </w:r>
    </w:p>
    <w:p>
      <w:pPr>
        <w:pStyle w:val="25"/>
        <w:tabs>
          <w:tab w:val="right" w:leader="dot" w:pos="8296"/>
        </w:tabs>
        <w:adjustRightInd w:val="0"/>
        <w:snapToGrid w:val="0"/>
        <w:spacing w:before="156" w:beforeLines="50" w:after="156" w:afterLines="50" w:line="500" w:lineRule="exact"/>
        <w:ind w:left="120" w:hanging="120" w:hangingChars="50"/>
        <w:jc w:val="center"/>
        <w:rPr>
          <w:rFonts w:hint="eastAsia" w:ascii="宋体"/>
          <w:b/>
          <w:bCs/>
          <w:color w:val="auto"/>
          <w:sz w:val="32"/>
          <w:szCs w:val="32"/>
          <w:highlight w:val="none"/>
        </w:rPr>
        <w:sectPr>
          <w:headerReference r:id="rId4" w:type="first"/>
          <w:footerReference r:id="rId7" w:type="first"/>
          <w:headerReference r:id="rId3" w:type="default"/>
          <w:footerReference r:id="rId5" w:type="default"/>
          <w:footerReference r:id="rId6" w:type="even"/>
          <w:pgSz w:w="11906" w:h="16838"/>
          <w:pgMar w:top="1440" w:right="1486" w:bottom="1440" w:left="1800" w:header="851" w:footer="992" w:gutter="0"/>
          <w:pgNumType w:start="1"/>
          <w:cols w:space="720" w:num="1"/>
          <w:docGrid w:type="lines" w:linePitch="312" w:charSpace="0"/>
        </w:sectPr>
      </w:pPr>
      <w:r>
        <w:rPr>
          <w:rFonts w:hint="eastAsia" w:ascii="宋体" w:hAnsi="宋体" w:cs="宋体"/>
          <w:color w:val="auto"/>
          <w:sz w:val="24"/>
          <w:highlight w:val="none"/>
        </w:rPr>
        <w:fldChar w:fldCharType="end"/>
      </w:r>
    </w:p>
    <w:p>
      <w:pPr>
        <w:spacing w:before="156" w:beforeLines="50" w:after="156" w:afterLines="50" w:line="600" w:lineRule="exact"/>
        <w:jc w:val="center"/>
        <w:outlineLvl w:val="0"/>
        <w:rPr>
          <w:rFonts w:hint="default" w:ascii="宋体" w:eastAsia="宋体"/>
          <w:b/>
          <w:color w:val="auto"/>
          <w:sz w:val="32"/>
          <w:szCs w:val="32"/>
          <w:highlight w:val="none"/>
          <w:lang w:val="en-US" w:eastAsia="zh-CN"/>
        </w:rPr>
      </w:pPr>
      <w:bookmarkStart w:id="1" w:name="_Toc58430304"/>
      <w:r>
        <w:rPr>
          <w:rFonts w:hint="eastAsia" w:ascii="宋体"/>
          <w:b/>
          <w:color w:val="auto"/>
          <w:sz w:val="32"/>
          <w:szCs w:val="32"/>
          <w:highlight w:val="none"/>
        </w:rPr>
        <w:t xml:space="preserve">第一章  </w:t>
      </w:r>
      <w:bookmarkEnd w:id="1"/>
      <w:r>
        <w:rPr>
          <w:rFonts w:hint="eastAsia" w:ascii="宋体"/>
          <w:b/>
          <w:color w:val="auto"/>
          <w:sz w:val="32"/>
          <w:szCs w:val="32"/>
          <w:highlight w:val="none"/>
          <w:lang w:val="en-US" w:eastAsia="zh-CN"/>
        </w:rPr>
        <w:t>招标公告</w:t>
      </w:r>
    </w:p>
    <w:p>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bookmarkStart w:id="2" w:name="_Toc58430313"/>
      <w:r>
        <w:rPr>
          <w:rFonts w:hint="eastAsia" w:ascii="仿宋" w:hAnsi="仿宋" w:eastAsia="仿宋" w:cs="仿宋"/>
          <w:color w:val="auto"/>
          <w:sz w:val="28"/>
          <w:szCs w:val="28"/>
          <w:highlight w:val="none"/>
        </w:rPr>
        <w:t>项目概况</w:t>
      </w:r>
    </w:p>
    <w:p>
      <w:pPr>
        <w:keepNext/>
        <w:keepLines/>
        <w:pageBreakBefore w:val="0"/>
        <w:widowControl w:val="0"/>
        <w:kinsoku/>
        <w:wordWrap/>
        <w:overflowPunct/>
        <w:topLinePunct w:val="0"/>
        <w:autoSpaceDE/>
        <w:autoSpaceDN/>
        <w:bidi w:val="0"/>
        <w:adjustRightInd/>
        <w:snapToGrid/>
        <w:ind w:firstLine="560" w:firstLineChars="200"/>
        <w:jc w:val="left"/>
        <w:textAlignment w:val="auto"/>
        <w:rPr>
          <w:rFonts w:hint="eastAsia" w:ascii="黑体" w:hAnsi="黑体" w:cs="宋体"/>
          <w:color w:val="auto"/>
          <w:sz w:val="28"/>
          <w:szCs w:val="28"/>
          <w:highlight w:val="none"/>
        </w:rPr>
      </w:pPr>
      <w:r>
        <w:rPr>
          <w:rFonts w:hint="eastAsia" w:ascii="仿宋" w:hAnsi="仿宋" w:eastAsia="仿宋" w:cs="仿宋"/>
          <w:color w:val="auto"/>
          <w:sz w:val="28"/>
          <w:szCs w:val="28"/>
          <w:highlight w:val="none"/>
          <w:u w:val="single"/>
          <w:lang w:val="en-US" w:eastAsia="zh-CN"/>
        </w:rPr>
        <w:t>滁州市城泊车辆服务有限公司公共停车场保洁服务项目（三次）</w:t>
      </w:r>
      <w:r>
        <w:rPr>
          <w:rFonts w:hint="eastAsia" w:ascii="仿宋" w:hAnsi="仿宋" w:eastAsia="仿宋" w:cs="仿宋"/>
          <w:color w:val="auto"/>
          <w:sz w:val="28"/>
          <w:szCs w:val="28"/>
          <w:highlight w:val="none"/>
          <w:u w:val="none"/>
        </w:rPr>
        <w:t>招标项目</w:t>
      </w:r>
      <w:r>
        <w:rPr>
          <w:rFonts w:hint="eastAsia" w:ascii="仿宋" w:hAnsi="仿宋" w:eastAsia="仿宋" w:cs="仿宋"/>
          <w:color w:val="auto"/>
          <w:sz w:val="28"/>
          <w:szCs w:val="28"/>
          <w:highlight w:val="none"/>
        </w:rPr>
        <w:t>的潜在投标人应在</w:t>
      </w:r>
      <w:r>
        <w:rPr>
          <w:rFonts w:hint="eastAsia" w:ascii="仿宋" w:hAnsi="仿宋" w:eastAsia="仿宋" w:cs="仿宋"/>
          <w:color w:val="auto"/>
          <w:sz w:val="28"/>
          <w:szCs w:val="28"/>
          <w:highlight w:val="none"/>
          <w:u w:val="single"/>
          <w:lang w:val="en-US" w:eastAsia="zh-CN"/>
        </w:rPr>
        <w:t>中国扬子集团官网（http://www.yangzigroup.cn/case/jingpinzhuzhai/）及滁州市工投公司微信公众号</w:t>
      </w:r>
      <w:r>
        <w:rPr>
          <w:rFonts w:hint="eastAsia" w:ascii="仿宋" w:hAnsi="仿宋" w:eastAsia="仿宋" w:cs="仿宋"/>
          <w:color w:val="auto"/>
          <w:sz w:val="28"/>
          <w:szCs w:val="28"/>
          <w:highlight w:val="none"/>
        </w:rPr>
        <w:t>获取招标文件，并于</w:t>
      </w:r>
      <w:r>
        <w:rPr>
          <w:rFonts w:hint="eastAsia" w:ascii="仿宋" w:hAnsi="仿宋" w:eastAsia="仿宋" w:cs="仿宋"/>
          <w:color w:val="auto"/>
          <w:sz w:val="28"/>
          <w:szCs w:val="28"/>
          <w:highlight w:val="none"/>
          <w:u w:val="single"/>
        </w:rPr>
        <w:t>202</w:t>
      </w:r>
      <w:r>
        <w:rPr>
          <w:rFonts w:hint="eastAsia" w:ascii="仿宋" w:hAnsi="仿宋" w:eastAsia="仿宋" w:cs="仿宋"/>
          <w:color w:val="auto"/>
          <w:sz w:val="28"/>
          <w:szCs w:val="28"/>
          <w:highlight w:val="none"/>
          <w:u w:val="single"/>
          <w:lang w:val="en-US" w:eastAsia="zh-CN"/>
        </w:rPr>
        <w:t>4</w:t>
      </w:r>
      <w:r>
        <w:rPr>
          <w:rFonts w:hint="eastAsia" w:ascii="仿宋" w:hAnsi="仿宋" w:eastAsia="仿宋" w:cs="仿宋"/>
          <w:color w:val="auto"/>
          <w:sz w:val="28"/>
          <w:szCs w:val="28"/>
          <w:highlight w:val="none"/>
          <w:u w:val="single"/>
        </w:rPr>
        <w:t>年</w:t>
      </w:r>
      <w:r>
        <w:rPr>
          <w:rFonts w:hint="eastAsia" w:ascii="仿宋" w:hAnsi="仿宋" w:eastAsia="仿宋" w:cs="仿宋"/>
          <w:color w:val="auto"/>
          <w:sz w:val="28"/>
          <w:szCs w:val="28"/>
          <w:highlight w:val="none"/>
          <w:u w:val="single"/>
          <w:lang w:val="en-US" w:eastAsia="zh-CN"/>
        </w:rPr>
        <w:t>2</w:t>
      </w:r>
      <w:r>
        <w:rPr>
          <w:rFonts w:hint="eastAsia" w:ascii="仿宋" w:hAnsi="仿宋" w:eastAsia="仿宋" w:cs="仿宋"/>
          <w:color w:val="auto"/>
          <w:sz w:val="28"/>
          <w:szCs w:val="28"/>
          <w:highlight w:val="none"/>
          <w:u w:val="single"/>
        </w:rPr>
        <w:t>月</w:t>
      </w:r>
      <w:r>
        <w:rPr>
          <w:rFonts w:hint="eastAsia" w:ascii="仿宋" w:hAnsi="仿宋" w:eastAsia="仿宋" w:cs="仿宋"/>
          <w:color w:val="auto"/>
          <w:sz w:val="28"/>
          <w:szCs w:val="28"/>
          <w:highlight w:val="none"/>
          <w:u w:val="single"/>
          <w:lang w:val="en-US" w:eastAsia="zh-CN"/>
        </w:rPr>
        <w:t>5</w:t>
      </w:r>
      <w:r>
        <w:rPr>
          <w:rFonts w:hint="eastAsia" w:ascii="仿宋" w:hAnsi="仿宋" w:eastAsia="仿宋" w:cs="仿宋"/>
          <w:color w:val="auto"/>
          <w:sz w:val="28"/>
          <w:szCs w:val="28"/>
          <w:highlight w:val="none"/>
          <w:u w:val="single"/>
        </w:rPr>
        <w:t>日</w:t>
      </w:r>
      <w:r>
        <w:rPr>
          <w:rFonts w:hint="eastAsia" w:ascii="仿宋" w:hAnsi="仿宋" w:eastAsia="仿宋" w:cs="仿宋"/>
          <w:color w:val="auto"/>
          <w:sz w:val="28"/>
          <w:szCs w:val="28"/>
          <w:highlight w:val="none"/>
          <w:u w:val="single"/>
          <w:lang w:val="en-US" w:eastAsia="zh-CN"/>
        </w:rPr>
        <w:t>9</w:t>
      </w:r>
      <w:r>
        <w:rPr>
          <w:rFonts w:hint="eastAsia" w:ascii="仿宋" w:hAnsi="仿宋" w:eastAsia="仿宋" w:cs="仿宋"/>
          <w:color w:val="auto"/>
          <w:sz w:val="28"/>
          <w:szCs w:val="28"/>
          <w:highlight w:val="none"/>
          <w:u w:val="single"/>
        </w:rPr>
        <w:t>点</w:t>
      </w:r>
      <w:r>
        <w:rPr>
          <w:rFonts w:hint="eastAsia" w:ascii="仿宋" w:hAnsi="仿宋" w:eastAsia="仿宋" w:cs="仿宋"/>
          <w:color w:val="auto"/>
          <w:sz w:val="28"/>
          <w:szCs w:val="28"/>
          <w:highlight w:val="none"/>
          <w:u w:val="single"/>
          <w:lang w:val="en-US" w:eastAsia="zh-CN"/>
        </w:rPr>
        <w:t>00</w:t>
      </w:r>
      <w:r>
        <w:rPr>
          <w:rFonts w:hint="eastAsia" w:ascii="仿宋" w:hAnsi="仿宋" w:eastAsia="仿宋" w:cs="仿宋"/>
          <w:color w:val="auto"/>
          <w:sz w:val="28"/>
          <w:szCs w:val="28"/>
          <w:highlight w:val="none"/>
          <w:u w:val="single"/>
        </w:rPr>
        <w:t>分</w:t>
      </w:r>
      <w:r>
        <w:rPr>
          <w:rFonts w:hint="eastAsia" w:ascii="仿宋" w:hAnsi="仿宋" w:eastAsia="仿宋" w:cs="仿宋"/>
          <w:color w:val="auto"/>
          <w:sz w:val="28"/>
          <w:szCs w:val="28"/>
          <w:highlight w:val="none"/>
        </w:rPr>
        <w:t>（北京时间）前递交投标文件。</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一、项目基本情况</w:t>
      </w:r>
    </w:p>
    <w:p>
      <w:pPr>
        <w:ind w:right="-313" w:rightChars="-149" w:firstLine="560" w:firstLineChars="200"/>
        <w:rPr>
          <w:rFonts w:hint="default"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项目名称：</w:t>
      </w:r>
      <w:r>
        <w:rPr>
          <w:rFonts w:hint="eastAsia" w:ascii="仿宋" w:hAnsi="仿宋" w:eastAsia="仿宋" w:cs="仿宋"/>
          <w:color w:val="auto"/>
          <w:sz w:val="28"/>
          <w:szCs w:val="28"/>
          <w:highlight w:val="none"/>
          <w:shd w:val="clear" w:color="auto" w:fill="auto"/>
          <w:lang w:val="en-US" w:eastAsia="zh-CN"/>
        </w:rPr>
        <w:t>滁州市城泊车辆服务有限公司公共停车场保洁服务项目（三次）</w:t>
      </w:r>
    </w:p>
    <w:p>
      <w:pPr>
        <w:ind w:firstLine="560" w:firstLineChars="200"/>
        <w:rPr>
          <w:rFonts w:hint="default"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预算金额：</w:t>
      </w:r>
      <w:r>
        <w:rPr>
          <w:rFonts w:hint="eastAsia" w:ascii="仿宋" w:hAnsi="仿宋" w:eastAsia="仿宋" w:cs="仿宋"/>
          <w:color w:val="auto"/>
          <w:sz w:val="28"/>
          <w:szCs w:val="28"/>
          <w:highlight w:val="none"/>
          <w:shd w:val="clear" w:color="auto" w:fill="auto"/>
          <w:lang w:val="en-US" w:eastAsia="zh-CN"/>
        </w:rPr>
        <w:t>29.5万元/年</w:t>
      </w:r>
    </w:p>
    <w:p>
      <w:pPr>
        <w:ind w:firstLine="560" w:firstLineChars="200"/>
        <w:rPr>
          <w:rFonts w:hint="eastAsia"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最高限价：</w:t>
      </w:r>
      <w:r>
        <w:rPr>
          <w:rFonts w:hint="eastAsia" w:ascii="仿宋" w:hAnsi="仿宋" w:eastAsia="仿宋" w:cs="仿宋"/>
          <w:color w:val="auto"/>
          <w:sz w:val="28"/>
          <w:szCs w:val="28"/>
          <w:highlight w:val="none"/>
          <w:shd w:val="clear" w:color="auto" w:fill="auto"/>
          <w:lang w:val="en-US" w:eastAsia="zh-CN"/>
        </w:rPr>
        <w:t xml:space="preserve">29.5万元/年 </w:t>
      </w:r>
    </w:p>
    <w:p>
      <w:pPr>
        <w:ind w:firstLine="560" w:firstLineChars="200"/>
        <w:rPr>
          <w:rFonts w:hint="eastAsia" w:ascii="仿宋" w:hAnsi="仿宋" w:eastAsia="仿宋" w:cs="仿宋"/>
          <w:color w:val="auto"/>
          <w:sz w:val="28"/>
          <w:szCs w:val="28"/>
          <w:highlight w:val="none"/>
          <w:shd w:val="clear" w:color="auto" w:fill="auto"/>
          <w:lang w:eastAsia="zh-CN"/>
        </w:rPr>
      </w:pPr>
      <w:r>
        <w:rPr>
          <w:rFonts w:hint="eastAsia" w:ascii="仿宋" w:hAnsi="仿宋" w:eastAsia="仿宋" w:cs="仿宋"/>
          <w:color w:val="auto"/>
          <w:sz w:val="28"/>
          <w:szCs w:val="28"/>
          <w:highlight w:val="none"/>
          <w:shd w:val="clear" w:color="auto" w:fill="auto"/>
        </w:rPr>
        <w:t>采购需求：市城泊公司管理的公共停车场、厕所和管理用房的卫生保洁服务，具体包括23个停车场、2间停车场厕所和一套管理用房的卫生保洁服务。服务范围和内容包含停车场日常保洁服务、地面清扫、垃圾清运、房屋内设施卫生打扫和清洗</w:t>
      </w:r>
      <w:r>
        <w:rPr>
          <w:rFonts w:hint="eastAsia" w:ascii="仿宋" w:hAnsi="仿宋" w:eastAsia="仿宋" w:cs="仿宋"/>
          <w:color w:val="auto"/>
          <w:sz w:val="28"/>
          <w:szCs w:val="28"/>
          <w:highlight w:val="none"/>
          <w:shd w:val="clear" w:color="auto" w:fill="auto"/>
          <w:lang w:eastAsia="zh-CN"/>
        </w:rPr>
        <w:t>。</w:t>
      </w:r>
    </w:p>
    <w:p>
      <w:pPr>
        <w:ind w:firstLine="560" w:firstLineChars="200"/>
        <w:rPr>
          <w:rFonts w:hint="default" w:ascii="仿宋" w:hAnsi="仿宋" w:eastAsia="仿宋" w:cs="仿宋"/>
          <w:color w:val="auto"/>
          <w:sz w:val="28"/>
          <w:szCs w:val="28"/>
          <w:highlight w:val="none"/>
          <w:shd w:val="clear" w:color="auto" w:fill="auto"/>
          <w:lang w:val="en-US" w:eastAsia="zh-CN"/>
        </w:rPr>
      </w:pPr>
      <w:r>
        <w:rPr>
          <w:rFonts w:hint="eastAsia" w:ascii="仿宋" w:hAnsi="仿宋" w:eastAsia="仿宋" w:cs="仿宋"/>
          <w:color w:val="auto"/>
          <w:sz w:val="28"/>
          <w:szCs w:val="28"/>
          <w:highlight w:val="none"/>
          <w:shd w:val="clear" w:color="auto" w:fill="auto"/>
        </w:rPr>
        <w:t>合同履行期限：</w:t>
      </w:r>
      <w:r>
        <w:rPr>
          <w:rFonts w:hint="eastAsia" w:ascii="仿宋" w:hAnsi="仿宋" w:eastAsia="仿宋" w:cs="仿宋"/>
          <w:color w:val="auto"/>
          <w:sz w:val="28"/>
          <w:szCs w:val="28"/>
          <w:highlight w:val="none"/>
          <w:shd w:val="clear" w:color="auto" w:fill="auto"/>
          <w:lang w:val="en-US" w:eastAsia="zh-CN"/>
        </w:rPr>
        <w:t>自合同签订之日起一年</w:t>
      </w:r>
      <w:r>
        <w:rPr>
          <w:rFonts w:hint="eastAsia" w:ascii="仿宋" w:hAnsi="仿宋" w:eastAsia="仿宋" w:cs="仿宋"/>
          <w:color w:val="auto"/>
          <w:sz w:val="28"/>
          <w:szCs w:val="28"/>
          <w:highlight w:val="none"/>
          <w:shd w:val="clear" w:color="auto" w:fill="auto"/>
          <w:lang w:eastAsia="zh-CN"/>
        </w:rPr>
        <w:t>，</w:t>
      </w:r>
      <w:r>
        <w:rPr>
          <w:rFonts w:hint="eastAsia" w:ascii="仿宋" w:hAnsi="仿宋" w:eastAsia="仿宋" w:cs="仿宋"/>
          <w:color w:val="auto"/>
          <w:sz w:val="28"/>
          <w:szCs w:val="28"/>
          <w:highlight w:val="none"/>
          <w:shd w:val="clear" w:color="auto" w:fill="auto"/>
        </w:rPr>
        <w:t>如服务期满，经招标方业绩考核满意，可以续签1年服务期。</w:t>
      </w:r>
      <w:r>
        <w:rPr>
          <w:rFonts w:hint="eastAsia" w:ascii="仿宋" w:hAnsi="仿宋" w:eastAsia="仿宋" w:cs="仿宋"/>
          <w:color w:val="auto"/>
          <w:sz w:val="28"/>
          <w:szCs w:val="28"/>
          <w:highlight w:val="none"/>
          <w:shd w:val="clear" w:color="auto" w:fill="auto"/>
          <w:lang w:val="en-US" w:eastAsia="zh-CN"/>
        </w:rPr>
        <w:t>注：自合同签订之日起开始计算进行为期两个月的考核期，如考核期内不合格，招标人有权单方解除合同。服务期限中含两个月考核期。</w:t>
      </w:r>
    </w:p>
    <w:p>
      <w:pPr>
        <w:ind w:firstLine="560" w:firstLineChars="200"/>
        <w:rPr>
          <w:rFonts w:hint="eastAsia" w:ascii="仿宋" w:hAnsi="仿宋" w:eastAsia="仿宋" w:cs="仿宋"/>
          <w:color w:val="auto"/>
          <w:sz w:val="28"/>
          <w:szCs w:val="28"/>
          <w:highlight w:val="none"/>
          <w:shd w:val="clear" w:color="auto" w:fill="auto"/>
        </w:rPr>
      </w:pPr>
      <w:r>
        <w:rPr>
          <w:rFonts w:hint="eastAsia" w:ascii="仿宋" w:hAnsi="仿宋" w:eastAsia="仿宋" w:cs="仿宋"/>
          <w:color w:val="auto"/>
          <w:sz w:val="28"/>
          <w:szCs w:val="28"/>
          <w:highlight w:val="none"/>
          <w:shd w:val="clear" w:color="auto" w:fill="auto"/>
        </w:rPr>
        <w:t>本项目</w:t>
      </w:r>
      <w:r>
        <w:rPr>
          <w:rFonts w:hint="eastAsia" w:ascii="仿宋" w:hAnsi="仿宋" w:eastAsia="仿宋" w:cs="仿宋"/>
          <w:color w:val="auto"/>
          <w:sz w:val="28"/>
          <w:szCs w:val="28"/>
          <w:highlight w:val="none"/>
          <w:shd w:val="clear" w:color="auto" w:fill="auto"/>
          <w:lang w:val="en-US" w:eastAsia="zh-CN"/>
        </w:rPr>
        <w:t>不</w:t>
      </w:r>
      <w:r>
        <w:rPr>
          <w:rFonts w:hint="eastAsia" w:ascii="仿宋" w:hAnsi="仿宋" w:eastAsia="仿宋" w:cs="仿宋"/>
          <w:color w:val="auto"/>
          <w:sz w:val="28"/>
          <w:szCs w:val="28"/>
          <w:highlight w:val="none"/>
          <w:shd w:val="clear" w:color="auto" w:fill="auto"/>
        </w:rPr>
        <w:t>接受联合体投标</w:t>
      </w:r>
      <w:r>
        <w:rPr>
          <w:rFonts w:hint="eastAsia" w:ascii="仿宋" w:hAnsi="仿宋" w:eastAsia="仿宋" w:cs="仿宋"/>
          <w:color w:val="auto"/>
          <w:sz w:val="28"/>
          <w:szCs w:val="28"/>
          <w:highlight w:val="none"/>
          <w:shd w:val="clear" w:color="auto" w:fill="auto"/>
          <w:lang w:eastAsia="zh-CN"/>
        </w:rPr>
        <w:t>。</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3" w:name="_Toc28359003"/>
      <w:bookmarkStart w:id="4" w:name="_Toc35393622"/>
      <w:bookmarkStart w:id="5" w:name="_Toc35393791"/>
      <w:bookmarkStart w:id="6" w:name="_Toc28359080"/>
      <w:r>
        <w:rPr>
          <w:rFonts w:hint="eastAsia" w:ascii="黑体" w:hAnsi="黑体" w:eastAsia="黑体" w:cs="黑体"/>
          <w:color w:val="auto"/>
          <w:sz w:val="28"/>
          <w:szCs w:val="28"/>
          <w:highlight w:val="none"/>
        </w:rPr>
        <w:t>二、申请人的资格要求</w:t>
      </w:r>
      <w:bookmarkEnd w:id="3"/>
      <w:bookmarkEnd w:id="4"/>
      <w:bookmarkEnd w:id="5"/>
      <w:bookmarkEnd w:id="6"/>
    </w:p>
    <w:p>
      <w:pPr>
        <w:ind w:firstLine="560" w:firstLineChars="200"/>
        <w:rPr>
          <w:rFonts w:hint="eastAsia" w:ascii="仿宋" w:hAnsi="仿宋" w:eastAsia="仿宋"/>
          <w:color w:val="auto"/>
          <w:sz w:val="28"/>
          <w:szCs w:val="28"/>
          <w:highlight w:val="none"/>
          <w:lang w:val="en-US" w:eastAsia="zh-CN"/>
        </w:rPr>
      </w:pPr>
      <w:bookmarkStart w:id="7" w:name="_Toc35393792"/>
      <w:bookmarkStart w:id="8" w:name="_Toc35393623"/>
      <w:bookmarkStart w:id="9" w:name="_Toc28359004"/>
      <w:bookmarkStart w:id="10" w:name="_Toc28359081"/>
      <w:r>
        <w:rPr>
          <w:rFonts w:hint="eastAsia" w:ascii="仿宋" w:hAnsi="仿宋" w:eastAsia="仿宋"/>
          <w:color w:val="auto"/>
          <w:sz w:val="28"/>
          <w:szCs w:val="28"/>
          <w:highlight w:val="none"/>
          <w:lang w:val="en-US" w:eastAsia="zh-CN"/>
        </w:rPr>
        <w:t>企业要求：具有独立法人资格和相应服务能力的企业。</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三、获取招标文件</w:t>
      </w:r>
      <w:bookmarkEnd w:id="7"/>
      <w:bookmarkEnd w:id="8"/>
      <w:bookmarkEnd w:id="9"/>
      <w:bookmarkEnd w:id="10"/>
    </w:p>
    <w:p>
      <w:pPr>
        <w:ind w:firstLine="540"/>
        <w:rPr>
          <w:rFonts w:hint="eastAsia" w:ascii="仿宋" w:hAnsi="仿宋" w:eastAsia="仿宋" w:cs="宋体"/>
          <w:iCs/>
          <w:color w:val="auto"/>
          <w:sz w:val="28"/>
          <w:szCs w:val="28"/>
          <w:highlight w:val="none"/>
          <w:lang w:eastAsia="zh-CN"/>
        </w:rPr>
      </w:pPr>
      <w:r>
        <w:rPr>
          <w:rFonts w:hint="eastAsia" w:ascii="仿宋" w:hAnsi="仿宋" w:eastAsia="仿宋" w:cs="宋体"/>
          <w:color w:val="auto"/>
          <w:sz w:val="28"/>
          <w:szCs w:val="28"/>
          <w:highlight w:val="none"/>
        </w:rPr>
        <w:t>时间：</w:t>
      </w:r>
      <w:r>
        <w:rPr>
          <w:rFonts w:ascii="仿宋" w:hAnsi="仿宋" w:eastAsia="仿宋" w:cs="宋体"/>
          <w:color w:val="auto"/>
          <w:sz w:val="28"/>
          <w:szCs w:val="28"/>
          <w:highlight w:val="none"/>
          <w:u w:val="single"/>
        </w:rPr>
        <w:t xml:space="preserve"> </w:t>
      </w:r>
      <w:r>
        <w:rPr>
          <w:rFonts w:hint="eastAsia" w:ascii="仿宋" w:hAnsi="仿宋" w:eastAsia="仿宋" w:cs="宋体"/>
          <w:color w:val="auto"/>
          <w:sz w:val="28"/>
          <w:szCs w:val="28"/>
          <w:highlight w:val="none"/>
          <w:u w:val="single"/>
        </w:rPr>
        <w:t>202</w:t>
      </w:r>
      <w:r>
        <w:rPr>
          <w:rFonts w:hint="eastAsia" w:ascii="仿宋" w:hAnsi="仿宋" w:eastAsia="仿宋" w:cs="宋体"/>
          <w:color w:val="auto"/>
          <w:sz w:val="28"/>
          <w:szCs w:val="28"/>
          <w:highlight w:val="none"/>
          <w:u w:val="single"/>
          <w:lang w:val="en-US" w:eastAsia="zh-CN"/>
        </w:rPr>
        <w:t>4</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2</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1</w:t>
      </w:r>
      <w:r>
        <w:rPr>
          <w:rFonts w:hint="eastAsia" w:ascii="仿宋" w:hAnsi="仿宋" w:eastAsia="仿宋" w:cs="宋体"/>
          <w:color w:val="auto"/>
          <w:sz w:val="28"/>
          <w:szCs w:val="28"/>
          <w:highlight w:val="none"/>
          <w:u w:val="single"/>
        </w:rPr>
        <w:t>日</w:t>
      </w:r>
      <w:r>
        <w:rPr>
          <w:rFonts w:hint="eastAsia" w:ascii="仿宋" w:hAnsi="仿宋" w:eastAsia="仿宋" w:cs="宋体"/>
          <w:color w:val="auto"/>
          <w:sz w:val="28"/>
          <w:szCs w:val="28"/>
          <w:highlight w:val="none"/>
        </w:rPr>
        <w:t>至</w:t>
      </w:r>
      <w:r>
        <w:rPr>
          <w:rFonts w:hint="eastAsia" w:ascii="仿宋" w:hAnsi="仿宋" w:eastAsia="仿宋" w:cs="宋体"/>
          <w:color w:val="auto"/>
          <w:sz w:val="28"/>
          <w:szCs w:val="28"/>
          <w:highlight w:val="none"/>
          <w:u w:val="single"/>
        </w:rPr>
        <w:t xml:space="preserve"> 202</w:t>
      </w:r>
      <w:r>
        <w:rPr>
          <w:rFonts w:hint="eastAsia" w:ascii="仿宋" w:hAnsi="仿宋" w:eastAsia="仿宋" w:cs="宋体"/>
          <w:color w:val="auto"/>
          <w:sz w:val="28"/>
          <w:szCs w:val="28"/>
          <w:highlight w:val="none"/>
          <w:u w:val="single"/>
          <w:lang w:val="en-US" w:eastAsia="zh-CN"/>
        </w:rPr>
        <w:t>4</w:t>
      </w:r>
      <w:r>
        <w:rPr>
          <w:rFonts w:hint="eastAsia" w:ascii="仿宋" w:hAnsi="仿宋" w:eastAsia="仿宋" w:cs="宋体"/>
          <w:color w:val="auto"/>
          <w:sz w:val="28"/>
          <w:szCs w:val="28"/>
          <w:highlight w:val="none"/>
          <w:u w:val="single"/>
        </w:rPr>
        <w:t>年</w:t>
      </w:r>
      <w:r>
        <w:rPr>
          <w:rFonts w:hint="eastAsia" w:ascii="仿宋" w:hAnsi="仿宋" w:eastAsia="仿宋" w:cs="宋体"/>
          <w:color w:val="auto"/>
          <w:sz w:val="28"/>
          <w:szCs w:val="28"/>
          <w:highlight w:val="none"/>
          <w:u w:val="single"/>
          <w:lang w:val="en-US" w:eastAsia="zh-CN"/>
        </w:rPr>
        <w:t>2</w:t>
      </w:r>
      <w:r>
        <w:rPr>
          <w:rFonts w:hint="eastAsia" w:ascii="仿宋" w:hAnsi="仿宋" w:eastAsia="仿宋" w:cs="宋体"/>
          <w:color w:val="auto"/>
          <w:sz w:val="28"/>
          <w:szCs w:val="28"/>
          <w:highlight w:val="none"/>
          <w:u w:val="single"/>
        </w:rPr>
        <w:t>月</w:t>
      </w:r>
      <w:r>
        <w:rPr>
          <w:rFonts w:hint="eastAsia" w:ascii="仿宋" w:hAnsi="仿宋" w:eastAsia="仿宋" w:cs="宋体"/>
          <w:color w:val="auto"/>
          <w:sz w:val="28"/>
          <w:szCs w:val="28"/>
          <w:highlight w:val="none"/>
          <w:u w:val="single"/>
          <w:lang w:val="en-US" w:eastAsia="zh-CN"/>
        </w:rPr>
        <w:t>5</w:t>
      </w:r>
      <w:r>
        <w:rPr>
          <w:rFonts w:hint="eastAsia" w:ascii="仿宋" w:hAnsi="仿宋" w:eastAsia="仿宋" w:cs="宋体"/>
          <w:color w:val="auto"/>
          <w:sz w:val="28"/>
          <w:szCs w:val="28"/>
          <w:highlight w:val="none"/>
          <w:u w:val="single"/>
        </w:rPr>
        <w:t>日</w:t>
      </w:r>
    </w:p>
    <w:p>
      <w:pPr>
        <w:ind w:firstLine="540"/>
        <w:rPr>
          <w:rFonts w:ascii="仿宋" w:hAnsi="仿宋" w:eastAsia="仿宋" w:cs="宋体"/>
          <w:color w:val="auto"/>
          <w:sz w:val="28"/>
          <w:szCs w:val="28"/>
          <w:highlight w:val="none"/>
          <w:u w:val="single"/>
        </w:rPr>
      </w:pPr>
      <w:r>
        <w:rPr>
          <w:rFonts w:hint="eastAsia" w:ascii="仿宋" w:hAnsi="仿宋" w:eastAsia="仿宋" w:cs="宋体"/>
          <w:color w:val="auto"/>
          <w:sz w:val="28"/>
          <w:szCs w:val="28"/>
          <w:highlight w:val="none"/>
        </w:rPr>
        <w:t>方式：网上下载</w:t>
      </w:r>
    </w:p>
    <w:p>
      <w:pPr>
        <w:ind w:firstLine="540"/>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售价：0元</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1" w:name="_Toc28359005"/>
      <w:bookmarkStart w:id="12" w:name="_Toc28359082"/>
      <w:bookmarkStart w:id="13" w:name="_Toc35393793"/>
      <w:bookmarkStart w:id="14" w:name="_Toc35393624"/>
      <w:r>
        <w:rPr>
          <w:rFonts w:hint="eastAsia" w:ascii="黑体" w:hAnsi="黑体" w:eastAsia="黑体" w:cs="黑体"/>
          <w:color w:val="auto"/>
          <w:sz w:val="28"/>
          <w:szCs w:val="28"/>
          <w:highlight w:val="none"/>
        </w:rPr>
        <w:t>四、提交投标文件</w:t>
      </w:r>
      <w:bookmarkEnd w:id="11"/>
      <w:bookmarkEnd w:id="12"/>
      <w:r>
        <w:rPr>
          <w:rFonts w:hint="eastAsia" w:ascii="黑体" w:hAnsi="黑体" w:eastAsia="黑体" w:cs="黑体"/>
          <w:color w:val="auto"/>
          <w:sz w:val="28"/>
          <w:szCs w:val="28"/>
          <w:highlight w:val="none"/>
        </w:rPr>
        <w:t>截止时间、开标时间和地点</w:t>
      </w:r>
      <w:bookmarkEnd w:id="13"/>
      <w:bookmarkEnd w:id="14"/>
    </w:p>
    <w:p>
      <w:pPr>
        <w:ind w:firstLine="560" w:firstLineChars="200"/>
        <w:rPr>
          <w:rFonts w:hint="eastAsia" w:ascii="仿宋" w:hAnsi="仿宋" w:eastAsia="仿宋"/>
          <w:bCs/>
          <w:iCs/>
          <w:color w:val="auto"/>
          <w:sz w:val="28"/>
          <w:szCs w:val="28"/>
          <w:highlight w:val="none"/>
          <w:lang w:eastAsia="zh-CN"/>
        </w:rPr>
      </w:pPr>
      <w:r>
        <w:rPr>
          <w:rFonts w:hint="eastAsia" w:ascii="仿宋" w:hAnsi="仿宋" w:eastAsia="仿宋"/>
          <w:bCs/>
          <w:color w:val="auto"/>
          <w:sz w:val="28"/>
          <w:szCs w:val="28"/>
          <w:highlight w:val="none"/>
          <w:u w:val="none"/>
          <w:lang w:val="en-US" w:eastAsia="zh-CN"/>
        </w:rPr>
        <w:t>截止时间及开标时间：</w:t>
      </w:r>
      <w:r>
        <w:rPr>
          <w:rFonts w:hint="eastAsia" w:ascii="仿宋" w:hAnsi="仿宋" w:eastAsia="仿宋"/>
          <w:bCs/>
          <w:color w:val="auto"/>
          <w:sz w:val="28"/>
          <w:szCs w:val="28"/>
          <w:highlight w:val="none"/>
          <w:u w:val="single"/>
        </w:rPr>
        <w:t>202</w:t>
      </w:r>
      <w:r>
        <w:rPr>
          <w:rFonts w:hint="eastAsia" w:ascii="仿宋" w:hAnsi="仿宋" w:eastAsia="仿宋"/>
          <w:bCs/>
          <w:color w:val="auto"/>
          <w:sz w:val="28"/>
          <w:szCs w:val="28"/>
          <w:highlight w:val="none"/>
          <w:u w:val="single"/>
          <w:lang w:val="en-US" w:eastAsia="zh-CN"/>
        </w:rPr>
        <w:t>4</w:t>
      </w:r>
      <w:r>
        <w:rPr>
          <w:rFonts w:hint="eastAsia" w:ascii="仿宋" w:hAnsi="仿宋" w:eastAsia="仿宋"/>
          <w:bCs/>
          <w:color w:val="auto"/>
          <w:sz w:val="28"/>
          <w:szCs w:val="28"/>
          <w:highlight w:val="none"/>
          <w:u w:val="single"/>
        </w:rPr>
        <w:t>年</w:t>
      </w:r>
      <w:r>
        <w:rPr>
          <w:rFonts w:hint="eastAsia" w:ascii="仿宋" w:hAnsi="仿宋" w:eastAsia="仿宋"/>
          <w:bCs/>
          <w:color w:val="auto"/>
          <w:sz w:val="28"/>
          <w:szCs w:val="28"/>
          <w:highlight w:val="none"/>
          <w:u w:val="single"/>
          <w:lang w:val="en-US" w:eastAsia="zh-CN"/>
        </w:rPr>
        <w:t>2</w:t>
      </w:r>
      <w:r>
        <w:rPr>
          <w:rFonts w:hint="eastAsia" w:ascii="仿宋" w:hAnsi="仿宋" w:eastAsia="仿宋"/>
          <w:bCs/>
          <w:color w:val="auto"/>
          <w:sz w:val="28"/>
          <w:szCs w:val="28"/>
          <w:highlight w:val="none"/>
          <w:u w:val="single"/>
        </w:rPr>
        <w:t>月</w:t>
      </w:r>
      <w:r>
        <w:rPr>
          <w:rFonts w:hint="eastAsia" w:ascii="仿宋" w:hAnsi="仿宋" w:eastAsia="仿宋"/>
          <w:bCs/>
          <w:color w:val="auto"/>
          <w:sz w:val="28"/>
          <w:szCs w:val="28"/>
          <w:highlight w:val="none"/>
          <w:u w:val="single"/>
          <w:lang w:val="en-US" w:eastAsia="zh-CN"/>
        </w:rPr>
        <w:t>5</w:t>
      </w:r>
      <w:r>
        <w:rPr>
          <w:rFonts w:hint="eastAsia" w:ascii="仿宋" w:hAnsi="仿宋" w:eastAsia="仿宋"/>
          <w:bCs/>
          <w:color w:val="auto"/>
          <w:sz w:val="28"/>
          <w:szCs w:val="28"/>
          <w:highlight w:val="none"/>
          <w:u w:val="single"/>
        </w:rPr>
        <w:t>日</w:t>
      </w:r>
      <w:r>
        <w:rPr>
          <w:rFonts w:hint="eastAsia" w:ascii="仿宋" w:hAnsi="仿宋" w:eastAsia="仿宋"/>
          <w:bCs/>
          <w:color w:val="auto"/>
          <w:sz w:val="28"/>
          <w:szCs w:val="28"/>
          <w:highlight w:val="none"/>
          <w:u w:val="single"/>
          <w:lang w:val="en-US" w:eastAsia="zh-CN"/>
        </w:rPr>
        <w:t>9</w:t>
      </w:r>
      <w:r>
        <w:rPr>
          <w:rFonts w:hint="eastAsia" w:ascii="仿宋" w:hAnsi="仿宋" w:eastAsia="仿宋"/>
          <w:bCs/>
          <w:color w:val="auto"/>
          <w:sz w:val="28"/>
          <w:szCs w:val="28"/>
          <w:highlight w:val="none"/>
          <w:u w:val="single"/>
        </w:rPr>
        <w:t>点00分</w:t>
      </w:r>
      <w:r>
        <w:rPr>
          <w:rFonts w:hint="eastAsia" w:ascii="仿宋" w:hAnsi="仿宋" w:eastAsia="仿宋"/>
          <w:bCs/>
          <w:color w:val="auto"/>
          <w:sz w:val="28"/>
          <w:szCs w:val="28"/>
          <w:highlight w:val="none"/>
        </w:rPr>
        <w:t>（北京时间）</w:t>
      </w:r>
      <w:r>
        <w:rPr>
          <w:rFonts w:hint="eastAsia" w:ascii="仿宋" w:hAnsi="仿宋" w:eastAsia="仿宋"/>
          <w:bCs/>
          <w:color w:val="auto"/>
          <w:sz w:val="28"/>
          <w:szCs w:val="28"/>
          <w:highlight w:val="none"/>
          <w:lang w:eastAsia="zh-CN"/>
        </w:rPr>
        <w:t>；</w:t>
      </w:r>
    </w:p>
    <w:p>
      <w:pPr>
        <w:ind w:firstLine="560" w:firstLineChars="200"/>
        <w:rPr>
          <w:rFonts w:hint="eastAsia" w:ascii="仿宋" w:hAnsi="仿宋" w:eastAsia="仿宋"/>
          <w:color w:val="auto"/>
          <w:sz w:val="28"/>
          <w:szCs w:val="28"/>
          <w:highlight w:val="yellow"/>
          <w:lang w:val="en-US" w:eastAsia="zh-CN"/>
        </w:rPr>
      </w:pPr>
      <w:r>
        <w:rPr>
          <w:rFonts w:hint="eastAsia" w:ascii="仿宋" w:hAnsi="仿宋" w:eastAsia="仿宋"/>
          <w:color w:val="auto"/>
          <w:sz w:val="28"/>
          <w:szCs w:val="28"/>
          <w:highlight w:val="none"/>
        </w:rPr>
        <w:t>地点：</w:t>
      </w:r>
      <w:r>
        <w:rPr>
          <w:rFonts w:hint="eastAsia" w:ascii="仿宋" w:hAnsi="仿宋" w:eastAsia="仿宋"/>
          <w:color w:val="auto"/>
          <w:sz w:val="28"/>
          <w:szCs w:val="28"/>
          <w:highlight w:val="none"/>
          <w:lang w:val="en-US" w:eastAsia="zh-CN"/>
        </w:rPr>
        <w:t>滁州市扬子工业投资集团有限公司1310会议室（滁州市南谯区中都大道与醉翁路交叉口西南角城投大厦）；</w:t>
      </w:r>
    </w:p>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五</w:t>
      </w:r>
      <w:r>
        <w:rPr>
          <w:rFonts w:hint="eastAsia" w:ascii="黑体" w:hAnsi="黑体" w:eastAsia="黑体" w:cs="黑体"/>
          <w:color w:val="auto"/>
          <w:sz w:val="28"/>
          <w:szCs w:val="28"/>
          <w:highlight w:val="none"/>
        </w:rPr>
        <w:t>、投标保证金金额及缴纳账户</w:t>
      </w:r>
    </w:p>
    <w:p>
      <w:pPr>
        <w:pStyle w:val="126"/>
        <w:rPr>
          <w:color w:val="auto"/>
          <w:highlight w:val="none"/>
        </w:rPr>
      </w:pPr>
      <w:bookmarkStart w:id="15" w:name="_Toc35393795"/>
      <w:bookmarkStart w:id="16" w:name="_Toc35393626"/>
      <w:r>
        <w:rPr>
          <w:color w:val="auto"/>
          <w:highlight w:val="none"/>
        </w:rPr>
        <w:t>窗体顶端</w:t>
      </w:r>
    </w:p>
    <w:p>
      <w:pPr>
        <w:ind w:firstLine="560" w:firstLineChars="200"/>
        <w:rPr>
          <w:rFonts w:hint="eastAsia" w:ascii="仿宋" w:hAnsi="仿宋" w:eastAsia="仿宋" w:cs="Times New Roman"/>
          <w:color w:val="auto"/>
          <w:sz w:val="28"/>
          <w:szCs w:val="28"/>
          <w:highlight w:val="none"/>
        </w:rPr>
      </w:pPr>
      <w:r>
        <w:rPr>
          <w:rFonts w:hint="eastAsia" w:ascii="仿宋" w:hAnsi="仿宋" w:eastAsia="仿宋" w:cs="Times New Roman"/>
          <w:color w:val="auto"/>
          <w:sz w:val="28"/>
          <w:szCs w:val="28"/>
          <w:highlight w:val="none"/>
        </w:rPr>
        <w:t>不要求投标人提交投标保证金。</w:t>
      </w:r>
    </w:p>
    <w:p>
      <w:pPr>
        <w:pStyle w:val="127"/>
        <w:rPr>
          <w:color w:val="auto"/>
          <w:highlight w:val="none"/>
        </w:rPr>
      </w:pPr>
      <w:r>
        <w:rPr>
          <w:color w:val="auto"/>
          <w:highlight w:val="none"/>
        </w:rPr>
        <w:t>窗体底端</w:t>
      </w:r>
    </w:p>
    <w:bookmarkEnd w:id="15"/>
    <w:bookmarkEnd w:id="16"/>
    <w:p>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六</w:t>
      </w:r>
      <w:r>
        <w:rPr>
          <w:rFonts w:hint="eastAsia" w:ascii="黑体" w:hAnsi="黑体" w:eastAsia="黑体" w:cs="黑体"/>
          <w:color w:val="auto"/>
          <w:sz w:val="28"/>
          <w:szCs w:val="28"/>
          <w:highlight w:val="none"/>
        </w:rPr>
        <w:t>、对本次招标提出询问，请按以下方式联系</w:t>
      </w:r>
    </w:p>
    <w:p>
      <w:pPr>
        <w:pStyle w:val="7"/>
        <w:numPr>
          <w:ilvl w:val="0"/>
          <w:numId w:val="0"/>
        </w:numPr>
        <w:adjustRightInd/>
        <w:spacing w:line="240" w:lineRule="auto"/>
        <w:ind w:left="-199" w:leftChars="-95" w:firstLine="560" w:firstLineChars="2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　1.招标人信息</w:t>
      </w:r>
    </w:p>
    <w:p>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lang w:eastAsia="zh-CN"/>
        </w:rPr>
        <w:t>滁州市城泊车辆服务有限公司</w:t>
      </w:r>
    </w:p>
    <w:p>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rPr>
        <w:t>滁州市清流西路扬子宾馆停车场院内</w:t>
      </w:r>
    </w:p>
    <w:p>
      <w:pPr>
        <w:ind w:firstLine="560" w:firstLineChars="200"/>
        <w:jc w:val="left"/>
        <w:rPr>
          <w:rFonts w:hint="eastAsia" w:ascii="仿宋" w:hAnsi="仿宋" w:eastAsia="仿宋" w:cs="仿宋"/>
          <w:color w:val="auto"/>
          <w:sz w:val="28"/>
          <w:szCs w:val="28"/>
          <w:highlight w:val="none"/>
          <w:u w:val="single"/>
          <w:lang w:val="en-US" w:eastAsia="zh-CN"/>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lang w:val="en-US" w:eastAsia="zh-CN"/>
        </w:rPr>
        <w:t xml:space="preserve">15215500991 </w:t>
      </w:r>
    </w:p>
    <w:p>
      <w:pPr>
        <w:pStyle w:val="2"/>
        <w:ind w:left="0" w:leftChars="0" w:firstLine="560" w:firstLineChars="200"/>
        <w:rPr>
          <w:rFonts w:hint="default"/>
          <w:color w:val="auto"/>
          <w:highlight w:val="none"/>
          <w:lang w:val="en-US"/>
        </w:rPr>
      </w:pPr>
      <w:r>
        <w:rPr>
          <w:rFonts w:hint="eastAsia" w:ascii="仿宋" w:hAnsi="仿宋" w:eastAsia="仿宋" w:cs="仿宋"/>
          <w:color w:val="auto"/>
          <w:sz w:val="28"/>
          <w:szCs w:val="28"/>
          <w:highlight w:val="none"/>
          <w:u w:val="none"/>
          <w:lang w:val="en-US" w:eastAsia="zh-CN"/>
        </w:rPr>
        <w:t>监督电话：</w:t>
      </w:r>
      <w:r>
        <w:rPr>
          <w:rFonts w:hint="eastAsia" w:ascii="仿宋" w:hAnsi="仿宋" w:eastAsia="仿宋" w:cs="仿宋"/>
          <w:color w:val="auto"/>
          <w:sz w:val="28"/>
          <w:szCs w:val="28"/>
          <w:highlight w:val="none"/>
          <w:u w:val="single"/>
          <w:lang w:val="en-US" w:eastAsia="zh-CN"/>
        </w:rPr>
        <w:t>0550-3017855</w:t>
      </w:r>
    </w:p>
    <w:p>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2.代理机构信息</w:t>
      </w:r>
    </w:p>
    <w:p>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rPr>
        <w:t>滁州市城投工程咨询管理有限公司</w:t>
      </w:r>
    </w:p>
    <w:p>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rPr>
        <w:t>滁州市龙蟠大道109号房产大厦6楼</w:t>
      </w:r>
    </w:p>
    <w:p>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rPr>
        <w:t>0550-3519590、18005501210</w:t>
      </w:r>
    </w:p>
    <w:p>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3.项目联系方式</w:t>
      </w:r>
    </w:p>
    <w:p>
      <w:pPr>
        <w:pStyle w:val="18"/>
        <w:ind w:left="-199" w:leftChars="-95" w:firstLine="840" w:firstLineChars="300"/>
        <w:jc w:val="left"/>
        <w:rPr>
          <w:rFonts w:hint="eastAsia" w:ascii="仿宋" w:hAnsi="仿宋" w:eastAsia="仿宋" w:cs="仿宋"/>
          <w:color w:val="auto"/>
          <w:sz w:val="28"/>
          <w:szCs w:val="28"/>
          <w:highlight w:val="none"/>
          <w:u w:val="single" w:color="auto"/>
        </w:rPr>
      </w:pPr>
      <w:r>
        <w:rPr>
          <w:rFonts w:hint="eastAsia" w:ascii="仿宋" w:hAnsi="仿宋" w:eastAsia="仿宋" w:cs="仿宋"/>
          <w:color w:val="auto"/>
          <w:sz w:val="28"/>
          <w:szCs w:val="28"/>
          <w:highlight w:val="none"/>
        </w:rPr>
        <w:t>项目联系人：</w:t>
      </w:r>
      <w:r>
        <w:rPr>
          <w:rFonts w:hint="eastAsia" w:ascii="仿宋" w:hAnsi="仿宋" w:eastAsia="仿宋" w:cs="仿宋"/>
          <w:color w:val="auto"/>
          <w:sz w:val="28"/>
          <w:szCs w:val="28"/>
          <w:highlight w:val="none"/>
          <w:u w:val="single" w:color="auto"/>
          <w:lang w:val="en-US" w:eastAsia="zh-CN"/>
        </w:rPr>
        <w:t>丁玲、</w:t>
      </w:r>
      <w:r>
        <w:rPr>
          <w:rFonts w:hint="eastAsia" w:ascii="仿宋" w:hAnsi="仿宋" w:eastAsia="仿宋" w:cs="仿宋"/>
          <w:color w:val="auto"/>
          <w:sz w:val="28"/>
          <w:szCs w:val="28"/>
          <w:highlight w:val="none"/>
          <w:u w:val="single" w:color="auto"/>
        </w:rPr>
        <w:t>杨韦</w:t>
      </w:r>
    </w:p>
    <w:p>
      <w:pPr>
        <w:ind w:left="-199" w:leftChars="-95" w:firstLine="840" w:firstLineChars="300"/>
        <w:jc w:val="left"/>
        <w:rPr>
          <w:rFonts w:ascii="仿宋" w:hAnsi="仿宋" w:eastAsia="仿宋"/>
          <w:color w:val="auto"/>
          <w:sz w:val="28"/>
          <w:szCs w:val="28"/>
          <w:highlight w:val="none"/>
          <w:u w:val="single"/>
        </w:rPr>
      </w:pPr>
      <w:r>
        <w:rPr>
          <w:rFonts w:hint="eastAsia" w:ascii="仿宋" w:hAnsi="仿宋" w:eastAsia="仿宋" w:cs="仿宋"/>
          <w:color w:val="auto"/>
          <w:sz w:val="28"/>
          <w:szCs w:val="28"/>
          <w:highlight w:val="none"/>
        </w:rPr>
        <w:t>电　　 话：</w:t>
      </w:r>
      <w:r>
        <w:rPr>
          <w:rFonts w:hint="eastAsia" w:ascii="仿宋" w:hAnsi="仿宋" w:eastAsia="仿宋" w:cs="仿宋"/>
          <w:color w:val="auto"/>
          <w:sz w:val="28"/>
          <w:szCs w:val="28"/>
          <w:highlight w:val="none"/>
          <w:u w:val="single" w:color="auto"/>
          <w:lang w:val="en-US" w:eastAsia="zh-CN"/>
        </w:rPr>
        <w:t>15215500991、</w:t>
      </w:r>
      <w:r>
        <w:rPr>
          <w:rFonts w:hint="eastAsia" w:ascii="仿宋" w:hAnsi="仿宋" w:eastAsia="仿宋" w:cs="仿宋"/>
          <w:color w:val="auto"/>
          <w:sz w:val="28"/>
          <w:szCs w:val="28"/>
          <w:highlight w:val="none"/>
          <w:u w:val="single" w:color="auto"/>
        </w:rPr>
        <w:t>0</w:t>
      </w:r>
      <w:r>
        <w:rPr>
          <w:rFonts w:hint="eastAsia" w:ascii="仿宋" w:hAnsi="仿宋" w:eastAsia="仿宋" w:cs="仿宋"/>
          <w:color w:val="auto"/>
          <w:sz w:val="28"/>
          <w:szCs w:val="28"/>
          <w:highlight w:val="none"/>
          <w:u w:val="single"/>
        </w:rPr>
        <w:t xml:space="preserve">550-3519590 </w:t>
      </w:r>
    </w:p>
    <w:p>
      <w:pPr>
        <w:spacing w:before="156" w:beforeLines="50" w:after="156" w:afterLines="50"/>
        <w:ind w:firstLine="643" w:firstLineChars="200"/>
        <w:jc w:val="center"/>
        <w:outlineLvl w:val="0"/>
        <w:rPr>
          <w:rFonts w:hint="eastAsia" w:ascii="宋体"/>
          <w:b/>
          <w:color w:val="auto"/>
          <w:sz w:val="32"/>
          <w:szCs w:val="32"/>
          <w:highlight w:val="none"/>
        </w:rPr>
      </w:pPr>
      <w:r>
        <w:rPr>
          <w:rFonts w:hint="eastAsia" w:ascii="宋体"/>
          <w:b/>
          <w:color w:val="auto"/>
          <w:sz w:val="32"/>
          <w:szCs w:val="32"/>
          <w:highlight w:val="none"/>
        </w:rPr>
        <w:br w:type="page"/>
      </w:r>
      <w:r>
        <w:rPr>
          <w:rFonts w:hint="eastAsia" w:ascii="宋体"/>
          <w:b/>
          <w:color w:val="auto"/>
          <w:sz w:val="32"/>
          <w:szCs w:val="32"/>
          <w:highlight w:val="none"/>
        </w:rPr>
        <w:t>第二章 投标人须知</w:t>
      </w:r>
      <w:bookmarkEnd w:id="2"/>
    </w:p>
    <w:p>
      <w:pPr>
        <w:snapToGrid w:val="0"/>
        <w:spacing w:line="500" w:lineRule="exact"/>
        <w:jc w:val="center"/>
        <w:outlineLvl w:val="1"/>
        <w:rPr>
          <w:rFonts w:hint="eastAsia" w:ascii="宋体"/>
          <w:b/>
          <w:color w:val="auto"/>
          <w:sz w:val="28"/>
          <w:szCs w:val="28"/>
          <w:highlight w:val="none"/>
        </w:rPr>
      </w:pPr>
      <w:bookmarkStart w:id="17" w:name="_Toc58430314"/>
      <w:bookmarkStart w:id="18" w:name="_Toc449028865"/>
      <w:r>
        <w:rPr>
          <w:rFonts w:hint="eastAsia" w:ascii="宋体"/>
          <w:b/>
          <w:color w:val="auto"/>
          <w:sz w:val="32"/>
          <w:szCs w:val="32"/>
          <w:highlight w:val="none"/>
        </w:rPr>
        <w:t>一、</w:t>
      </w:r>
      <w:r>
        <w:rPr>
          <w:rFonts w:hint="eastAsia" w:ascii="宋体"/>
          <w:b/>
          <w:color w:val="auto"/>
          <w:sz w:val="28"/>
          <w:szCs w:val="28"/>
          <w:highlight w:val="none"/>
        </w:rPr>
        <w:t>投标人须知前附表</w:t>
      </w:r>
      <w:bookmarkEnd w:id="17"/>
      <w:bookmarkEnd w:id="18"/>
    </w:p>
    <w:tbl>
      <w:tblPr>
        <w:tblStyle w:val="34"/>
        <w:tblW w:w="10200"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20"/>
        <w:gridCol w:w="2508"/>
        <w:gridCol w:w="6672"/>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条款号</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49"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滁州市城泊车辆服务有限公司公共停车场保洁服务项目（三次）</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期</w:t>
            </w:r>
          </w:p>
        </w:tc>
        <w:tc>
          <w:tcPr>
            <w:tcW w:w="6672" w:type="dxa"/>
            <w:noWrap w:val="0"/>
            <w:vAlign w:val="center"/>
          </w:tcPr>
          <w:p>
            <w:pPr>
              <w:pStyle w:val="21"/>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自合同签订之日起一年</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如服务期满，经招标方业绩考核满意，可以续签1年服务期。</w:t>
            </w:r>
          </w:p>
          <w:p>
            <w:pPr>
              <w:pStyle w:val="21"/>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注：自合同签订之日起开始计算进行为期两个月的考核期，如考核期内不合格，招标人有权单方解除合同。服务期限中含两个月考核期。</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25"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地点</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rPr>
            </w:pPr>
            <w:r>
              <w:rPr>
                <w:rFonts w:hint="eastAsia" w:hAnsi="宋体" w:cs="宋体"/>
                <w:color w:val="auto"/>
                <w:sz w:val="21"/>
                <w:szCs w:val="21"/>
                <w:highlight w:val="none"/>
                <w:lang w:val="en-US" w:eastAsia="zh-CN"/>
              </w:rPr>
              <w:t>具体详见采购需求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联系人及电话</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联系人：</w:t>
            </w:r>
            <w:r>
              <w:rPr>
                <w:rFonts w:hint="eastAsia" w:hAnsi="宋体" w:cs="宋体"/>
                <w:color w:val="auto"/>
                <w:sz w:val="21"/>
                <w:szCs w:val="21"/>
                <w:highlight w:val="none"/>
                <w:lang w:val="en-US" w:eastAsia="zh-CN"/>
              </w:rPr>
              <w:t>丁玲</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电话：</w:t>
            </w:r>
            <w:r>
              <w:rPr>
                <w:rFonts w:hint="eastAsia" w:hAnsi="宋体" w:cs="宋体"/>
                <w:color w:val="auto"/>
                <w:sz w:val="21"/>
                <w:szCs w:val="21"/>
                <w:highlight w:val="none"/>
                <w:lang w:val="en-US" w:eastAsia="zh-CN"/>
              </w:rPr>
              <w:t>15215500991</w:t>
            </w:r>
            <w:r>
              <w:rPr>
                <w:rFonts w:hint="eastAsia" w:ascii="宋体" w:hAnsi="宋体" w:eastAsia="宋体" w:cs="宋体"/>
                <w:color w:val="auto"/>
                <w:sz w:val="21"/>
                <w:szCs w:val="21"/>
                <w:highlight w:val="none"/>
                <w:lang w:val="en-US" w:eastAsia="zh-CN"/>
              </w:rPr>
              <w:t xml:space="preserve">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采购代理机构联系人及电话</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联系人：杨韦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电话0550-30519590、18005501210</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57"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资金来源                                                                                                                                                                 </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自筹资金</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采购预算</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29.5万</w:t>
            </w:r>
            <w:r>
              <w:rPr>
                <w:rFonts w:hint="eastAsia" w:ascii="宋体" w:hAnsi="宋体" w:eastAsia="宋体" w:cs="宋体"/>
                <w:color w:val="auto"/>
                <w:sz w:val="21"/>
                <w:szCs w:val="21"/>
                <w:highlight w:val="none"/>
              </w:rPr>
              <w:t>元</w:t>
            </w:r>
            <w:r>
              <w:rPr>
                <w:rFonts w:hint="eastAsia" w:hAnsi="宋体" w:cs="宋体"/>
                <w:color w:val="auto"/>
                <w:sz w:val="21"/>
                <w:szCs w:val="21"/>
                <w:highlight w:val="none"/>
                <w:lang w:val="en-US" w:eastAsia="zh-CN"/>
              </w:rPr>
              <w:t>/年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29.5万</w:t>
            </w:r>
            <w:r>
              <w:rPr>
                <w:rFonts w:hint="eastAsia" w:ascii="宋体" w:hAnsi="宋体" w:eastAsia="宋体" w:cs="宋体"/>
                <w:color w:val="auto"/>
                <w:sz w:val="21"/>
                <w:szCs w:val="21"/>
                <w:highlight w:val="none"/>
              </w:rPr>
              <w:t>元</w:t>
            </w:r>
            <w:r>
              <w:rPr>
                <w:rFonts w:hint="eastAsia" w:ascii="宋体" w:hAnsi="宋体" w:eastAsia="宋体" w:cs="宋体"/>
                <w:color w:val="auto"/>
                <w:sz w:val="21"/>
                <w:szCs w:val="21"/>
                <w:highlight w:val="none"/>
                <w:lang w:val="en-US" w:eastAsia="zh-CN"/>
              </w:rPr>
              <w:t>/年</w:t>
            </w:r>
            <w:r>
              <w:rPr>
                <w:rFonts w:hint="eastAsia" w:ascii="宋体" w:hAnsi="宋体" w:eastAsia="宋体" w:cs="宋体"/>
                <w:color w:val="auto"/>
                <w:sz w:val="21"/>
                <w:szCs w:val="21"/>
                <w:highlight w:val="none"/>
              </w:rPr>
              <w:t>，投标报价均不得高于最高限价，否则将作为无效投标处理。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本项目采购内容包括：详见《采购需求》</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标包划分</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本项目划分为</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个标包</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公开招标</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投标人资格条件及其他要求</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不组织,投标人自行踏勘现场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投标预备会</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不召开</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招标代理费</w:t>
            </w:r>
            <w:r>
              <w:rPr>
                <w:rFonts w:hint="eastAsia" w:ascii="宋体" w:hAnsi="宋体" w:eastAsia="宋体" w:cs="宋体"/>
                <w:color w:val="auto"/>
                <w:sz w:val="21"/>
                <w:szCs w:val="21"/>
                <w:highlight w:val="none"/>
                <w:lang w:val="en-US" w:eastAsia="zh-CN"/>
              </w:rPr>
              <w:t>及其他费用</w:t>
            </w:r>
          </w:p>
        </w:tc>
        <w:tc>
          <w:tcPr>
            <w:tcW w:w="6672"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代理服务费金额：</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000</w:t>
            </w:r>
            <w:r>
              <w:rPr>
                <w:rFonts w:hint="eastAsia" w:ascii="宋体" w:hAnsi="宋体" w:eastAsia="宋体" w:cs="宋体"/>
                <w:color w:val="auto"/>
                <w:sz w:val="21"/>
                <w:szCs w:val="21"/>
                <w:highlight w:val="none"/>
              </w:rPr>
              <w:t>元；</w:t>
            </w:r>
            <w:r>
              <w:rPr>
                <w:rFonts w:hint="eastAsia" w:ascii="宋体" w:hAnsi="宋体" w:cs="宋体"/>
                <w:color w:val="auto"/>
                <w:sz w:val="21"/>
                <w:szCs w:val="21"/>
                <w:highlight w:val="none"/>
                <w:lang w:val="en-US" w:eastAsia="zh-CN"/>
              </w:rPr>
              <w:t>评审</w:t>
            </w:r>
            <w:r>
              <w:rPr>
                <w:rFonts w:hint="eastAsia" w:ascii="宋体" w:hAnsi="宋体" w:eastAsia="宋体" w:cs="宋体"/>
                <w:color w:val="auto"/>
                <w:sz w:val="21"/>
                <w:szCs w:val="21"/>
                <w:highlight w:val="none"/>
                <w:lang w:val="en-US" w:eastAsia="zh-CN"/>
              </w:rPr>
              <w:t>费用以实际发生费用为准。</w:t>
            </w:r>
          </w:p>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支付主体：</w:t>
            </w:r>
            <w:r>
              <w:rPr>
                <w:rFonts w:hint="eastAsia" w:ascii="宋体" w:hAnsi="宋体" w:eastAsia="宋体" w:cs="宋体"/>
                <w:color w:val="auto"/>
                <w:sz w:val="21"/>
                <w:szCs w:val="21"/>
                <w:highlight w:val="none"/>
                <w:lang w:val="en-US" w:eastAsia="zh-CN"/>
              </w:rPr>
              <w:t>中标人</w:t>
            </w:r>
            <w:r>
              <w:rPr>
                <w:rFonts w:hint="eastAsia" w:ascii="宋体" w:hAnsi="宋体" w:eastAsia="宋体" w:cs="宋体"/>
                <w:color w:val="auto"/>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15.4</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澄清的方式</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招标人将于</w:t>
            </w:r>
            <w:r>
              <w:rPr>
                <w:rFonts w:hint="eastAsia" w:ascii="宋体" w:hAnsi="宋体" w:eastAsia="宋体" w:cs="宋体"/>
                <w:b/>
                <w:bCs/>
                <w:color w:val="auto"/>
                <w:sz w:val="21"/>
                <w:szCs w:val="21"/>
                <w:highlight w:val="none"/>
                <w:lang w:val="en-US" w:eastAsia="zh-CN"/>
              </w:rPr>
              <w:t>202</w:t>
            </w:r>
            <w:r>
              <w:rPr>
                <w:rFonts w:hint="eastAsia" w:ascii="宋体" w:hAnsi="宋体" w:cs="宋体"/>
                <w:b/>
                <w:bCs/>
                <w:color w:val="auto"/>
                <w:sz w:val="21"/>
                <w:szCs w:val="21"/>
                <w:highlight w:val="none"/>
                <w:lang w:val="en-US" w:eastAsia="zh-CN"/>
              </w:rPr>
              <w:t>4</w:t>
            </w:r>
            <w:r>
              <w:rPr>
                <w:rFonts w:hint="eastAsia" w:ascii="宋体" w:hAnsi="宋体" w:eastAsia="宋体" w:cs="宋体"/>
                <w:b/>
                <w:bCs/>
                <w:color w:val="auto"/>
                <w:sz w:val="21"/>
                <w:szCs w:val="21"/>
                <w:highlight w:val="none"/>
                <w:lang w:val="en-US" w:eastAsia="zh-CN"/>
              </w:rPr>
              <w:t>年</w:t>
            </w: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lang w:val="en-US" w:eastAsia="zh-CN"/>
              </w:rPr>
              <w:t>月</w:t>
            </w: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lang w:val="en-US" w:eastAsia="zh-CN"/>
              </w:rPr>
              <w:t>日</w:t>
            </w:r>
            <w:r>
              <w:rPr>
                <w:rFonts w:hint="eastAsia" w:ascii="宋体" w:hAnsi="宋体" w:cs="宋体"/>
                <w:b/>
                <w:bCs/>
                <w:color w:val="auto"/>
                <w:sz w:val="21"/>
                <w:szCs w:val="21"/>
                <w:highlight w:val="none"/>
                <w:lang w:val="en-US" w:eastAsia="zh-CN"/>
              </w:rPr>
              <w:t>17</w:t>
            </w:r>
            <w:r>
              <w:rPr>
                <w:rFonts w:hint="eastAsia" w:ascii="宋体" w:hAnsi="宋体" w:eastAsia="宋体" w:cs="宋体"/>
                <w:b/>
                <w:bCs/>
                <w:color w:val="auto"/>
                <w:sz w:val="21"/>
                <w:szCs w:val="21"/>
                <w:highlight w:val="none"/>
                <w:lang w:val="en-US" w:eastAsia="zh-CN"/>
              </w:rPr>
              <w:t>时</w:t>
            </w:r>
            <w:r>
              <w:rPr>
                <w:rFonts w:hint="eastAsia" w:ascii="宋体" w:hAnsi="宋体" w:eastAsia="宋体" w:cs="宋体"/>
                <w:color w:val="auto"/>
                <w:sz w:val="21"/>
                <w:szCs w:val="21"/>
                <w:highlight w:val="none"/>
                <w:lang w:val="en-US" w:eastAsia="zh-CN"/>
              </w:rPr>
              <w:t>后，</w:t>
            </w:r>
            <w:r>
              <w:rPr>
                <w:rFonts w:hint="eastAsia" w:ascii="宋体" w:hAnsi="宋体" w:eastAsia="宋体" w:cs="宋体"/>
                <w:color w:val="auto"/>
                <w:sz w:val="21"/>
                <w:szCs w:val="21"/>
                <w:highlight w:val="none"/>
              </w:rPr>
              <w:t>以更正公告形式</w:t>
            </w:r>
            <w:r>
              <w:rPr>
                <w:rFonts w:hint="eastAsia" w:ascii="宋体" w:hAnsi="宋体" w:eastAsia="宋体" w:cs="宋体"/>
                <w:color w:val="auto"/>
                <w:sz w:val="21"/>
                <w:szCs w:val="21"/>
                <w:highlight w:val="none"/>
                <w:lang w:val="en-US" w:eastAsia="zh-CN"/>
              </w:rPr>
              <w:t>在中国扬子集团官网（http://www.yangzigroup.cn/case/jingpinzhuzhai/）及滁州市工投公司微信公众号予以公布。</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w:t>
            </w:r>
          </w:p>
        </w:tc>
        <w:tc>
          <w:tcPr>
            <w:tcW w:w="6672" w:type="dxa"/>
            <w:noWrap w:val="0"/>
            <w:vAlign w:val="top"/>
          </w:tcPr>
          <w:p>
            <w:pPr>
              <w:keepNext w:val="0"/>
              <w:keepLines w:val="0"/>
              <w:pageBreakBefore w:val="0"/>
              <w:widowControl/>
              <w:shd w:val="clear" w:color="auto" w:fill="FFFFFF"/>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不收取</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投标文件数量</w:t>
            </w:r>
          </w:p>
        </w:tc>
        <w:tc>
          <w:tcPr>
            <w:tcW w:w="6672" w:type="dxa"/>
            <w:noWrap w:val="0"/>
            <w:vAlign w:val="center"/>
          </w:tcPr>
          <w:p>
            <w:pPr>
              <w:keepNext w:val="0"/>
              <w:keepLines w:val="0"/>
              <w:pageBreakBefore w:val="0"/>
              <w:widowControl/>
              <w:kinsoku/>
              <w:overflowPunct/>
              <w:topLinePunct w:val="0"/>
              <w:autoSpaceDE/>
              <w:autoSpaceDN/>
              <w:bidi w:val="0"/>
              <w:adjustRightInd/>
              <w:spacing w:line="500" w:lineRule="exact"/>
              <w:ind w:firstLine="89" w:firstLineChars="42"/>
              <w:jc w:val="left"/>
              <w:textAlignment w:val="auto"/>
              <w:rPr>
                <w:rFonts w:hint="eastAsia" w:ascii="宋体" w:hAnsi="宋体" w:eastAsia="宋体" w:cs="宋体"/>
                <w:b/>
                <w:color w:val="auto"/>
                <w:kern w:val="0"/>
                <w:sz w:val="21"/>
                <w:szCs w:val="21"/>
                <w:highlight w:val="none"/>
                <w:lang w:val="en-US" w:eastAsia="zh-CN"/>
              </w:rPr>
            </w:pPr>
            <w:r>
              <w:rPr>
                <w:rFonts w:hint="eastAsia" w:ascii="宋体" w:hAnsi="宋体" w:eastAsia="宋体" w:cs="宋体"/>
                <w:b/>
                <w:color w:val="auto"/>
                <w:kern w:val="0"/>
                <w:sz w:val="21"/>
                <w:szCs w:val="21"/>
                <w:highlight w:val="none"/>
              </w:rPr>
              <w:t>正本</w:t>
            </w:r>
            <w:r>
              <w:rPr>
                <w:rFonts w:hint="eastAsia" w:ascii="宋体" w:hAnsi="宋体" w:eastAsia="宋体" w:cs="宋体"/>
                <w:b/>
                <w:color w:val="auto"/>
                <w:kern w:val="0"/>
                <w:sz w:val="21"/>
                <w:szCs w:val="21"/>
                <w:highlight w:val="none"/>
                <w:u w:val="single"/>
              </w:rPr>
              <w:t xml:space="preserve"> 1 </w:t>
            </w:r>
            <w:r>
              <w:rPr>
                <w:rFonts w:hint="eastAsia" w:ascii="宋体" w:hAnsi="宋体" w:eastAsia="宋体" w:cs="宋体"/>
                <w:b/>
                <w:color w:val="auto"/>
                <w:kern w:val="0"/>
                <w:sz w:val="21"/>
                <w:szCs w:val="21"/>
                <w:highlight w:val="none"/>
              </w:rPr>
              <w:t>份，副本</w:t>
            </w:r>
            <w:r>
              <w:rPr>
                <w:rFonts w:hint="eastAsia" w:ascii="宋体" w:hAnsi="宋体" w:eastAsia="宋体" w:cs="宋体"/>
                <w:b/>
                <w:color w:val="auto"/>
                <w:kern w:val="0"/>
                <w:sz w:val="21"/>
                <w:szCs w:val="21"/>
                <w:highlight w:val="none"/>
                <w:u w:val="single"/>
              </w:rPr>
              <w:t xml:space="preserve"> </w:t>
            </w:r>
            <w:r>
              <w:rPr>
                <w:rFonts w:hint="eastAsia" w:ascii="宋体" w:hAnsi="宋体" w:eastAsia="宋体" w:cs="宋体"/>
                <w:b/>
                <w:color w:val="auto"/>
                <w:kern w:val="0"/>
                <w:sz w:val="21"/>
                <w:szCs w:val="21"/>
                <w:highlight w:val="none"/>
                <w:u w:val="single"/>
                <w:lang w:val="en-US" w:eastAsia="zh-CN"/>
              </w:rPr>
              <w:t>2</w:t>
            </w:r>
            <w:r>
              <w:rPr>
                <w:rFonts w:hint="eastAsia" w:ascii="宋体" w:hAnsi="宋体" w:eastAsia="宋体" w:cs="宋体"/>
                <w:b/>
                <w:color w:val="auto"/>
                <w:kern w:val="0"/>
                <w:sz w:val="21"/>
                <w:szCs w:val="21"/>
                <w:highlight w:val="none"/>
              </w:rPr>
              <w:t>份</w:t>
            </w:r>
            <w:r>
              <w:rPr>
                <w:rFonts w:hint="eastAsia" w:ascii="宋体" w:hAnsi="宋体" w:eastAsia="宋体" w:cs="宋体"/>
                <w:b/>
                <w:color w:val="auto"/>
                <w:kern w:val="0"/>
                <w:sz w:val="21"/>
                <w:szCs w:val="21"/>
                <w:highlight w:val="none"/>
                <w:lang w:eastAsia="zh-CN"/>
              </w:rPr>
              <w:t>。</w:t>
            </w:r>
            <w:r>
              <w:rPr>
                <w:rFonts w:hint="eastAsia" w:ascii="宋体" w:hAnsi="宋体" w:eastAsia="宋体" w:cs="宋体"/>
                <w:b/>
                <w:color w:val="auto"/>
                <w:kern w:val="0"/>
                <w:sz w:val="21"/>
                <w:szCs w:val="21"/>
                <w:highlight w:val="none"/>
                <w:lang w:val="en-US" w:eastAsia="zh-CN"/>
              </w:rPr>
              <w:t>投标文件按顺序装订并密封。</w:t>
            </w:r>
          </w:p>
          <w:p>
            <w:pPr>
              <w:keepNext w:val="0"/>
              <w:keepLines w:val="0"/>
              <w:pageBreakBefore w:val="0"/>
              <w:widowControl/>
              <w:kinsoku/>
              <w:overflowPunct/>
              <w:topLinePunct w:val="0"/>
              <w:autoSpaceDE/>
              <w:autoSpaceDN/>
              <w:bidi w:val="0"/>
              <w:adjustRightInd/>
              <w:spacing w:line="500" w:lineRule="exact"/>
              <w:ind w:firstLine="89" w:firstLineChars="42"/>
              <w:jc w:val="left"/>
              <w:textAlignment w:val="auto"/>
              <w:rPr>
                <w:rFonts w:hint="eastAsia" w:ascii="宋体" w:hAnsi="宋体" w:eastAsia="宋体" w:cs="宋体"/>
                <w:color w:val="auto"/>
                <w:sz w:val="21"/>
                <w:szCs w:val="21"/>
                <w:highlight w:val="none"/>
                <w:lang w:val="en-US" w:eastAsia="zh-CN"/>
              </w:rPr>
            </w:pPr>
            <w:r>
              <w:rPr>
                <w:rFonts w:hint="eastAsia" w:ascii="宋体" w:hAnsi="宋体" w:cs="宋体"/>
                <w:b/>
                <w:color w:val="auto"/>
                <w:kern w:val="0"/>
                <w:sz w:val="21"/>
                <w:szCs w:val="21"/>
                <w:highlight w:val="none"/>
                <w:lang w:val="en-US" w:eastAsia="zh-CN"/>
              </w:rPr>
              <w:t>投标文件</w:t>
            </w:r>
            <w:r>
              <w:rPr>
                <w:rFonts w:hint="eastAsia" w:ascii="宋体" w:hAnsi="宋体" w:eastAsia="宋体" w:cs="宋体"/>
                <w:b/>
                <w:color w:val="auto"/>
                <w:kern w:val="0"/>
                <w:sz w:val="21"/>
                <w:szCs w:val="21"/>
                <w:highlight w:val="none"/>
                <w:lang w:val="en-US" w:eastAsia="zh-CN"/>
              </w:rPr>
              <w:t>正副本密封在</w:t>
            </w:r>
            <w:r>
              <w:rPr>
                <w:rFonts w:hint="eastAsia" w:ascii="宋体" w:hAnsi="宋体" w:cs="宋体"/>
                <w:b/>
                <w:color w:val="auto"/>
                <w:kern w:val="0"/>
                <w:sz w:val="21"/>
                <w:szCs w:val="21"/>
                <w:highlight w:val="none"/>
                <w:lang w:val="en-US" w:eastAsia="zh-CN"/>
              </w:rPr>
              <w:t>投标文件</w:t>
            </w:r>
            <w:r>
              <w:rPr>
                <w:rFonts w:hint="eastAsia" w:ascii="宋体" w:hAnsi="宋体" w:eastAsia="宋体" w:cs="宋体"/>
                <w:b/>
                <w:color w:val="auto"/>
                <w:kern w:val="0"/>
                <w:sz w:val="21"/>
                <w:szCs w:val="21"/>
                <w:highlight w:val="none"/>
                <w:lang w:val="en-US" w:eastAsia="zh-CN"/>
              </w:rPr>
              <w:t>档案袋中</w:t>
            </w:r>
            <w:r>
              <w:rPr>
                <w:rFonts w:hint="eastAsia" w:ascii="宋体" w:hAnsi="宋体" w:cs="宋体"/>
                <w:b/>
                <w:color w:val="auto"/>
                <w:kern w:val="0"/>
                <w:sz w:val="21"/>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24.2</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签字或盖章要求</w:t>
            </w:r>
          </w:p>
        </w:tc>
        <w:tc>
          <w:tcPr>
            <w:tcW w:w="6672" w:type="dxa"/>
            <w:noWrap w:val="0"/>
            <w:vAlign w:val="center"/>
          </w:tcPr>
          <w:p>
            <w:pPr>
              <w:keepNext w:val="0"/>
              <w:keepLines w:val="0"/>
              <w:pageBreakBefore w:val="0"/>
              <w:widowControl/>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kern w:val="0"/>
                <w:sz w:val="21"/>
                <w:szCs w:val="21"/>
                <w:highlight w:val="none"/>
              </w:rPr>
              <w:t>投标文件须按格式文件要求签字或盖章，否则经评委会一致认定后，按照无效投标处理。</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73"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25.1</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投标文件提交截止时间</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202</w:t>
            </w:r>
            <w:r>
              <w:rPr>
                <w:rFonts w:hint="eastAsia" w:ascii="宋体" w:hAnsi="宋体" w:cs="宋体"/>
                <w:b/>
                <w:bCs/>
                <w:color w:val="auto"/>
                <w:sz w:val="21"/>
                <w:szCs w:val="21"/>
                <w:highlight w:val="none"/>
                <w:lang w:val="en-US" w:eastAsia="zh-CN"/>
              </w:rPr>
              <w:t>4</w:t>
            </w:r>
            <w:r>
              <w:rPr>
                <w:rFonts w:hint="eastAsia" w:ascii="宋体" w:hAnsi="宋体" w:eastAsia="宋体" w:cs="宋体"/>
                <w:b/>
                <w:bCs/>
                <w:color w:val="auto"/>
                <w:sz w:val="21"/>
                <w:szCs w:val="21"/>
                <w:highlight w:val="none"/>
              </w:rPr>
              <w:t>年</w:t>
            </w: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rPr>
              <w:t>月</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rPr>
              <w:t>日</w:t>
            </w:r>
            <w:r>
              <w:rPr>
                <w:rFonts w:hint="eastAsia" w:ascii="宋体" w:hAnsi="宋体" w:cs="宋体"/>
                <w:b/>
                <w:bCs/>
                <w:color w:val="auto"/>
                <w:sz w:val="21"/>
                <w:szCs w:val="21"/>
                <w:highlight w:val="none"/>
                <w:lang w:val="en-US" w:eastAsia="zh-CN"/>
              </w:rPr>
              <w:t>9</w:t>
            </w:r>
            <w:r>
              <w:rPr>
                <w:rFonts w:hint="eastAsia" w:ascii="宋体" w:hAnsi="宋体" w:eastAsia="宋体" w:cs="宋体"/>
                <w:b/>
                <w:bCs/>
                <w:color w:val="auto"/>
                <w:sz w:val="21"/>
                <w:szCs w:val="21"/>
                <w:highlight w:val="none"/>
              </w:rPr>
              <w:t>时</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分（北京时间）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26.1</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是否退还投标文件</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27.1</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开标时间及地点</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27.3</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开标程序</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开标顺序：</w:t>
            </w:r>
            <w:r>
              <w:rPr>
                <w:rFonts w:hint="eastAsia" w:ascii="宋体" w:hAnsi="宋体" w:eastAsia="宋体" w:cs="宋体"/>
                <w:color w:val="auto"/>
                <w:sz w:val="21"/>
                <w:szCs w:val="21"/>
                <w:highlight w:val="none"/>
                <w:lang w:val="en-US" w:eastAsia="zh-CN"/>
              </w:rPr>
              <w:t>先资格审查</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在进行评审。</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6672" w:type="dxa"/>
            <w:noWrap w:val="0"/>
            <w:vAlign w:val="top"/>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w:t>
            </w:r>
            <w:r>
              <w:rPr>
                <w:rFonts w:hint="eastAsia" w:ascii="宋体" w:hAnsi="宋体" w:eastAsia="宋体" w:cs="宋体"/>
                <w:color w:val="auto"/>
                <w:sz w:val="21"/>
                <w:szCs w:val="21"/>
                <w:highlight w:val="none"/>
                <w:lang w:val="en-US" w:eastAsia="zh-CN"/>
              </w:rPr>
              <w:t>由招标人组建</w:t>
            </w:r>
            <w:r>
              <w:rPr>
                <w:rFonts w:hint="eastAsia" w:ascii="宋体" w:hAnsi="宋体" w:eastAsia="宋体" w:cs="宋体"/>
                <w:color w:val="auto"/>
                <w:sz w:val="21"/>
                <w:szCs w:val="21"/>
                <w:highlight w:val="none"/>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1020" w:type="dxa"/>
            <w:noWrap w:val="0"/>
            <w:vAlign w:val="center"/>
          </w:tcPr>
          <w:p>
            <w:pPr>
              <w:pStyle w:val="18"/>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30.1.1</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是否授权评标委员会确定中标候选人</w:t>
            </w:r>
          </w:p>
        </w:tc>
        <w:tc>
          <w:tcPr>
            <w:tcW w:w="6672" w:type="dxa"/>
            <w:noWrap w:val="0"/>
            <w:vAlign w:val="center"/>
          </w:tcPr>
          <w:p>
            <w:pPr>
              <w:pStyle w:val="18"/>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是，评标委员会推荐</w:t>
            </w:r>
            <w:r>
              <w:rPr>
                <w:rFonts w:hint="eastAsia" w:ascii="宋体" w:hAnsi="宋体" w:eastAsia="宋体" w:cs="宋体"/>
                <w:color w:val="auto"/>
                <w:sz w:val="21"/>
                <w:szCs w:val="21"/>
                <w:highlight w:val="none"/>
                <w:u w:val="single" w:color="auto"/>
              </w:rPr>
              <w:t xml:space="preserve"> 3</w:t>
            </w:r>
            <w:r>
              <w:rPr>
                <w:rFonts w:hint="eastAsia" w:ascii="宋体" w:hAnsi="宋体" w:eastAsia="宋体" w:cs="宋体"/>
                <w:color w:val="auto"/>
                <w:sz w:val="21"/>
                <w:szCs w:val="21"/>
                <w:highlight w:val="none"/>
              </w:rPr>
              <w:t>名中标候选人。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6"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30.2</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中标通知书须加盖</w:t>
            </w:r>
            <w:r>
              <w:rPr>
                <w:rFonts w:hint="eastAsia" w:ascii="宋体" w:hAnsi="宋体" w:eastAsia="宋体" w:cs="宋体"/>
                <w:color w:val="auto"/>
                <w:sz w:val="21"/>
                <w:szCs w:val="21"/>
                <w:highlight w:val="none"/>
                <w:lang w:val="en-US" w:eastAsia="zh-CN"/>
              </w:rPr>
              <w:t>招标人及代理机构公章</w:t>
            </w:r>
            <w:r>
              <w:rPr>
                <w:rFonts w:hint="eastAsia" w:ascii="宋体" w:hAnsi="宋体" w:eastAsia="宋体" w:cs="宋体"/>
                <w:color w:val="auto"/>
                <w:sz w:val="21"/>
                <w:szCs w:val="21"/>
                <w:highlight w:val="none"/>
              </w:rPr>
              <w:t>后方可发出。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34.1</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w:t>
            </w:r>
          </w:p>
        </w:tc>
        <w:tc>
          <w:tcPr>
            <w:tcW w:w="6672" w:type="dxa"/>
            <w:noWrap w:val="0"/>
            <w:vAlign w:val="center"/>
          </w:tcPr>
          <w:p>
            <w:pPr>
              <w:keepNext w:val="0"/>
              <w:keepLines w:val="0"/>
              <w:pageBreakBefore w:val="0"/>
              <w:kinsoku/>
              <w:wordWrap w:val="0"/>
              <w:overflowPunct/>
              <w:topLinePunct w:val="0"/>
              <w:autoSpaceDE/>
              <w:autoSpaceDN/>
              <w:bidi w:val="0"/>
              <w:adjustRightInd/>
              <w:spacing w:line="50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本项目不收取履约担保。</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w:t>
            </w:r>
          </w:p>
        </w:tc>
        <w:tc>
          <w:tcPr>
            <w:tcW w:w="2508" w:type="dxa"/>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投标人对招标文件提出</w:t>
            </w:r>
            <w:r>
              <w:rPr>
                <w:rFonts w:hint="eastAsia" w:ascii="宋体" w:hAnsi="宋体" w:eastAsia="宋体" w:cs="宋体"/>
                <w:color w:val="auto"/>
                <w:sz w:val="21"/>
                <w:szCs w:val="21"/>
                <w:highlight w:val="none"/>
                <w:u w:val="none"/>
              </w:rPr>
              <w:t>质疑的</w:t>
            </w:r>
            <w:r>
              <w:rPr>
                <w:rFonts w:hint="eastAsia" w:ascii="宋体" w:hAnsi="宋体" w:eastAsia="宋体" w:cs="宋体"/>
                <w:color w:val="auto"/>
                <w:sz w:val="21"/>
                <w:szCs w:val="21"/>
                <w:highlight w:val="none"/>
              </w:rPr>
              <w:t>截止时间及方式</w:t>
            </w:r>
          </w:p>
        </w:tc>
        <w:tc>
          <w:tcPr>
            <w:tcW w:w="6672" w:type="dxa"/>
            <w:noWrap w:val="0"/>
            <w:vAlign w:val="center"/>
          </w:tcPr>
          <w:p>
            <w:pPr>
              <w:keepNext w:val="0"/>
              <w:keepLines w:val="0"/>
              <w:pageBreakBefore w:val="0"/>
              <w:widowControl/>
              <w:kinsoku/>
              <w:overflowPunct/>
              <w:topLinePunct w:val="0"/>
              <w:autoSpaceDE/>
              <w:autoSpaceDN/>
              <w:bidi w:val="0"/>
              <w:adjustRightInd/>
              <w:spacing w:line="500" w:lineRule="exact"/>
              <w:jc w:val="lef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如投标人对招标文件有质疑，可以于</w:t>
            </w:r>
            <w:r>
              <w:rPr>
                <w:rFonts w:hint="eastAsia" w:ascii="宋体" w:hAnsi="宋体" w:eastAsia="宋体" w:cs="宋体"/>
                <w:b/>
                <w:bCs/>
                <w:color w:val="auto"/>
                <w:sz w:val="21"/>
                <w:szCs w:val="21"/>
                <w:highlight w:val="none"/>
                <w:lang w:val="en-US" w:eastAsia="zh-CN"/>
              </w:rPr>
              <w:t>202</w:t>
            </w:r>
            <w:r>
              <w:rPr>
                <w:rFonts w:hint="eastAsia" w:ascii="宋体" w:hAnsi="宋体" w:cs="宋体"/>
                <w:b/>
                <w:bCs/>
                <w:color w:val="auto"/>
                <w:sz w:val="21"/>
                <w:szCs w:val="21"/>
                <w:highlight w:val="none"/>
                <w:lang w:val="en-US" w:eastAsia="zh-CN"/>
              </w:rPr>
              <w:t>4</w:t>
            </w:r>
            <w:r>
              <w:rPr>
                <w:rFonts w:hint="eastAsia" w:ascii="宋体" w:hAnsi="宋体" w:eastAsia="宋体" w:cs="宋体"/>
                <w:b/>
                <w:bCs/>
                <w:color w:val="auto"/>
                <w:sz w:val="21"/>
                <w:szCs w:val="21"/>
                <w:highlight w:val="none"/>
                <w:lang w:val="en-US" w:eastAsia="zh-CN"/>
              </w:rPr>
              <w:t>年</w:t>
            </w: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lang w:val="en-US" w:eastAsia="zh-CN"/>
              </w:rPr>
              <w:t>月</w:t>
            </w: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lang w:val="en-US" w:eastAsia="zh-CN"/>
              </w:rPr>
              <w:t>日</w:t>
            </w:r>
            <w:r>
              <w:rPr>
                <w:rFonts w:hint="eastAsia" w:ascii="宋体" w:hAnsi="宋体" w:cs="宋体"/>
                <w:b/>
                <w:bCs/>
                <w:color w:val="auto"/>
                <w:sz w:val="21"/>
                <w:szCs w:val="21"/>
                <w:highlight w:val="none"/>
                <w:lang w:val="en-US" w:eastAsia="zh-CN"/>
              </w:rPr>
              <w:t>11</w:t>
            </w:r>
            <w:r>
              <w:rPr>
                <w:rFonts w:hint="eastAsia" w:ascii="宋体" w:hAnsi="宋体" w:eastAsia="宋体" w:cs="宋体"/>
                <w:b/>
                <w:bCs/>
                <w:color w:val="auto"/>
                <w:sz w:val="21"/>
                <w:szCs w:val="21"/>
                <w:highlight w:val="none"/>
                <w:lang w:val="en-US" w:eastAsia="zh-CN"/>
              </w:rPr>
              <w:t>时</w:t>
            </w:r>
            <w:r>
              <w:rPr>
                <w:rFonts w:hint="eastAsia" w:ascii="宋体" w:hAnsi="宋体" w:eastAsia="宋体" w:cs="宋体"/>
                <w:color w:val="auto"/>
                <w:sz w:val="21"/>
                <w:szCs w:val="21"/>
                <w:highlight w:val="none"/>
                <w:lang w:val="en-US" w:eastAsia="zh-CN"/>
              </w:rPr>
              <w:t>前</w:t>
            </w:r>
            <w:r>
              <w:rPr>
                <w:rFonts w:hint="eastAsia" w:ascii="宋体" w:hAnsi="宋体" w:eastAsia="宋体" w:cs="宋体"/>
                <w:color w:val="auto"/>
                <w:sz w:val="21"/>
                <w:szCs w:val="21"/>
                <w:highlight w:val="none"/>
                <w:lang w:val="en-US" w:eastAsia="zh-CN"/>
              </w:rPr>
              <w:fldChar w:fldCharType="begin"/>
            </w:r>
            <w:r>
              <w:rPr>
                <w:rFonts w:hint="eastAsia" w:ascii="宋体" w:hAnsi="宋体" w:eastAsia="宋体" w:cs="宋体"/>
                <w:color w:val="auto"/>
                <w:sz w:val="21"/>
                <w:szCs w:val="21"/>
                <w:highlight w:val="none"/>
                <w:lang w:val="en-US" w:eastAsia="zh-CN"/>
              </w:rPr>
              <w:instrText xml:space="preserve"> HYPERLINK "mailto:投标人将所遇到的问题以电子邮件形式传至cxzbdlgs@163.com" </w:instrText>
            </w:r>
            <w:r>
              <w:rPr>
                <w:rFonts w:hint="eastAsia" w:ascii="宋体" w:hAnsi="宋体" w:eastAsia="宋体" w:cs="宋体"/>
                <w:color w:val="auto"/>
                <w:sz w:val="21"/>
                <w:szCs w:val="21"/>
                <w:highlight w:val="none"/>
                <w:lang w:val="en-US" w:eastAsia="zh-CN"/>
              </w:rPr>
              <w:fldChar w:fldCharType="separate"/>
            </w:r>
            <w:r>
              <w:rPr>
                <w:rFonts w:hint="eastAsia" w:ascii="宋体" w:hAnsi="宋体" w:eastAsia="宋体" w:cs="宋体"/>
                <w:color w:val="auto"/>
                <w:sz w:val="21"/>
                <w:szCs w:val="21"/>
                <w:highlight w:val="none"/>
                <w:lang w:val="en-US" w:eastAsia="zh-CN"/>
              </w:rPr>
              <w:t>将所遇到的问题以电子邮件形式传至czsctgczx@163.com</w:t>
            </w:r>
            <w:r>
              <w:rPr>
                <w:rFonts w:hint="eastAsia" w:ascii="宋体" w:hAnsi="宋体" w:eastAsia="宋体" w:cs="宋体"/>
                <w:color w:val="auto"/>
                <w:sz w:val="21"/>
                <w:szCs w:val="21"/>
                <w:highlight w:val="none"/>
                <w:lang w:val="en-US" w:eastAsia="zh-CN"/>
              </w:rPr>
              <w:fldChar w:fldCharType="end"/>
            </w:r>
            <w:r>
              <w:rPr>
                <w:rFonts w:hint="eastAsia" w:ascii="宋体" w:hAnsi="宋体" w:eastAsia="宋体" w:cs="宋体"/>
                <w:color w:val="auto"/>
                <w:sz w:val="21"/>
                <w:szCs w:val="21"/>
                <w:highlight w:val="none"/>
                <w:lang w:val="en-US" w:eastAsia="zh-CN"/>
              </w:rPr>
              <w:t xml:space="preserve">(滁州市城投工程咨询管理有限公司电子邮箱)。招标人不再集中召开招标答疑会；投标人自行组织勘察现场。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pPr>
              <w:keepNext w:val="0"/>
              <w:keepLines w:val="0"/>
              <w:pageBreakBefore w:val="0"/>
              <w:kinsoku/>
              <w:overflowPunct/>
              <w:topLinePunct w:val="0"/>
              <w:autoSpaceDE/>
              <w:autoSpaceDN/>
              <w:bidi w:val="0"/>
              <w:adjustRightInd/>
              <w:spacing w:line="50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39.6</w:t>
            </w:r>
          </w:p>
        </w:tc>
        <w:tc>
          <w:tcPr>
            <w:tcW w:w="2508" w:type="dxa"/>
            <w:noWrap w:val="0"/>
            <w:vAlign w:val="center"/>
          </w:tcPr>
          <w:p>
            <w:pPr>
              <w:pStyle w:val="18"/>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招标人</w:t>
            </w:r>
            <w:r>
              <w:rPr>
                <w:rFonts w:hint="eastAsia" w:ascii="宋体" w:hAnsi="宋体" w:eastAsia="宋体" w:cs="宋体"/>
                <w:color w:val="auto"/>
                <w:sz w:val="21"/>
                <w:szCs w:val="21"/>
                <w:highlight w:val="none"/>
              </w:rPr>
              <w:t>答复在线质疑的时间及方式</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同15.4“</w:t>
            </w:r>
            <w:r>
              <w:rPr>
                <w:rFonts w:hint="eastAsia" w:ascii="宋体" w:hAnsi="宋体" w:cs="宋体"/>
                <w:color w:val="auto"/>
                <w:sz w:val="21"/>
                <w:szCs w:val="21"/>
                <w:highlight w:val="none"/>
                <w:lang w:val="en-US" w:eastAsia="zh-CN"/>
              </w:rPr>
              <w:t>招标人</w:t>
            </w:r>
            <w:r>
              <w:rPr>
                <w:rFonts w:hint="eastAsia" w:ascii="宋体" w:hAnsi="宋体" w:eastAsia="宋体" w:cs="宋体"/>
                <w:color w:val="auto"/>
                <w:sz w:val="21"/>
                <w:szCs w:val="21"/>
                <w:highlight w:val="none"/>
                <w:lang w:val="en-US" w:eastAsia="zh-CN"/>
              </w:rPr>
              <w:t>澄清的方式</w:t>
            </w:r>
            <w:r>
              <w:rPr>
                <w:rFonts w:hint="default"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lang w:val="en-US" w:eastAsia="zh-CN"/>
              </w:rPr>
              <w:t>。</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3528" w:type="dxa"/>
            <w:gridSpan w:val="2"/>
            <w:noWrap w:val="0"/>
            <w:vAlign w:val="center"/>
          </w:tcPr>
          <w:p>
            <w:pPr>
              <w:keepNext w:val="0"/>
              <w:keepLines w:val="0"/>
              <w:pageBreakBefore w:val="0"/>
              <w:kinsoku/>
              <w:overflowPunct/>
              <w:topLinePunct w:val="0"/>
              <w:autoSpaceDE/>
              <w:autoSpaceDN/>
              <w:bidi w:val="0"/>
              <w:adjustRightInd/>
              <w:spacing w:line="50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付款方式、时间、条件</w:t>
            </w:r>
          </w:p>
        </w:tc>
        <w:tc>
          <w:tcPr>
            <w:tcW w:w="6672" w:type="dxa"/>
            <w:noWrap w:val="0"/>
            <w:vAlign w:val="center"/>
          </w:tcPr>
          <w:p>
            <w:pPr>
              <w:keepNext w:val="0"/>
              <w:keepLines w:val="0"/>
              <w:pageBreakBefore w:val="0"/>
              <w:kinsoku/>
              <w:overflowPunct/>
              <w:topLinePunct w:val="0"/>
              <w:autoSpaceDE/>
              <w:autoSpaceDN/>
              <w:bidi w:val="0"/>
              <w:adjustRightInd/>
              <w:spacing w:line="500" w:lineRule="exact"/>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根据考核结果按月支付服务费用，服务费用为中标总价/12-考核扣款金额。</w:t>
            </w:r>
          </w:p>
        </w:tc>
      </w:tr>
    </w:tbl>
    <w:p>
      <w:pPr>
        <w:pageBreakBefore/>
        <w:spacing w:before="312" w:beforeLines="100" w:after="312" w:afterLines="100" w:line="440" w:lineRule="exact"/>
        <w:jc w:val="center"/>
        <w:outlineLvl w:val="1"/>
        <w:rPr>
          <w:rFonts w:hint="eastAsia" w:ascii="宋体" w:hAnsi="宋体" w:cs="宋体"/>
          <w:b/>
          <w:color w:val="auto"/>
          <w:sz w:val="28"/>
          <w:szCs w:val="32"/>
          <w:highlight w:val="none"/>
        </w:rPr>
      </w:pPr>
      <w:bookmarkStart w:id="19" w:name="_Toc58430315"/>
      <w:bookmarkStart w:id="20" w:name="_Toc449028866"/>
      <w:r>
        <w:rPr>
          <w:rFonts w:hint="eastAsia" w:ascii="宋体" w:hAnsi="宋体" w:cs="宋体"/>
          <w:b/>
          <w:color w:val="auto"/>
          <w:sz w:val="28"/>
          <w:szCs w:val="28"/>
          <w:highlight w:val="none"/>
        </w:rPr>
        <w:t>二、投标人须知</w:t>
      </w:r>
      <w:bookmarkEnd w:id="19"/>
      <w:bookmarkEnd w:id="20"/>
    </w:p>
    <w:p>
      <w:pPr>
        <w:spacing w:line="440" w:lineRule="exact"/>
        <w:jc w:val="center"/>
        <w:rPr>
          <w:rFonts w:hint="eastAsia" w:ascii="宋体" w:hAnsi="宋体" w:cs="宋体"/>
          <w:color w:val="auto"/>
          <w:sz w:val="28"/>
          <w:szCs w:val="28"/>
          <w:highlight w:val="none"/>
        </w:rPr>
      </w:pPr>
      <w:bookmarkStart w:id="21" w:name="_Toc449028867"/>
      <w:r>
        <w:rPr>
          <w:rFonts w:hint="eastAsia" w:ascii="宋体" w:hAnsi="宋体" w:cs="宋体"/>
          <w:b/>
          <w:color w:val="auto"/>
          <w:sz w:val="28"/>
          <w:szCs w:val="28"/>
          <w:highlight w:val="none"/>
        </w:rPr>
        <w:t>（一）</w:t>
      </w:r>
      <w:r>
        <w:rPr>
          <w:rFonts w:hint="eastAsia" w:ascii="宋体" w:hAnsi="宋体" w:cs="宋体"/>
          <w:b/>
          <w:color w:val="auto"/>
          <w:sz w:val="28"/>
          <w:szCs w:val="32"/>
          <w:highlight w:val="none"/>
        </w:rPr>
        <w:t>总  则</w:t>
      </w:r>
      <w:bookmarkEnd w:id="21"/>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1.项目概况</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1.1本次招标采购项目名称：见投标人须知前附表。</w:t>
      </w:r>
    </w:p>
    <w:p>
      <w:pPr>
        <w:snapToGrid w:val="0"/>
        <w:spacing w:line="440" w:lineRule="exact"/>
        <w:ind w:firstLine="840" w:firstLineChars="400"/>
        <w:rPr>
          <w:rFonts w:hint="eastAsia" w:ascii="宋体" w:hAnsi="宋体" w:cs="宋体"/>
          <w:color w:val="auto"/>
          <w:szCs w:val="21"/>
          <w:highlight w:val="none"/>
          <w:u w:val="single"/>
        </w:rPr>
      </w:pPr>
      <w:r>
        <w:rPr>
          <w:rFonts w:hint="eastAsia" w:ascii="宋体" w:hAnsi="宋体" w:cs="宋体"/>
          <w:color w:val="auto"/>
          <w:szCs w:val="21"/>
          <w:highlight w:val="none"/>
        </w:rPr>
        <w:t>项目编号：见投标人须知前附表。</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招 标 人：见投标人须知前附表。</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期：见投标人须知前附表。</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地点：见投标人须知前附表。</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及联系人: 见投标人须知前附表。</w:t>
      </w:r>
    </w:p>
    <w:p>
      <w:pPr>
        <w:snapToGrid w:val="0"/>
        <w:spacing w:line="440" w:lineRule="exact"/>
        <w:ind w:firstLine="525" w:firstLineChars="250"/>
        <w:rPr>
          <w:rFonts w:hint="eastAsia" w:ascii="宋体" w:hAnsi="宋体" w:cs="宋体"/>
          <w:color w:val="auto"/>
          <w:szCs w:val="21"/>
          <w:highlight w:val="none"/>
          <w:u w:val="single"/>
        </w:rPr>
      </w:pPr>
      <w:r>
        <w:rPr>
          <w:rFonts w:hint="eastAsia" w:ascii="宋体" w:hAnsi="宋体" w:cs="宋体"/>
          <w:color w:val="auto"/>
          <w:szCs w:val="21"/>
          <w:highlight w:val="none"/>
        </w:rPr>
        <w:t xml:space="preserve">  采购代理机构及联系人: 见投标人须知前附表。</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1.3资金来源：见投标人须知前附表。</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1.4本项目预算：见投标人须知前附表。</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1.5本项目最高限价：见投标人须知前附表。</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2.招标范围：</w:t>
      </w:r>
    </w:p>
    <w:p>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2.1 采购内容：见投标人须知前附表。</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 技术要求：详见招标文件第四章采购需求。</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3.标包划分：</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3.1本项目划分：见投标人须知前附表。</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4.招标方式：</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4.1本项目招标方式：见投标人须知前附表。</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5.计价方式：</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5.1本次招标项目合同采用</w:t>
      </w:r>
      <w:r>
        <w:rPr>
          <w:rFonts w:hint="eastAsia" w:ascii="宋体" w:hAnsi="宋体" w:cs="宋体"/>
          <w:color w:val="auto"/>
          <w:szCs w:val="21"/>
          <w:highlight w:val="none"/>
          <w:u w:val="single"/>
        </w:rPr>
        <w:t xml:space="preserve">  固定</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none"/>
        </w:rPr>
        <w:t>。</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6.评标办法：</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6.1本次招标评标采用</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最低评标价法</w:t>
      </w:r>
      <w:r>
        <w:rPr>
          <w:rFonts w:hint="eastAsia" w:ascii="宋体" w:hAnsi="宋体" w:cs="宋体"/>
          <w:color w:val="auto"/>
          <w:szCs w:val="21"/>
          <w:highlight w:val="none"/>
        </w:rPr>
        <w:t>（详见第三章评标办法）</w:t>
      </w:r>
    </w:p>
    <w:p>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7.投标人资格：</w:t>
      </w:r>
    </w:p>
    <w:p>
      <w:pPr>
        <w:widowControl/>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7.1本项目投标人资格：见投标人须知前附表。</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8. 投标费用</w:t>
      </w:r>
    </w:p>
    <w:p>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8.1投标人准备和参加投标活动发生的费用自理。</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9.</w:t>
      </w:r>
      <w:bookmarkStart w:id="22" w:name="_Toc152045539"/>
      <w:bookmarkStart w:id="23" w:name="_Toc296602429"/>
      <w:bookmarkStart w:id="24" w:name="_Toc247592876"/>
      <w:bookmarkStart w:id="25" w:name="_Toc152042315"/>
      <w:bookmarkStart w:id="26" w:name="_Toc247513962"/>
      <w:bookmarkStart w:id="27" w:name="_Toc247527563"/>
      <w:bookmarkStart w:id="28" w:name="_Toc144974507"/>
      <w:r>
        <w:rPr>
          <w:rFonts w:hint="eastAsia" w:ascii="宋体" w:hAnsi="宋体" w:cs="宋体"/>
          <w:b/>
          <w:color w:val="auto"/>
          <w:szCs w:val="21"/>
          <w:highlight w:val="none"/>
        </w:rPr>
        <w:t xml:space="preserve"> 踏勘现场</w:t>
      </w:r>
      <w:bookmarkEnd w:id="22"/>
      <w:bookmarkEnd w:id="23"/>
      <w:bookmarkEnd w:id="24"/>
      <w:bookmarkEnd w:id="25"/>
      <w:bookmarkEnd w:id="26"/>
      <w:bookmarkEnd w:id="27"/>
      <w:bookmarkEnd w:id="28"/>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 9.1 投标人须知前附表规定组织踏勘现场的，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 xml:space="preserve">按投标人须知前附表规定的时间、地点组织投标人踏勘项目现场。 </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9.2 投标人踏勘现场发生的费用自理。</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9.3 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的原因外，投标人自行负责在踏勘现场中所发生的人员伤亡和财产损失。</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9.4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在踏勘现场中介绍的场地和相关的周边环境情况，供投标人在编制投标文件时参考，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不对投标人据此作出的判断和决策负责。</w:t>
      </w:r>
      <w:bookmarkStart w:id="29" w:name="_Toc152042316"/>
      <w:bookmarkStart w:id="30" w:name="_Toc296602430"/>
      <w:bookmarkStart w:id="31" w:name="_Toc247592877"/>
      <w:bookmarkStart w:id="32" w:name="_Toc247527564"/>
      <w:bookmarkStart w:id="33" w:name="_Toc144974508"/>
      <w:bookmarkStart w:id="34" w:name="_Toc247513963"/>
      <w:bookmarkStart w:id="35" w:name="_Toc152045540"/>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10. 投标预备会</w:t>
      </w:r>
      <w:bookmarkEnd w:id="29"/>
      <w:bookmarkEnd w:id="30"/>
      <w:bookmarkEnd w:id="31"/>
      <w:bookmarkEnd w:id="32"/>
      <w:bookmarkEnd w:id="33"/>
      <w:bookmarkEnd w:id="34"/>
      <w:bookmarkEnd w:id="35"/>
      <w:r>
        <w:rPr>
          <w:rFonts w:hint="eastAsia" w:ascii="宋体" w:hAnsi="宋体" w:cs="宋体"/>
          <w:b/>
          <w:color w:val="auto"/>
          <w:szCs w:val="21"/>
          <w:highlight w:val="none"/>
        </w:rPr>
        <w:t>（本项目不采用）</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10.1投标人须知前附表规定召开投标预备会的，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按投标人须知前附表规定的时间和地点召开投标预备会，澄清投标人提出的问题。</w:t>
      </w:r>
    </w:p>
    <w:p>
      <w:pPr>
        <w:numPr>
          <w:ilvl w:val="0"/>
          <w:numId w:val="8"/>
        </w:num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联合投标、合同分包（本项目不采用）</w:t>
      </w:r>
    </w:p>
    <w:p>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11.1两个以上投标人可以组成一个投标联合体，以一个投标人的身份投标。以联合体形式参加投标的，联合体各方均应当符合《</w:t>
      </w:r>
      <w:r>
        <w:rPr>
          <w:rFonts w:hint="eastAsia" w:ascii="宋体" w:hAnsi="宋体" w:cs="宋体"/>
          <w:color w:val="auto"/>
          <w:highlight w:val="none"/>
        </w:rPr>
        <w:t>中华人民共和国政府采购法</w:t>
      </w:r>
      <w:r>
        <w:rPr>
          <w:rFonts w:hint="eastAsia" w:ascii="宋体" w:hAnsi="宋体" w:cs="宋体"/>
          <w:color w:val="auto"/>
          <w:szCs w:val="21"/>
          <w:highlight w:val="none"/>
        </w:rPr>
        <w:t>》第二十二条规定的条件。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根据采购项目的特殊要求规定投标人特定条件的，联合体各方中至少应当有一方符合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规定的特定条件。</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11.2联合体各方之间应当签订共同投标协议，明确约定联合体各方承担的工作和相应的责任，并将共同投标协议连同投标文件一并提交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。联合体各方签订共同投标协议后，不得再以自己名义单独在同一项目中投标，也不得组成新的联合体参加同一项目投标。</w:t>
      </w:r>
    </w:p>
    <w:p>
      <w:pPr>
        <w:spacing w:line="440" w:lineRule="exact"/>
        <w:ind w:firstLine="411" w:firstLineChars="196"/>
        <w:rPr>
          <w:rFonts w:hint="eastAsia" w:ascii="宋体" w:hAnsi="宋体" w:cs="宋体"/>
          <w:color w:val="auto"/>
          <w:szCs w:val="21"/>
          <w:highlight w:val="none"/>
        </w:rPr>
      </w:pPr>
      <w:r>
        <w:rPr>
          <w:rFonts w:hint="eastAsia" w:ascii="宋体" w:hAnsi="宋体" w:cs="宋体"/>
          <w:color w:val="auto"/>
          <w:szCs w:val="21"/>
          <w:highlight w:val="none"/>
        </w:rPr>
        <w:t>11.3 联合体应当确定其中一个单位为投标的全权代表，负责参加投标的一切事务，并承担投标及履约中应承担的全部责任与义务。</w:t>
      </w:r>
    </w:p>
    <w:p>
      <w:pPr>
        <w:spacing w:line="440" w:lineRule="exact"/>
        <w:ind w:firstLine="435"/>
        <w:rPr>
          <w:rFonts w:hint="eastAsia" w:ascii="宋体" w:hAnsi="宋体" w:cs="宋体"/>
          <w:color w:val="auto"/>
          <w:szCs w:val="21"/>
          <w:highlight w:val="none"/>
        </w:rPr>
      </w:pPr>
      <w:r>
        <w:rPr>
          <w:rFonts w:hint="eastAsia" w:ascii="宋体" w:hAnsi="宋体" w:cs="宋体"/>
          <w:color w:val="auto"/>
          <w:szCs w:val="21"/>
          <w:highlight w:val="none"/>
        </w:rPr>
        <w:t>11.4 联合体各方应当共同与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签订采购合同，就采购合同约定的事项对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承担连带责任。</w:t>
      </w:r>
    </w:p>
    <w:p>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11.5 联合体中有同类资质的供应商按照联合体分工承担相同工作的，应当按照资质等级较低的供应商确定资质等级。</w:t>
      </w:r>
    </w:p>
    <w:p>
      <w:pPr>
        <w:pStyle w:val="2"/>
        <w:spacing w:after="0" w:line="440" w:lineRule="exact"/>
        <w:ind w:left="0" w:leftChars="0"/>
        <w:rPr>
          <w:rFonts w:hint="eastAsia" w:ascii="宋体" w:hAnsi="宋体" w:cs="宋体"/>
          <w:b/>
          <w:color w:val="auto"/>
          <w:szCs w:val="21"/>
          <w:highlight w:val="none"/>
        </w:rPr>
      </w:pPr>
      <w:r>
        <w:rPr>
          <w:rFonts w:hint="eastAsia" w:ascii="宋体" w:hAnsi="宋体" w:cs="宋体"/>
          <w:color w:val="auto"/>
          <w:szCs w:val="21"/>
          <w:highlight w:val="none"/>
        </w:rPr>
        <w:t>11.6 非专门面向中小企业采购项目是否允许大中型企业向一家或者多家小微企业分包见投标人须知前附表。</w:t>
      </w:r>
    </w:p>
    <w:p>
      <w:pPr>
        <w:spacing w:line="440" w:lineRule="exact"/>
        <w:ind w:firstLine="413" w:firstLineChars="196"/>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12.招标代理费和</w:t>
      </w:r>
      <w:r>
        <w:rPr>
          <w:rFonts w:hint="eastAsia" w:ascii="宋体" w:hAnsi="宋体" w:cs="宋体"/>
          <w:b/>
          <w:color w:val="auto"/>
          <w:szCs w:val="21"/>
          <w:highlight w:val="none"/>
          <w:lang w:val="en-US" w:eastAsia="zh-CN"/>
        </w:rPr>
        <w:t>其他费用</w:t>
      </w:r>
    </w:p>
    <w:p>
      <w:pPr>
        <w:spacing w:line="440" w:lineRule="exact"/>
        <w:ind w:firstLine="420" w:firstLineChars="200"/>
        <w:jc w:val="left"/>
        <w:rPr>
          <w:rFonts w:hint="eastAsia" w:ascii="宋体" w:hAnsi="宋体" w:cs="宋体"/>
          <w:color w:val="auto"/>
          <w:szCs w:val="21"/>
          <w:highlight w:val="none"/>
        </w:rPr>
      </w:pPr>
      <w:r>
        <w:rPr>
          <w:rFonts w:hint="eastAsia" w:ascii="宋体" w:hAnsi="宋体" w:cs="宋体"/>
          <w:bCs/>
          <w:color w:val="auto"/>
          <w:szCs w:val="21"/>
          <w:highlight w:val="none"/>
        </w:rPr>
        <w:t>12.1</w:t>
      </w:r>
      <w:r>
        <w:rPr>
          <w:rFonts w:hint="eastAsia" w:ascii="宋体" w:hAnsi="宋体" w:cs="宋体"/>
          <w:color w:val="auto"/>
          <w:szCs w:val="21"/>
          <w:highlight w:val="none"/>
        </w:rPr>
        <w:t>见投标人须知前附表。</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13.投标人应注意的事项</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13.1投标人一旦参加投标，即被认为接受了本招标文件中的所有条件和规定。投标人必须严格按招标文件的要求编制投标文件，以便评委审核。否则，由此产生的一切后果由投标人承担。</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13.2投标人对采购内容中规定的技术参数、规格、数量和要求等必须最大限度的满足招标文件的相关要求。</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3</w:t>
      </w:r>
      <w:r>
        <w:rPr>
          <w:rFonts w:hint="eastAsia" w:ascii="宋体" w:hAnsi="宋体" w:cs="宋体"/>
          <w:bCs/>
          <w:color w:val="auto"/>
          <w:szCs w:val="21"/>
          <w:highlight w:val="none"/>
        </w:rPr>
        <w:t>单位负责人为同一人或者存在直接控股、管理关系的不同投标人，不得参加同一合同项下的政府采购活动。</w:t>
      </w:r>
      <w:r>
        <w:rPr>
          <w:rFonts w:hint="eastAsia" w:ascii="宋体" w:hAnsi="宋体" w:cs="宋体"/>
          <w:color w:val="auto"/>
          <w:szCs w:val="21"/>
          <w:highlight w:val="none"/>
        </w:rPr>
        <w:t>为采购项目提供整体设计、规范编制或者项目管理、监理、检测等服务的投标人，不得再参加该采购项目的其他采购活动。</w:t>
      </w:r>
    </w:p>
    <w:p>
      <w:pPr>
        <w:spacing w:line="440" w:lineRule="exact"/>
        <w:ind w:firstLine="417" w:firstLineChars="199"/>
        <w:jc w:val="left"/>
        <w:rPr>
          <w:rFonts w:hint="eastAsia" w:ascii="宋体" w:hAnsi="宋体" w:cs="宋体"/>
          <w:color w:val="auto"/>
          <w:szCs w:val="21"/>
          <w:highlight w:val="none"/>
        </w:rPr>
      </w:pPr>
      <w:r>
        <w:rPr>
          <w:rFonts w:hint="eastAsia" w:ascii="宋体" w:hAnsi="宋体" w:cs="宋体"/>
          <w:color w:val="auto"/>
          <w:szCs w:val="21"/>
          <w:highlight w:val="none"/>
        </w:rPr>
        <w:t>13.5 投标人被视为充分熟悉本招标项目所在地的与履行合同有关的各种情况，包括但不限于：</w:t>
      </w:r>
    </w:p>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（1）国家对本次投标货物和服务的生产、安装调试、验收、维修等有关法律、法规及行业管理标准；</w:t>
      </w:r>
    </w:p>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（2）安徽省及滁州市等有关管理部门的相关规定；</w:t>
      </w:r>
    </w:p>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的相关场地情况、基础建设、电力供应情况及相关设计标准。</w:t>
      </w:r>
    </w:p>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本招标文件不再对上述情况进行描述。</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中标候选人无正当理由放弃中标候选人资格的，其将被记不良信息记录。</w:t>
      </w:r>
    </w:p>
    <w:p>
      <w:pPr>
        <w:spacing w:before="312" w:beforeLines="100" w:after="312" w:afterLines="100" w:line="440" w:lineRule="exact"/>
        <w:jc w:val="center"/>
        <w:rPr>
          <w:rFonts w:hint="eastAsia" w:ascii="宋体" w:hAnsi="宋体" w:cs="宋体"/>
          <w:b/>
          <w:color w:val="auto"/>
          <w:sz w:val="28"/>
          <w:szCs w:val="28"/>
          <w:highlight w:val="none"/>
        </w:rPr>
      </w:pPr>
      <w:bookmarkStart w:id="36" w:name="_Toc449028868"/>
      <w:r>
        <w:rPr>
          <w:rFonts w:hint="eastAsia" w:ascii="宋体" w:hAnsi="宋体" w:cs="宋体"/>
          <w:b/>
          <w:color w:val="auto"/>
          <w:sz w:val="28"/>
          <w:szCs w:val="28"/>
          <w:highlight w:val="none"/>
        </w:rPr>
        <w:t>（二）</w:t>
      </w:r>
      <w:bookmarkEnd w:id="36"/>
      <w:r>
        <w:rPr>
          <w:rFonts w:hint="eastAsia" w:ascii="宋体" w:hAnsi="宋体" w:cs="宋体"/>
          <w:b/>
          <w:color w:val="auto"/>
          <w:sz w:val="28"/>
          <w:szCs w:val="28"/>
          <w:highlight w:val="none"/>
        </w:rPr>
        <w:t>招标文件</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14. 招标文件的编制依据</w:t>
      </w:r>
    </w:p>
    <w:p>
      <w:pPr>
        <w:spacing w:line="440" w:lineRule="exact"/>
        <w:ind w:firstLine="420" w:firstLineChars="200"/>
        <w:rPr>
          <w:rFonts w:hint="eastAsia" w:ascii="宋体"/>
          <w:color w:val="auto"/>
          <w:spacing w:val="-2"/>
          <w:szCs w:val="21"/>
          <w:highlight w:val="none"/>
        </w:rPr>
      </w:pPr>
      <w:r>
        <w:rPr>
          <w:rFonts w:hint="eastAsia" w:ascii="宋体"/>
          <w:color w:val="auto"/>
          <w:szCs w:val="21"/>
          <w:highlight w:val="none"/>
        </w:rPr>
        <w:t>根据</w:t>
      </w:r>
      <w:r>
        <w:rPr>
          <w:rFonts w:hint="eastAsia"/>
          <w:color w:val="auto"/>
          <w:highlight w:val="none"/>
        </w:rPr>
        <w:t>《中华人民共和国招标投标法》、《中华人民共和国招标投标法实施条例》</w:t>
      </w:r>
      <w:r>
        <w:rPr>
          <w:rFonts w:hint="eastAsia" w:ascii="宋体"/>
          <w:color w:val="auto"/>
          <w:szCs w:val="21"/>
          <w:highlight w:val="none"/>
        </w:rPr>
        <w:t>和</w:t>
      </w:r>
      <w:r>
        <w:rPr>
          <w:rFonts w:hint="eastAsia"/>
          <w:color w:val="auto"/>
          <w:highlight w:val="none"/>
        </w:rPr>
        <w:t>《中华人民共和国民法典》</w:t>
      </w:r>
      <w:r>
        <w:rPr>
          <w:rFonts w:hint="eastAsia" w:ascii="宋体"/>
          <w:color w:val="auto"/>
          <w:spacing w:val="-2"/>
          <w:szCs w:val="21"/>
          <w:highlight w:val="none"/>
        </w:rPr>
        <w:t>等相关法律法规和规章及部、省、市级规范性文件的规定，编制本招标文件。</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15. 招标文件的组成</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15.1 招标文件包括内容：</w:t>
      </w:r>
    </w:p>
    <w:p>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第一章  </w:t>
      </w:r>
      <w:r>
        <w:rPr>
          <w:rFonts w:hint="eastAsia" w:ascii="宋体" w:hAnsi="宋体" w:cs="宋体"/>
          <w:color w:val="auto"/>
          <w:szCs w:val="21"/>
          <w:highlight w:val="none"/>
          <w:lang w:val="en-US" w:eastAsia="zh-CN"/>
        </w:rPr>
        <w:t>招标公告</w:t>
      </w:r>
    </w:p>
    <w:p>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第二章  投标人须知</w:t>
      </w:r>
    </w:p>
    <w:p>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第三章  评标办法</w:t>
      </w:r>
    </w:p>
    <w:p>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第四章  采购需求</w:t>
      </w:r>
    </w:p>
    <w:p>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第五章  合同格式</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参考）</w:t>
      </w:r>
    </w:p>
    <w:p>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第六章  投标文件格式</w:t>
      </w:r>
    </w:p>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15.2 除15.1款内容外，招标答疑亦为招标文件的组成部分，对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和投标人起约束作用。</w:t>
      </w:r>
    </w:p>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15.3投标人应仔细阅读和检查招标文件的全部内容。如发现缺页或附件不全，应及时向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提出，以便补齐。</w:t>
      </w:r>
    </w:p>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15.4 投标人可以通过</w:t>
      </w:r>
      <w:r>
        <w:rPr>
          <w:rFonts w:hint="eastAsia" w:ascii="宋体" w:hAnsi="宋体" w:cs="宋体"/>
          <w:color w:val="auto"/>
          <w:szCs w:val="21"/>
          <w:highlight w:val="none"/>
          <w:lang w:val="en-US" w:eastAsia="zh-CN"/>
        </w:rPr>
        <w:t>电子邮箱</w:t>
      </w:r>
      <w:r>
        <w:rPr>
          <w:rFonts w:hint="eastAsia" w:ascii="宋体" w:hAnsi="宋体" w:cs="宋体"/>
          <w:color w:val="auto"/>
          <w:szCs w:val="21"/>
          <w:highlight w:val="none"/>
        </w:rPr>
        <w:t>对招标文件提出澄清（质疑）。招标文件的澄清</w:t>
      </w:r>
      <w:r>
        <w:rPr>
          <w:rFonts w:hint="eastAsia" w:ascii="宋体" w:hAnsi="宋体" w:cs="宋体"/>
          <w:color w:val="auto"/>
          <w:szCs w:val="21"/>
          <w:highlight w:val="none"/>
          <w:lang w:val="en-US" w:eastAsia="zh-CN"/>
        </w:rPr>
        <w:t>将以更正公告形式在中国扬子集团官网（http://www.yangzigroup.cn/case/jingpinzhuzhai/）及滁州市工投公司微信公众号予以公布，</w:t>
      </w:r>
      <w:bookmarkStart w:id="253" w:name="_GoBack"/>
      <w:bookmarkEnd w:id="253"/>
      <w:r>
        <w:rPr>
          <w:rFonts w:hint="eastAsia" w:ascii="宋体" w:hAnsi="宋体" w:cs="宋体"/>
          <w:color w:val="auto"/>
          <w:szCs w:val="21"/>
          <w:highlight w:val="none"/>
        </w:rPr>
        <w:t>但不指明澄清问题的来源。如果澄清内容影响投标文件编制的，将相应延长投标截止时间。</w:t>
      </w:r>
    </w:p>
    <w:p>
      <w:pPr>
        <w:spacing w:line="44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16. 招标文件的修改、补充、解释</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16.1 招标文件发出后，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在规定的投标截止时间前可对招标文件进行必要的修改和补充，并以更正公告形式</w:t>
      </w:r>
      <w:r>
        <w:rPr>
          <w:rFonts w:hint="eastAsia" w:ascii="宋体" w:hAnsi="宋体" w:cs="宋体"/>
          <w:color w:val="auto"/>
          <w:szCs w:val="21"/>
          <w:highlight w:val="none"/>
          <w:lang w:val="en-US" w:eastAsia="zh-CN"/>
        </w:rPr>
        <w:t>在、中国扬子集团官网（http://www.yangzigroup.cn/case/jingpinzhuzhai/）及滁州市工投公司微信公众号予以公布。</w:t>
      </w:r>
      <w:r>
        <w:rPr>
          <w:rFonts w:hint="eastAsia" w:ascii="宋体" w:hAnsi="宋体" w:cs="宋体"/>
          <w:color w:val="auto"/>
          <w:szCs w:val="21"/>
          <w:highlight w:val="none"/>
        </w:rPr>
        <w:t>请各位投标人注意查看有关澄清内容，如不及时查看造成后果由投标人自负。招标文件的修改、补充等内容作为招标文件的组成部分，具有约束作用。</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16.</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招标文件的解释</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（1）构成本招标文件的各个组成文件应互为解释，互为说明；</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（2）同一组成文件中就同一事项的规定或约定不一致的，以编排顺序在后者为准；</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（3）如有不明确或不一致，构成合同文件组成内容的，以合同文件约定内容为准，且以专用合同条款约定的合同文件优先顺序解释；</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（4）系统中提供的表格（或格式文件）与招标文件中不一致时，以招标文件中提供的为准；</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（5）按本款前述规定仍不能形成结论的，由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（或其委托的采购代理机构）负责解释。</w:t>
      </w:r>
    </w:p>
    <w:p>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 xml:space="preserve">    17. 招标文件的发出</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17.1招标文件、招标文件的澄清、修改、补充及招标答疑等均应</w:t>
      </w:r>
      <w:r>
        <w:rPr>
          <w:rFonts w:hint="eastAsia" w:ascii="宋体" w:hAnsi="宋体" w:cs="宋体"/>
          <w:color w:val="auto"/>
          <w:szCs w:val="21"/>
          <w:highlight w:val="none"/>
          <w:lang w:val="en-US" w:eastAsia="zh-CN"/>
        </w:rPr>
        <w:t>招标人确认</w:t>
      </w:r>
      <w:r>
        <w:rPr>
          <w:rFonts w:hint="eastAsia" w:ascii="宋体" w:hAnsi="宋体" w:cs="宋体"/>
          <w:color w:val="auto"/>
          <w:szCs w:val="21"/>
          <w:highlight w:val="none"/>
        </w:rPr>
        <w:t>后，方可发出。</w:t>
      </w:r>
    </w:p>
    <w:p>
      <w:pPr>
        <w:spacing w:line="440" w:lineRule="exact"/>
        <w:ind w:firstLine="280" w:firstLineChars="133"/>
        <w:rPr>
          <w:rFonts w:ascii="宋体" w:hAnsi="宋体" w:cs="宋体"/>
          <w:b/>
          <w:color w:val="auto"/>
          <w:szCs w:val="21"/>
          <w:highlight w:val="none"/>
        </w:rPr>
      </w:pPr>
      <w:r>
        <w:rPr>
          <w:rFonts w:hint="eastAsia" w:ascii="宋体" w:hAnsi="宋体" w:cs="宋体"/>
          <w:b/>
          <w:color w:val="auto"/>
          <w:szCs w:val="21"/>
          <w:highlight w:val="none"/>
        </w:rPr>
        <w:t>18. 样品（本项目不采用）</w:t>
      </w:r>
    </w:p>
    <w:p>
      <w:pPr>
        <w:spacing w:line="440" w:lineRule="exact"/>
        <w:ind w:firstLine="279" w:firstLineChars="133"/>
        <w:rPr>
          <w:rFonts w:hint="eastAsia" w:ascii="宋体" w:hAnsi="宋体" w:cs="宋体"/>
          <w:color w:val="auto"/>
          <w:szCs w:val="21"/>
          <w:highlight w:val="none"/>
        </w:rPr>
      </w:pPr>
      <w:r>
        <w:rPr>
          <w:rFonts w:hint="eastAsia" w:ascii="宋体" w:hAnsi="宋体" w:cs="宋体"/>
          <w:color w:val="auto"/>
          <w:szCs w:val="21"/>
          <w:highlight w:val="none"/>
        </w:rPr>
        <w:t>18.1凡需要设置样品情形时，必须明确是否需要随样品提交检测报告，并明确检测机构的要求、检测内容、中标样品封存等事项。（评标委员会无法判断样品是否合格且样品需要提供给第三方权威检测机构检测的,在投标人提供</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认可的第三方权威检测机构检测报告后，评标委员会推荐的中标候选人方可生效，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或代理机构发布中标（成交）结果公告。</w:t>
      </w:r>
    </w:p>
    <w:p>
      <w:pPr>
        <w:spacing w:line="44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18.2招标文件中应明确样品送检方式、检测费用支付方法、投标人在规定时间内无法提供第三方权威检测机构检测报告的处理方式。（</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根据项目需求按上述要求自行描述）</w:t>
      </w:r>
    </w:p>
    <w:p>
      <w:pPr>
        <w:spacing w:before="312" w:beforeLines="100" w:after="312" w:afterLines="100" w:line="440" w:lineRule="exact"/>
        <w:jc w:val="center"/>
        <w:rPr>
          <w:rFonts w:hint="eastAsia" w:ascii="宋体" w:hAnsi="宋体" w:cs="宋体"/>
          <w:b/>
          <w:color w:val="auto"/>
          <w:sz w:val="28"/>
          <w:szCs w:val="28"/>
          <w:highlight w:val="none"/>
        </w:rPr>
      </w:pPr>
      <w:bookmarkStart w:id="37" w:name="_Toc449028869"/>
      <w:r>
        <w:rPr>
          <w:rFonts w:hint="eastAsia" w:ascii="宋体" w:hAnsi="宋体" w:cs="宋体"/>
          <w:b/>
          <w:color w:val="auto"/>
          <w:sz w:val="28"/>
          <w:szCs w:val="28"/>
          <w:highlight w:val="none"/>
        </w:rPr>
        <w:t>（三）投标文件的编制</w:t>
      </w:r>
      <w:bookmarkEnd w:id="37"/>
    </w:p>
    <w:p>
      <w:pPr>
        <w:spacing w:line="440" w:lineRule="exact"/>
        <w:ind w:firstLine="306" w:firstLineChars="145"/>
        <w:rPr>
          <w:rFonts w:hint="eastAsia" w:ascii="宋体" w:hAnsi="宋体" w:cs="宋体"/>
          <w:b/>
          <w:color w:val="auto"/>
          <w:szCs w:val="21"/>
          <w:highlight w:val="none"/>
        </w:rPr>
      </w:pPr>
      <w:r>
        <w:rPr>
          <w:rFonts w:hint="eastAsia" w:ascii="宋体" w:hAnsi="宋体" w:cs="宋体"/>
          <w:b/>
          <w:color w:val="auto"/>
          <w:szCs w:val="21"/>
          <w:highlight w:val="none"/>
        </w:rPr>
        <w:t>19. 投标的语言及度量衡单位</w:t>
      </w:r>
    </w:p>
    <w:p>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19.1投标人的投标文件、以及投标人与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就投标的所有往来函电，均须使用简体中文。</w:t>
      </w:r>
    </w:p>
    <w:p>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19.2除招标文件中另有规定外，投标文件所使用的度量衡均须采用法定计量单位。</w:t>
      </w:r>
    </w:p>
    <w:p>
      <w:pPr>
        <w:spacing w:line="440" w:lineRule="exact"/>
        <w:ind w:firstLine="207" w:firstLineChars="98"/>
        <w:rPr>
          <w:rFonts w:hint="eastAsia" w:ascii="宋体" w:hAnsi="宋体" w:cs="宋体"/>
          <w:b/>
          <w:color w:val="auto"/>
          <w:szCs w:val="21"/>
          <w:highlight w:val="none"/>
        </w:rPr>
      </w:pPr>
      <w:r>
        <w:rPr>
          <w:rFonts w:hint="eastAsia" w:ascii="宋体" w:hAnsi="宋体" w:cs="宋体"/>
          <w:b/>
          <w:color w:val="auto"/>
          <w:szCs w:val="21"/>
          <w:highlight w:val="none"/>
        </w:rPr>
        <w:t>20. 投标文件的组成</w:t>
      </w:r>
    </w:p>
    <w:p>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20.1投标文件的组成</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具体内容详见第六章投标文件格式内容。</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20.</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投标文件的编制</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（1）投标文件应按第六章“投标文件格式”进行编写，如有必要，可以增加附页，作为投标文件的组成部分。</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（2）投标人应按照</w:t>
      </w:r>
      <w:r>
        <w:rPr>
          <w:rFonts w:hint="eastAsia" w:ascii="宋体" w:hAnsi="宋体" w:cs="宋体"/>
          <w:color w:val="auto"/>
          <w:szCs w:val="21"/>
          <w:highlight w:val="none"/>
          <w:lang w:val="en-US" w:eastAsia="zh-CN"/>
        </w:rPr>
        <w:t>招标文件的</w:t>
      </w:r>
      <w:r>
        <w:rPr>
          <w:rFonts w:hint="eastAsia" w:ascii="宋体" w:hAnsi="宋体" w:cs="宋体"/>
          <w:color w:val="auto"/>
          <w:szCs w:val="21"/>
          <w:highlight w:val="none"/>
        </w:rPr>
        <w:t>要求，制作投标文件。</w:t>
      </w:r>
    </w:p>
    <w:p>
      <w:pPr>
        <w:spacing w:line="440" w:lineRule="exact"/>
        <w:ind w:firstLine="424" w:firstLineChars="202"/>
        <w:rPr>
          <w:rFonts w:hint="eastAsia" w:ascii="宋体" w:hAnsi="宋体" w:cs="宋体"/>
          <w:color w:val="auto"/>
          <w:szCs w:val="21"/>
          <w:highlight w:val="none"/>
        </w:rPr>
      </w:pPr>
      <w:r>
        <w:rPr>
          <w:rFonts w:hint="eastAsia" w:ascii="宋体" w:hAnsi="宋体" w:cs="宋体"/>
          <w:color w:val="auto"/>
          <w:szCs w:val="21"/>
          <w:highlight w:val="none"/>
        </w:rPr>
        <w:t>（4）网递交的投标文件应按招标文件规定的格式由投标人的法定代表人和投标人分别签</w:t>
      </w:r>
      <w:r>
        <w:rPr>
          <w:rFonts w:hint="eastAsia" w:ascii="宋体" w:hAnsi="宋体" w:cs="宋体"/>
          <w:color w:val="auto"/>
          <w:szCs w:val="21"/>
          <w:highlight w:val="none"/>
          <w:lang w:val="en-US" w:eastAsia="zh-CN"/>
        </w:rPr>
        <w:t>字或盖章</w:t>
      </w:r>
      <w:r>
        <w:rPr>
          <w:rFonts w:hint="eastAsia" w:ascii="宋体" w:hAnsi="宋体" w:cs="宋体"/>
          <w:color w:val="auto"/>
          <w:szCs w:val="21"/>
          <w:highlight w:val="none"/>
        </w:rPr>
        <w:t>。</w:t>
      </w:r>
    </w:p>
    <w:p>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21</w:t>
      </w:r>
      <w:r>
        <w:rPr>
          <w:rFonts w:hint="eastAsia" w:ascii="宋体" w:hAnsi="宋体" w:cs="宋体"/>
          <w:color w:val="auto"/>
          <w:szCs w:val="21"/>
          <w:highlight w:val="none"/>
        </w:rPr>
        <w:t>.</w:t>
      </w:r>
      <w:r>
        <w:rPr>
          <w:rFonts w:hint="eastAsia" w:ascii="宋体" w:hAnsi="宋体" w:cs="宋体"/>
          <w:b/>
          <w:color w:val="auto"/>
          <w:szCs w:val="21"/>
          <w:highlight w:val="none"/>
        </w:rPr>
        <w:t>投标报价</w:t>
      </w:r>
    </w:p>
    <w:p>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21.1投标报价文件中的单价和总价全部采用人民币表示。投标人的报价应含有服务（货物）、利润、税金、政策性文件规定及合同包含的所有风险、责任、义务等，即为完成招标文件要求的服务（货物）内容所包含的一切应有费用，中标价格今后将不作任何调整，</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后期不再追加费用，投标供应商自行考虑投标风险。</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投标人只允许有一个方案、一个报价。</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投标人应按“采购</w:t>
      </w:r>
      <w:r>
        <w:rPr>
          <w:rFonts w:hint="eastAsia" w:ascii="宋体" w:hAnsi="宋体" w:cs="宋体"/>
          <w:color w:val="auto"/>
          <w:szCs w:val="21"/>
          <w:highlight w:val="none"/>
          <w:lang w:val="en-US" w:eastAsia="zh-CN"/>
        </w:rPr>
        <w:t>需求“</w:t>
      </w:r>
      <w:r>
        <w:rPr>
          <w:rFonts w:hint="eastAsia" w:ascii="宋体" w:hAnsi="宋体" w:cs="宋体"/>
          <w:color w:val="auto"/>
          <w:szCs w:val="21"/>
          <w:highlight w:val="none"/>
        </w:rPr>
        <w:t>所列</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进行单报价，不得采用总价下浮的方式进行报价。</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包括国家对中标单位征收的各种税费等所有一切费用，</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今后将不作任何调整。</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投标报价应由法定代表人或被授权人签署。</w:t>
      </w:r>
    </w:p>
    <w:p>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21.</w:t>
      </w:r>
      <w:r>
        <w:rPr>
          <w:rFonts w:hint="eastAsia" w:ascii="宋体" w:hAnsi="宋体" w:cs="宋体"/>
          <w:bCs/>
          <w:color w:val="auto"/>
          <w:szCs w:val="21"/>
          <w:highlight w:val="none"/>
          <w:lang w:val="en-US" w:eastAsia="zh-CN"/>
        </w:rPr>
        <w:t>5</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如投标文件中未列明全面实现投标货物功能而必须配置的配套或辅助设施及相应技术措施的费用，这些费用将被视为已包含在总投标价中。</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总投标价中不得包含招标文件要求以外的内容，否则，在评标时不予核减，但在授予合同时，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有权将这部分价格从其中标价格中扣除。</w:t>
      </w:r>
    </w:p>
    <w:p>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22. 投标有效期</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22.1 投标有效期见投标人须知前附表。</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22.2在投标有效期内，投标人撤销或修改其投标文件的，应承担招标文件和法律规定的责任。</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22.3出现特殊情况需要延长投标有效期的，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以书面形式通知所有投标人延长投标有效期。投标人同意延长的，不得要求或被允许修改或撤销其投标文件；投标人拒绝延长的，其投标失效。</w:t>
      </w:r>
    </w:p>
    <w:p>
      <w:pPr>
        <w:spacing w:line="440" w:lineRule="exact"/>
        <w:ind w:firstLine="405" w:firstLineChars="192"/>
        <w:rPr>
          <w:rFonts w:hint="eastAsia" w:ascii="宋体" w:hAnsi="宋体" w:cs="宋体"/>
          <w:b/>
          <w:color w:val="auto"/>
          <w:szCs w:val="21"/>
          <w:highlight w:val="none"/>
        </w:rPr>
      </w:pPr>
      <w:r>
        <w:rPr>
          <w:rFonts w:hint="eastAsia" w:ascii="宋体" w:hAnsi="宋体" w:cs="宋体"/>
          <w:b/>
          <w:color w:val="auto"/>
          <w:szCs w:val="21"/>
          <w:highlight w:val="none"/>
        </w:rPr>
        <w:t>23. 投标保证金</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23.1本项目不缴纳投标保证金。</w:t>
      </w:r>
    </w:p>
    <w:p>
      <w:pPr>
        <w:spacing w:before="312" w:beforeLines="100" w:after="312" w:afterLines="100" w:line="440" w:lineRule="exact"/>
        <w:jc w:val="center"/>
        <w:rPr>
          <w:rFonts w:hint="eastAsia" w:ascii="宋体" w:hAnsi="宋体" w:eastAsia="宋体" w:cs="宋体"/>
          <w:b/>
          <w:color w:val="auto"/>
          <w:sz w:val="28"/>
          <w:szCs w:val="28"/>
          <w:highlight w:val="none"/>
        </w:rPr>
      </w:pPr>
      <w:bookmarkStart w:id="38" w:name="_Toc449028870"/>
      <w:r>
        <w:rPr>
          <w:rFonts w:hint="eastAsia" w:ascii="宋体" w:hAnsi="宋体" w:eastAsia="宋体" w:cs="宋体"/>
          <w:b/>
          <w:color w:val="auto"/>
          <w:sz w:val="28"/>
          <w:szCs w:val="28"/>
          <w:highlight w:val="none"/>
        </w:rPr>
        <w:t>（四）投标文件的递交</w:t>
      </w:r>
      <w:bookmarkEnd w:id="38"/>
    </w:p>
    <w:p>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24.投标文件的份数和签署</w:t>
      </w:r>
    </w:p>
    <w:p>
      <w:pPr>
        <w:spacing w:line="440" w:lineRule="exact"/>
        <w:ind w:firstLine="315" w:firstLineChars="150"/>
        <w:jc w:val="left"/>
        <w:rPr>
          <w:rFonts w:hint="eastAsia" w:ascii="宋体" w:hAnsi="宋体" w:cs="宋体"/>
          <w:b w:val="0"/>
          <w:bCs w:val="0"/>
          <w:color w:val="auto"/>
          <w:szCs w:val="21"/>
          <w:highlight w:val="none"/>
        </w:rPr>
      </w:pPr>
      <w:bookmarkStart w:id="39" w:name="_Toc449028871"/>
      <w:r>
        <w:rPr>
          <w:rFonts w:hint="eastAsia" w:ascii="宋体" w:hAnsi="宋体" w:cs="宋体"/>
          <w:b w:val="0"/>
          <w:bCs w:val="0"/>
          <w:color w:val="auto"/>
          <w:szCs w:val="21"/>
          <w:highlight w:val="none"/>
        </w:rPr>
        <w:t>24.</w:t>
      </w:r>
      <w:r>
        <w:rPr>
          <w:rFonts w:hint="eastAsia" w:ascii="宋体" w:hAnsi="宋体" w:cs="宋体"/>
          <w:b w:val="0"/>
          <w:bCs w:val="0"/>
          <w:color w:val="auto"/>
          <w:szCs w:val="21"/>
          <w:highlight w:val="none"/>
          <w:lang w:val="en-US" w:eastAsia="zh-CN"/>
        </w:rPr>
        <w:t>1</w:t>
      </w:r>
      <w:r>
        <w:rPr>
          <w:rFonts w:hint="eastAsia" w:ascii="宋体" w:hAnsi="宋体" w:cs="宋体"/>
          <w:b w:val="0"/>
          <w:bCs w:val="0"/>
          <w:color w:val="auto"/>
          <w:szCs w:val="21"/>
          <w:highlight w:val="none"/>
        </w:rPr>
        <w:t>投标文件须按格式文件要求签字或盖章，否则经评委会一致认定后, 按照无效投标处理。</w:t>
      </w:r>
    </w:p>
    <w:p>
      <w:pPr>
        <w:spacing w:line="440" w:lineRule="exact"/>
        <w:ind w:firstLine="312" w:firstLineChars="148"/>
        <w:jc w:val="left"/>
        <w:rPr>
          <w:rFonts w:hint="eastAsia" w:ascii="宋体" w:hAnsi="宋体" w:cs="宋体"/>
          <w:b/>
          <w:color w:val="auto"/>
          <w:szCs w:val="21"/>
          <w:highlight w:val="none"/>
        </w:rPr>
      </w:pPr>
      <w:r>
        <w:rPr>
          <w:rFonts w:hint="eastAsia" w:ascii="宋体" w:hAnsi="宋体" w:cs="宋体"/>
          <w:b/>
          <w:color w:val="auto"/>
          <w:szCs w:val="21"/>
          <w:highlight w:val="none"/>
        </w:rPr>
        <w:t>25.投标文件的提交</w:t>
      </w:r>
    </w:p>
    <w:p>
      <w:pPr>
        <w:spacing w:line="440" w:lineRule="exact"/>
        <w:ind w:firstLine="310" w:firstLineChars="148"/>
        <w:jc w:val="left"/>
        <w:rPr>
          <w:rFonts w:hint="eastAsia" w:ascii="宋体" w:hAnsi="宋体" w:cs="宋体"/>
          <w:b w:val="0"/>
          <w:bCs/>
          <w:color w:val="auto"/>
          <w:szCs w:val="21"/>
          <w:highlight w:val="none"/>
        </w:rPr>
      </w:pPr>
      <w:r>
        <w:rPr>
          <w:rFonts w:hint="eastAsia" w:ascii="宋体" w:hAnsi="宋体" w:cs="宋体"/>
          <w:b w:val="0"/>
          <w:bCs/>
          <w:color w:val="auto"/>
          <w:szCs w:val="21"/>
          <w:highlight w:val="none"/>
        </w:rPr>
        <w:t>25.1 投标人应在投标人须知前附表规定的投标截止时间前在递交投标文件。未在开标截止时间前递交投标文件的，投标将被拒绝。</w:t>
      </w:r>
    </w:p>
    <w:p>
      <w:pPr>
        <w:spacing w:line="440" w:lineRule="exact"/>
        <w:ind w:firstLine="314" w:firstLineChars="149"/>
        <w:rPr>
          <w:rFonts w:hint="eastAsia" w:ascii="宋体" w:hAnsi="宋体" w:cs="宋体"/>
          <w:b/>
          <w:color w:val="auto"/>
          <w:szCs w:val="21"/>
          <w:highlight w:val="none"/>
        </w:rPr>
      </w:pPr>
      <w:r>
        <w:rPr>
          <w:rFonts w:hint="eastAsia" w:ascii="宋体" w:hAnsi="宋体" w:cs="宋体"/>
          <w:b/>
          <w:color w:val="auto"/>
          <w:szCs w:val="21"/>
          <w:highlight w:val="none"/>
        </w:rPr>
        <w:t>26．投标文件的修改与撤回</w:t>
      </w:r>
    </w:p>
    <w:p>
      <w:pPr>
        <w:spacing w:line="440" w:lineRule="exact"/>
        <w:ind w:firstLine="310" w:firstLineChars="148"/>
        <w:jc w:val="left"/>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26.1在规定的投标截止时间前，投标人可以撤回已递交的投标文件，并可修改后重新</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，开标时以投标截止时间前投标人最终</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的投标文件为准。</w:t>
      </w:r>
    </w:p>
    <w:p>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（五）开标、评标和定标</w:t>
      </w:r>
      <w:bookmarkEnd w:id="39"/>
    </w:p>
    <w:p>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27.开标</w:t>
      </w:r>
    </w:p>
    <w:p>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 开标的时间和地点</w:t>
      </w:r>
    </w:p>
    <w:p>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按招标公告中的开标时间和地点公开开标，并邀请所有投标人参加。</w:t>
      </w:r>
    </w:p>
    <w:p>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  参与开标的监督部门</w:t>
      </w:r>
    </w:p>
    <w:p>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27.2.1</w:t>
      </w:r>
      <w:r>
        <w:rPr>
          <w:rFonts w:hint="eastAsia" w:ascii="宋体" w:hAnsi="宋体" w:cs="宋体"/>
          <w:color w:val="auto"/>
          <w:highlight w:val="none"/>
          <w:lang w:eastAsia="zh-CN"/>
        </w:rPr>
        <w:t>招标人</w:t>
      </w:r>
      <w:r>
        <w:rPr>
          <w:rFonts w:hint="eastAsia" w:ascii="宋体" w:hAnsi="宋体" w:cs="宋体"/>
          <w:color w:val="auto"/>
          <w:highlight w:val="none"/>
        </w:rPr>
        <w:t>可以邀请相关监管部门参加</w:t>
      </w:r>
      <w:r>
        <w:rPr>
          <w:rFonts w:hint="eastAsia" w:ascii="宋体" w:hAnsi="宋体" w:cs="宋体"/>
          <w:color w:val="auto"/>
          <w:szCs w:val="21"/>
          <w:highlight w:val="none"/>
        </w:rPr>
        <w:t>。</w:t>
      </w:r>
    </w:p>
    <w:p>
      <w:pPr>
        <w:adjustRightInd w:val="0"/>
        <w:snapToGrid w:val="0"/>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27.3开标程序</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开标会议由代理机构主持。</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（1）宣布开标纪律；</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（2）宣布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、代理机构主持人等有关人员姓名；</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 xml:space="preserve">（3）公布投标截止时间前，递交投标文件的投标人名称等； </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）公布投标人投标报价、质量目标、供货期及其他内容，并记录在案；</w:t>
      </w:r>
    </w:p>
    <w:p>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）开标结束。</w:t>
      </w:r>
    </w:p>
    <w:p>
      <w:pPr>
        <w:spacing w:line="440" w:lineRule="exact"/>
        <w:ind w:right="-155" w:rightChars="-74"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xml:space="preserve"> 27.4开标疑义</w:t>
      </w:r>
    </w:p>
    <w:p>
      <w:pPr>
        <w:spacing w:line="440" w:lineRule="exact"/>
        <w:ind w:right="-155" w:rightChars="-74"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投标人代表对开标过程和开标记录有疑义，以及认为</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、采购代理机构相关工作人员有需要回避的情形的，应当场提出询问或者回避申请。</w:t>
      </w:r>
    </w:p>
    <w:p>
      <w:pPr>
        <w:spacing w:line="440" w:lineRule="exact"/>
        <w:ind w:firstLine="421"/>
        <w:jc w:val="left"/>
        <w:rPr>
          <w:rFonts w:hint="eastAsia" w:ascii="宋体" w:hAnsi="宋体" w:cs="宋体"/>
          <w:b/>
          <w:color w:val="auto"/>
          <w:szCs w:val="21"/>
          <w:highlight w:val="none"/>
        </w:rPr>
      </w:pPr>
      <w:r>
        <w:rPr>
          <w:rFonts w:hint="eastAsia" w:ascii="宋体" w:hAnsi="宋体" w:cs="宋体"/>
          <w:b/>
          <w:color w:val="auto"/>
          <w:szCs w:val="21"/>
          <w:highlight w:val="none"/>
        </w:rPr>
        <w:t>28.评标委员会</w:t>
      </w:r>
    </w:p>
    <w:p>
      <w:pPr>
        <w:spacing w:line="420" w:lineRule="exact"/>
        <w:ind w:firstLine="420" w:firstLineChars="200"/>
        <w:jc w:val="left"/>
        <w:rPr>
          <w:rFonts w:ascii="宋体" w:cs="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.1</w:t>
      </w:r>
      <w:r>
        <w:rPr>
          <w:rFonts w:hint="eastAsia" w:ascii="宋体" w:hAnsi="宋体" w:cs="宋体"/>
          <w:color w:val="auto"/>
          <w:szCs w:val="21"/>
          <w:highlight w:val="none"/>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28</w:t>
      </w:r>
      <w:r>
        <w:rPr>
          <w:rFonts w:ascii="宋体" w:hAnsi="宋体" w:cs="宋体"/>
          <w:color w:val="auto"/>
          <w:szCs w:val="21"/>
          <w:highlight w:val="none"/>
        </w:rPr>
        <w:t xml:space="preserve">.2 </w:t>
      </w:r>
      <w:r>
        <w:rPr>
          <w:rFonts w:hint="eastAsia" w:ascii="宋体" w:hAnsi="宋体" w:cs="宋体"/>
          <w:color w:val="auto"/>
          <w:szCs w:val="21"/>
          <w:highlight w:val="none"/>
        </w:rPr>
        <w:t>评标委员会成员有下列情形之一的，应当回避：</w:t>
      </w:r>
    </w:p>
    <w:p>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1</w:t>
      </w:r>
      <w:r>
        <w:rPr>
          <w:rFonts w:hint="eastAsia" w:ascii="宋体" w:hAnsi="宋体" w:cs="宋体"/>
          <w:color w:val="auto"/>
          <w:szCs w:val="21"/>
          <w:highlight w:val="none"/>
        </w:rPr>
        <w:t>）投标人或投标人主要负责人的近亲属；</w:t>
      </w:r>
    </w:p>
    <w:p>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2</w:t>
      </w:r>
      <w:r>
        <w:rPr>
          <w:rFonts w:hint="eastAsia" w:ascii="宋体" w:hAnsi="宋体" w:cs="宋体"/>
          <w:color w:val="auto"/>
          <w:szCs w:val="21"/>
          <w:highlight w:val="none"/>
        </w:rPr>
        <w:t>）项目主管部门或者行政监督部门的人员；</w:t>
      </w:r>
    </w:p>
    <w:p>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3</w:t>
      </w:r>
      <w:r>
        <w:rPr>
          <w:rFonts w:hint="eastAsia" w:ascii="宋体" w:hAnsi="宋体" w:cs="宋体"/>
          <w:color w:val="auto"/>
          <w:szCs w:val="21"/>
          <w:highlight w:val="none"/>
        </w:rPr>
        <w:t>）与投标人有经济利益关系；</w:t>
      </w:r>
    </w:p>
    <w:p>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4</w:t>
      </w:r>
      <w:r>
        <w:rPr>
          <w:rFonts w:hint="eastAsia" w:ascii="宋体" w:hAnsi="宋体" w:cs="宋体"/>
          <w:color w:val="auto"/>
          <w:szCs w:val="21"/>
          <w:highlight w:val="none"/>
        </w:rPr>
        <w:t>）曾因在招标、评标以及其他与招标投标有关活动中从事违法行为而受过行政处罚或刑事处罚的；</w:t>
      </w:r>
    </w:p>
    <w:p>
      <w:pPr>
        <w:spacing w:line="420" w:lineRule="exact"/>
        <w:ind w:firstLine="420" w:firstLineChars="200"/>
        <w:jc w:val="left"/>
        <w:rPr>
          <w:rFonts w:hint="eastAsia" w:ascii="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5</w:t>
      </w:r>
      <w:r>
        <w:rPr>
          <w:rFonts w:hint="eastAsia" w:ascii="宋体" w:hAnsi="宋体" w:cs="宋体"/>
          <w:color w:val="auto"/>
          <w:szCs w:val="21"/>
          <w:highlight w:val="none"/>
        </w:rPr>
        <w:t>）与投标人有其他利害关系。</w:t>
      </w:r>
    </w:p>
    <w:p>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28</w:t>
      </w:r>
      <w:r>
        <w:rPr>
          <w:rFonts w:hint="eastAsia" w:ascii="宋体" w:hAnsi="宋体" w:cs="宋体"/>
          <w:color w:val="auto"/>
          <w:szCs w:val="21"/>
          <w:highlight w:val="none"/>
        </w:rPr>
        <w:t>.3评标过程中，评标委员会成员有回避事由、擅离职守或因健康等原因不能继续评标的， 招标人有权更换。被更换的评标委员会成员作出的评审结论无效，由更换后的评标委员会成员重新进行评审。</w:t>
      </w:r>
    </w:p>
    <w:p>
      <w:pPr>
        <w:spacing w:line="420" w:lineRule="exact"/>
        <w:ind w:firstLine="421"/>
        <w:jc w:val="left"/>
        <w:rPr>
          <w:rFonts w:hint="eastAsia" w:ascii="宋体"/>
          <w:b/>
          <w:color w:val="auto"/>
          <w:szCs w:val="21"/>
          <w:highlight w:val="none"/>
        </w:rPr>
      </w:pPr>
      <w:bookmarkStart w:id="40" w:name="_Toc449028873"/>
      <w:r>
        <w:rPr>
          <w:rFonts w:hint="eastAsia" w:ascii="宋体"/>
          <w:b/>
          <w:color w:val="auto"/>
          <w:szCs w:val="21"/>
          <w:highlight w:val="none"/>
          <w:lang w:val="en-US" w:eastAsia="zh-CN"/>
        </w:rPr>
        <w:t>29</w:t>
      </w:r>
      <w:r>
        <w:rPr>
          <w:rFonts w:hint="eastAsia" w:ascii="宋体"/>
          <w:b/>
          <w:color w:val="auto"/>
          <w:szCs w:val="21"/>
          <w:highlight w:val="none"/>
        </w:rPr>
        <w:t>.评标</w:t>
      </w:r>
    </w:p>
    <w:p>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.1评标委员会按照第三章“评标办法”规定的方法、评审因素、标准和程序对投标文件进行评审。第三章“评标办法”没有规定的方法、评审因素和标准，不作为评标依据。</w:t>
      </w:r>
    </w:p>
    <w:p>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.2评标完成后，评标委员会应向招标人提交书面评标报告和中标候选人名单。评标委员会推荐中标候选人的人数见投标人须知前附表。</w:t>
      </w:r>
    </w:p>
    <w:p>
      <w:pPr>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.3评标原则：遵循公平、公正、科学和择优的原则。</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.4投标文件的澄清</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.4.1在评标过程中，评标委员会认为需要，在</w:t>
      </w:r>
      <w:r>
        <w:rPr>
          <w:rFonts w:hint="eastAsia" w:ascii="宋体"/>
          <w:color w:val="auto"/>
          <w:szCs w:val="21"/>
          <w:highlight w:val="none"/>
          <w:lang w:val="en-US" w:eastAsia="zh-CN"/>
        </w:rPr>
        <w:t>招标人</w:t>
      </w:r>
      <w:r>
        <w:rPr>
          <w:rFonts w:hint="eastAsia" w:ascii="宋体"/>
          <w:color w:val="auto"/>
          <w:szCs w:val="21"/>
          <w:highlight w:val="none"/>
        </w:rPr>
        <w:t>的监督下，可要求投标人对投标文件中的有关问题进行澄清或提供补充说明及有关资料，投标人应做出书面答复。</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.4.2书面答复须经投标人法定代表人或其委托代理人签字或盖章，签字或盖章的书面答复将被视为投标文件的组成部分。</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.5报价合理性的判断</w:t>
      </w:r>
    </w:p>
    <w:p>
      <w:pPr>
        <w:spacing w:line="420" w:lineRule="exact"/>
        <w:ind w:firstLine="420" w:firstLineChars="200"/>
        <w:jc w:val="left"/>
        <w:rPr>
          <w:rFonts w:hint="eastAsia" w:ascii="宋体" w:hAnsi="宋体"/>
          <w:b w:val="0"/>
          <w:bCs w:val="0"/>
          <w:color w:val="auto"/>
          <w:szCs w:val="21"/>
          <w:highlight w:val="none"/>
        </w:rPr>
      </w:pPr>
      <w:r>
        <w:rPr>
          <w:rFonts w:hint="eastAsia" w:ascii="宋体" w:hAnsi="宋体"/>
          <w:b w:val="0"/>
          <w:bCs w:val="0"/>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.6评审意见分歧的处理办法</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（1）评标委员会应当对投标人提供的报告、证明材料及详细说明认真研究。对存在意见分歧的，可采用投票方式表决决定（按多数评委意见为准）；</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（2）招标投标当事人对评标结果提出异议或者投诉，</w:t>
      </w:r>
      <w:r>
        <w:rPr>
          <w:rFonts w:hint="eastAsia" w:ascii="宋体"/>
          <w:color w:val="auto"/>
          <w:szCs w:val="21"/>
          <w:highlight w:val="none"/>
          <w:lang w:val="en-US" w:eastAsia="zh-CN"/>
        </w:rPr>
        <w:t>招标人</w:t>
      </w:r>
      <w:r>
        <w:rPr>
          <w:rFonts w:hint="eastAsia" w:ascii="宋体"/>
          <w:color w:val="auto"/>
          <w:szCs w:val="21"/>
          <w:highlight w:val="none"/>
        </w:rPr>
        <w:t>认为需要重新进行评标的，评标委员会成员应当按照</w:t>
      </w:r>
      <w:r>
        <w:rPr>
          <w:rFonts w:hint="eastAsia" w:ascii="宋体"/>
          <w:color w:val="auto"/>
          <w:szCs w:val="21"/>
          <w:highlight w:val="none"/>
          <w:lang w:val="en-US" w:eastAsia="zh-CN"/>
        </w:rPr>
        <w:t>招标人</w:t>
      </w:r>
      <w:r>
        <w:rPr>
          <w:rFonts w:hint="eastAsia" w:ascii="宋体"/>
          <w:color w:val="auto"/>
          <w:szCs w:val="21"/>
          <w:highlight w:val="none"/>
        </w:rPr>
        <w:t>要求重新评标。</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.7评标报告的签署</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7.1评标委员会应当编制书面评标报告,所有成员应签字确认。对评标结论持有异议的评标委员会成员可以书面方式阐述其不同意见和理由。评标委员会成员拒绝在评标报告上签字且不陈述其不同意见和理由的，视为同意评标结论。</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.8评标过程的保密</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评标委员会成员和与评标活动有关的工作人员不得透露对投标文件的评审和比较、中标人的推荐情况以及与评标有关的其他情况。</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.9评标结果公告</w:t>
      </w:r>
    </w:p>
    <w:p>
      <w:pPr>
        <w:tabs>
          <w:tab w:val="left" w:pos="720"/>
        </w:tabs>
        <w:spacing w:line="420" w:lineRule="exact"/>
        <w:ind w:right="-313" w:rightChars="-149" w:firstLine="420" w:firstLineChars="200"/>
        <w:jc w:val="left"/>
        <w:rPr>
          <w:color w:val="auto"/>
          <w:highlight w:val="none"/>
        </w:rPr>
      </w:pPr>
      <w:r>
        <w:rPr>
          <w:rFonts w:hint="eastAsia" w:ascii="宋体"/>
          <w:color w:val="auto"/>
          <w:szCs w:val="21"/>
          <w:highlight w:val="none"/>
        </w:rPr>
        <w:t>招标人应将中标人的情况在</w:t>
      </w:r>
      <w:r>
        <w:rPr>
          <w:rFonts w:hint="eastAsia" w:ascii="宋体"/>
          <w:color w:val="auto"/>
          <w:szCs w:val="21"/>
          <w:highlight w:val="none"/>
          <w:lang w:val="en-US" w:eastAsia="zh-CN"/>
        </w:rPr>
        <w:t>中国扬子集团官网（http://www.yangzigroup.cn/case/jingpinzhuzhai/）及滁州市工投公司微信公众号</w:t>
      </w:r>
      <w:r>
        <w:rPr>
          <w:rFonts w:hint="eastAsia" w:ascii="宋体"/>
          <w:color w:val="auto"/>
          <w:szCs w:val="21"/>
          <w:highlight w:val="none"/>
        </w:rPr>
        <w:t>上予以公告，公告期为3日。投标人或其他利害关系人对评标结果有异议的，应在中标候选人公示期内提出。招标人将在收到异议之日起 3 日内作出答复；作出答复前，将暂停招标投标活动。</w:t>
      </w:r>
    </w:p>
    <w:p>
      <w:pPr>
        <w:spacing w:line="420" w:lineRule="exact"/>
        <w:ind w:firstLine="421"/>
        <w:jc w:val="left"/>
        <w:rPr>
          <w:rFonts w:hint="eastAsia" w:ascii="宋体"/>
          <w:b/>
          <w:color w:val="auto"/>
          <w:szCs w:val="21"/>
          <w:highlight w:val="none"/>
        </w:rPr>
      </w:pPr>
      <w:r>
        <w:rPr>
          <w:rFonts w:hint="eastAsia" w:ascii="宋体"/>
          <w:b/>
          <w:color w:val="auto"/>
          <w:szCs w:val="21"/>
          <w:highlight w:val="none"/>
        </w:rPr>
        <w:t>3</w:t>
      </w:r>
      <w:r>
        <w:rPr>
          <w:rFonts w:hint="eastAsia" w:ascii="宋体"/>
          <w:b/>
          <w:color w:val="auto"/>
          <w:szCs w:val="21"/>
          <w:highlight w:val="none"/>
          <w:lang w:val="en-US" w:eastAsia="zh-CN"/>
        </w:rPr>
        <w:t>0</w:t>
      </w:r>
      <w:r>
        <w:rPr>
          <w:rFonts w:hint="eastAsia" w:ascii="宋体"/>
          <w:b/>
          <w:color w:val="auto"/>
          <w:szCs w:val="21"/>
          <w:highlight w:val="none"/>
        </w:rPr>
        <w:t>.定标</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.1 中标人的确定</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1.1按照投标人须知前附表的规定，招标人或招标人授权的评标委员会依法确定中标人。排名第一的中标候选人放弃中标、因不可抗力不能履行合同、不按照招标文件要求提交履约保证金，或者被查实存在影响中标结果的违法行为等情形，不符合中标条件的，招标人可以按照评标委员会提出的中标候选人名单排序依次确定其他中标候选人为中标人，也可以重新招标。</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.1.2中标人确定后，招标人应将中标信息在</w:t>
      </w:r>
      <w:r>
        <w:rPr>
          <w:rFonts w:hint="eastAsia" w:ascii="宋体"/>
          <w:color w:val="auto"/>
          <w:szCs w:val="21"/>
          <w:highlight w:val="none"/>
          <w:lang w:val="en-US" w:eastAsia="zh-CN"/>
        </w:rPr>
        <w:t>中国扬子集团官网（http://www.yangzigroup.cn/case/jingpinzhuzhai/）及滁州市工投公司微信公众号</w:t>
      </w:r>
      <w:r>
        <w:rPr>
          <w:rFonts w:hint="eastAsia" w:ascii="宋体"/>
          <w:color w:val="auto"/>
          <w:szCs w:val="21"/>
          <w:highlight w:val="none"/>
        </w:rPr>
        <w:t>上公告。</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.2 中标通知书</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.2.1招标人或代理机构应在中标人确定之日起2个工作日内，在</w:t>
      </w:r>
      <w:r>
        <w:rPr>
          <w:rFonts w:hint="eastAsia" w:ascii="宋体"/>
          <w:color w:val="auto"/>
          <w:szCs w:val="21"/>
          <w:highlight w:val="none"/>
          <w:lang w:val="en-US" w:eastAsia="zh-CN"/>
        </w:rPr>
        <w:t>中国扬子集团官网（http://www.yangzigroup.cn/case/jingpinzhuzhai/）及滁州市工投公司微信公众号</w:t>
      </w:r>
      <w:r>
        <w:rPr>
          <w:rFonts w:hint="eastAsia" w:ascii="宋体"/>
          <w:color w:val="auto"/>
          <w:szCs w:val="21"/>
          <w:highlight w:val="none"/>
        </w:rPr>
        <w:t>公告中标结果并同时向中标人发出中标通知书。</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.2.2中标通知书须加盖招标人、代理机构公章后，方可发出。</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3</w:t>
      </w:r>
      <w:r>
        <w:rPr>
          <w:rFonts w:hint="eastAsia" w:ascii="宋体"/>
          <w:color w:val="auto"/>
          <w:szCs w:val="21"/>
          <w:highlight w:val="none"/>
          <w:lang w:val="en-US" w:eastAsia="zh-CN"/>
        </w:rPr>
        <w:t>0</w:t>
      </w:r>
      <w:r>
        <w:rPr>
          <w:rFonts w:hint="eastAsia" w:ascii="宋体"/>
          <w:color w:val="auto"/>
          <w:szCs w:val="21"/>
          <w:highlight w:val="none"/>
        </w:rPr>
        <w:t>.2.3招标人将在发出中标通知书的同时，向未通过资格审查的投标人告知其未通过的原因。</w:t>
      </w:r>
    </w:p>
    <w:p>
      <w:pPr>
        <w:spacing w:line="420" w:lineRule="exact"/>
        <w:ind w:firstLine="421"/>
        <w:jc w:val="left"/>
        <w:rPr>
          <w:rFonts w:hint="eastAsia" w:ascii="宋体"/>
          <w:b/>
          <w:color w:val="auto"/>
          <w:szCs w:val="21"/>
          <w:highlight w:val="none"/>
        </w:rPr>
      </w:pPr>
      <w:r>
        <w:rPr>
          <w:rFonts w:hint="eastAsia" w:ascii="宋体"/>
          <w:b/>
          <w:color w:val="auto"/>
          <w:szCs w:val="21"/>
          <w:highlight w:val="none"/>
        </w:rPr>
        <w:t>3</w:t>
      </w:r>
      <w:r>
        <w:rPr>
          <w:rFonts w:hint="eastAsia" w:ascii="宋体"/>
          <w:b/>
          <w:color w:val="auto"/>
          <w:szCs w:val="21"/>
          <w:highlight w:val="none"/>
          <w:lang w:val="en-US" w:eastAsia="zh-CN"/>
        </w:rPr>
        <w:t>1</w:t>
      </w:r>
      <w:r>
        <w:rPr>
          <w:rFonts w:hint="eastAsia" w:ascii="宋体"/>
          <w:b/>
          <w:color w:val="auto"/>
          <w:szCs w:val="21"/>
          <w:highlight w:val="none"/>
        </w:rPr>
        <w:t>.开评标异常情况处理</w:t>
      </w:r>
    </w:p>
    <w:p>
      <w:pPr>
        <w:spacing w:line="420" w:lineRule="exact"/>
        <w:ind w:firstLine="421"/>
        <w:jc w:val="left"/>
        <w:rPr>
          <w:rFonts w:hint="eastAsia" w:ascii="宋体"/>
          <w:b/>
          <w:color w:val="auto"/>
          <w:szCs w:val="21"/>
          <w:highlight w:val="none"/>
        </w:rPr>
      </w:pPr>
      <w:r>
        <w:rPr>
          <w:rFonts w:hint="eastAsia" w:ascii="宋体"/>
          <w:color w:val="auto"/>
          <w:kern w:val="10"/>
          <w:szCs w:val="21"/>
          <w:highlight w:val="none"/>
        </w:rPr>
        <w:t>3</w:t>
      </w:r>
      <w:r>
        <w:rPr>
          <w:rFonts w:hint="eastAsia" w:ascii="宋体"/>
          <w:color w:val="auto"/>
          <w:kern w:val="10"/>
          <w:szCs w:val="21"/>
          <w:highlight w:val="none"/>
          <w:lang w:val="en-US" w:eastAsia="zh-CN"/>
        </w:rPr>
        <w:t>1</w:t>
      </w:r>
      <w:r>
        <w:rPr>
          <w:rFonts w:hint="eastAsia" w:ascii="宋体"/>
          <w:color w:val="auto"/>
          <w:kern w:val="10"/>
          <w:szCs w:val="21"/>
          <w:highlight w:val="none"/>
        </w:rPr>
        <w:t>.1</w:t>
      </w:r>
      <w:r>
        <w:rPr>
          <w:rFonts w:hint="eastAsia" w:ascii="宋体"/>
          <w:b/>
          <w:color w:val="auto"/>
          <w:szCs w:val="21"/>
          <w:highlight w:val="none"/>
        </w:rPr>
        <w:t xml:space="preserve">重新招标 </w:t>
      </w:r>
    </w:p>
    <w:p>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项目有下列情形之一的，招标人将重新招标：</w:t>
      </w:r>
    </w:p>
    <w:p>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rPr>
        <w:t xml:space="preserve">(1)投标截止时间止，投标人少于三个的； </w:t>
      </w:r>
    </w:p>
    <w:p>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rPr>
        <w:t>(2)符合专业条件的供应商或者对招标文件作实质响应的供应商不足三家的；</w:t>
      </w:r>
    </w:p>
    <w:p>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rPr>
        <w:t>(3)出现影响招标公正的违法、违规行为的；</w:t>
      </w:r>
    </w:p>
    <w:p>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rPr>
        <w:t>(4)投标人的报价均脱离实际且无充分证据的；</w:t>
      </w:r>
    </w:p>
    <w:p>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rPr>
        <w:t>(</w:t>
      </w:r>
      <w:r>
        <w:rPr>
          <w:rFonts w:hint="eastAsia" w:ascii="宋体"/>
          <w:color w:val="auto"/>
          <w:kern w:val="10"/>
          <w:szCs w:val="21"/>
          <w:highlight w:val="none"/>
          <w:lang w:val="en-US" w:eastAsia="zh-CN"/>
        </w:rPr>
        <w:t>5</w:t>
      </w:r>
      <w:r>
        <w:rPr>
          <w:rFonts w:hint="eastAsia" w:ascii="宋体"/>
          <w:color w:val="auto"/>
          <w:kern w:val="10"/>
          <w:szCs w:val="21"/>
          <w:highlight w:val="none"/>
        </w:rPr>
        <w:t>)因重大变故，采购任务取消的。</w:t>
      </w:r>
    </w:p>
    <w:p>
      <w:pPr>
        <w:adjustRightInd w:val="0"/>
        <w:snapToGrid w:val="0"/>
        <w:spacing w:line="420" w:lineRule="exact"/>
        <w:ind w:firstLine="420" w:firstLineChars="200"/>
        <w:rPr>
          <w:rFonts w:hint="eastAsia" w:ascii="宋体"/>
          <w:color w:val="auto"/>
          <w:kern w:val="10"/>
          <w:szCs w:val="21"/>
          <w:highlight w:val="none"/>
        </w:rPr>
      </w:pPr>
      <w:r>
        <w:rPr>
          <w:rFonts w:hint="eastAsia" w:ascii="宋体"/>
          <w:color w:val="auto"/>
          <w:kern w:val="10"/>
          <w:szCs w:val="21"/>
          <w:highlight w:val="none"/>
        </w:rPr>
        <w:t>3</w:t>
      </w:r>
      <w:r>
        <w:rPr>
          <w:rFonts w:hint="eastAsia" w:ascii="宋体"/>
          <w:color w:val="auto"/>
          <w:kern w:val="10"/>
          <w:szCs w:val="21"/>
          <w:highlight w:val="none"/>
          <w:lang w:val="en-US" w:eastAsia="zh-CN"/>
        </w:rPr>
        <w:t>1.</w:t>
      </w:r>
      <w:r>
        <w:rPr>
          <w:rFonts w:hint="eastAsia" w:ascii="宋体"/>
          <w:color w:val="auto"/>
          <w:kern w:val="10"/>
          <w:szCs w:val="21"/>
          <w:highlight w:val="none"/>
        </w:rPr>
        <w:t>2变更采购方式</w:t>
      </w:r>
    </w:p>
    <w:p>
      <w:pPr>
        <w:adjustRightInd w:val="0"/>
        <w:snapToGrid w:val="0"/>
        <w:spacing w:line="440" w:lineRule="exact"/>
        <w:ind w:firstLine="420" w:firstLineChars="200"/>
        <w:rPr>
          <w:rFonts w:hint="eastAsia" w:ascii="宋体" w:hAnsi="宋体" w:eastAsia="宋体" w:cs="宋体"/>
          <w:sz w:val="21"/>
          <w:szCs w:val="21"/>
          <w:highlight w:val="none"/>
        </w:rPr>
      </w:pPr>
      <w:r>
        <w:rPr>
          <w:rFonts w:hint="eastAsia" w:ascii="宋体" w:hAnsi="宋体" w:eastAsia="宋体" w:cs="宋体"/>
          <w:sz w:val="21"/>
          <w:szCs w:val="21"/>
          <w:highlight w:val="none"/>
          <w:lang w:val="en-US" w:eastAsia="zh-CN"/>
        </w:rPr>
        <w:t>31.2.1</w:t>
      </w:r>
      <w:bookmarkStart w:id="41" w:name="_Toc449028872"/>
      <w:r>
        <w:rPr>
          <w:rFonts w:hint="eastAsia" w:ascii="宋体"/>
          <w:color w:val="auto"/>
          <w:szCs w:val="21"/>
          <w:highlight w:val="none"/>
        </w:rPr>
        <w:t>按照滁州市公管局相关规定执行。</w:t>
      </w:r>
      <w:bookmarkEnd w:id="41"/>
    </w:p>
    <w:p>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（六）合同的授予</w:t>
      </w:r>
      <w:bookmarkEnd w:id="40"/>
    </w:p>
    <w:p>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32.合同授予标准</w:t>
      </w:r>
    </w:p>
    <w:p>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32.1本招标项目的合同将授予按本投标须知第30条规定所确定的中标人。 </w:t>
      </w:r>
    </w:p>
    <w:p>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33.合同协议书的签订</w:t>
      </w:r>
    </w:p>
    <w:p>
      <w:pPr>
        <w:spacing w:line="440" w:lineRule="exact"/>
        <w:ind w:firstLine="525" w:firstLineChars="2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rPr>
        <w:t>.1招标人与中标人将于中标通知书发出之日起30日内，按照招标文件和中标人的投标文件订立书面采购合同。中标人无正当理由拒签合同的，在签订合同时向招标人提出附加条件，或不按照招标文件要求提交履约保证金的，招标人取消其中标资格，其投标保证金不予退还；给招标人造成的损失超过投标保证金数额的，中标人还应当对超过部分予以赔偿。</w:t>
      </w:r>
    </w:p>
    <w:p>
      <w:pPr>
        <w:spacing w:line="440" w:lineRule="exact"/>
        <w:ind w:firstLine="525" w:firstLineChars="2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33.2</w:t>
      </w:r>
      <w:r>
        <w:rPr>
          <w:rFonts w:hint="eastAsia" w:ascii="宋体" w:hAnsi="宋体" w:eastAsia="宋体" w:cs="宋体"/>
          <w:color w:val="auto"/>
          <w:szCs w:val="21"/>
          <w:highlight w:val="none"/>
        </w:rPr>
        <w:t>发出中标通知书后，招标人无正当理由拒签合同的，招标人向中标人退还投标保证金；给中标人造成损失的，还应当赔偿损失。</w:t>
      </w:r>
    </w:p>
    <w:p>
      <w:pPr>
        <w:spacing w:line="440" w:lineRule="exact"/>
        <w:ind w:firstLine="525" w:firstLineChars="2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依法必须进行招标的项目，除中标人以外的其他投标人存在串通投标、弄虚作假、行贿情形且在评标过程中未被发现的，视为对中标结果没有造成实质性影响，招标人可以依法继续开展招标活动。</w:t>
      </w:r>
    </w:p>
    <w:p>
      <w:pPr>
        <w:spacing w:line="440" w:lineRule="exact"/>
        <w:rPr>
          <w:rFonts w:hint="default" w:ascii="宋体" w:hAnsi="宋体" w:eastAsia="宋体" w:cs="宋体"/>
          <w:b/>
          <w:color w:val="auto"/>
          <w:szCs w:val="21"/>
          <w:highlight w:val="none"/>
          <w:lang w:val="en-US" w:eastAsia="zh-CN"/>
        </w:rPr>
      </w:pPr>
      <w:r>
        <w:rPr>
          <w:rFonts w:hint="eastAsia" w:ascii="宋体" w:hAnsi="宋体" w:cs="宋体"/>
          <w:color w:val="auto"/>
          <w:szCs w:val="21"/>
          <w:highlight w:val="none"/>
        </w:rPr>
        <w:t xml:space="preserve">    34.</w:t>
      </w:r>
      <w:bookmarkStart w:id="42" w:name="_Toc217446068"/>
      <w:r>
        <w:rPr>
          <w:rFonts w:hint="eastAsia" w:ascii="宋体" w:hAnsi="宋体" w:cs="宋体"/>
          <w:b/>
          <w:color w:val="auto"/>
          <w:szCs w:val="21"/>
          <w:highlight w:val="none"/>
        </w:rPr>
        <w:t>履约保证金</w:t>
      </w:r>
      <w:bookmarkEnd w:id="42"/>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本项目不采用）</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34.1在签订合同前，中标人应按投标人须知前附表规定的担保形式、金额和招标文件第五章“合同条款及格式”规定的或者事先经过</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书面认可的履约担保格式向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提交履约担保。</w:t>
      </w:r>
    </w:p>
    <w:p>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34.2中标人不能按本章第34.1款要求提交履约担保的，视为放弃中标，</w:t>
      </w:r>
      <w:r>
        <w:rPr>
          <w:rFonts w:hint="eastAsia" w:ascii="宋体" w:hAnsi="宋体" w:cs="宋体"/>
          <w:color w:val="auto"/>
          <w:szCs w:val="21"/>
          <w:highlight w:val="none"/>
          <w:shd w:val="clear" w:color="auto" w:fill="FFFFFF"/>
        </w:rPr>
        <w:t>给</w:t>
      </w:r>
      <w:r>
        <w:rPr>
          <w:rFonts w:hint="eastAsia" w:ascii="宋体" w:hAnsi="宋体" w:cs="宋体"/>
          <w:color w:val="auto"/>
          <w:szCs w:val="21"/>
          <w:highlight w:val="none"/>
          <w:shd w:val="clear" w:color="auto" w:fill="FFFFFF"/>
          <w:lang w:eastAsia="zh-CN"/>
        </w:rPr>
        <w:t>招标人</w:t>
      </w:r>
      <w:r>
        <w:rPr>
          <w:rFonts w:hint="eastAsia" w:ascii="宋体" w:hAnsi="宋体" w:cs="宋体"/>
          <w:color w:val="auto"/>
          <w:szCs w:val="21"/>
          <w:highlight w:val="none"/>
          <w:shd w:val="clear" w:color="auto" w:fill="FFFFFF"/>
        </w:rPr>
        <w:t>造成损失的，依法承担民事责任</w:t>
      </w:r>
      <w:r>
        <w:rPr>
          <w:rFonts w:hint="eastAsia" w:ascii="宋体" w:hAnsi="宋体" w:cs="宋体"/>
          <w:color w:val="auto"/>
          <w:szCs w:val="21"/>
          <w:highlight w:val="none"/>
        </w:rPr>
        <w:t>。</w:t>
      </w:r>
    </w:p>
    <w:p>
      <w:pPr>
        <w:spacing w:before="312" w:beforeLines="100" w:after="312" w:afterLines="100" w:line="440" w:lineRule="exact"/>
        <w:jc w:val="center"/>
        <w:rPr>
          <w:rFonts w:hint="eastAsia" w:ascii="宋体" w:hAnsi="宋体" w:eastAsia="宋体" w:cs="宋体"/>
          <w:b/>
          <w:color w:val="auto"/>
          <w:sz w:val="28"/>
          <w:szCs w:val="28"/>
          <w:highlight w:val="none"/>
        </w:rPr>
      </w:pPr>
      <w:bookmarkStart w:id="43" w:name="_Toc449028874"/>
      <w:r>
        <w:rPr>
          <w:rFonts w:hint="eastAsia" w:ascii="宋体" w:hAnsi="宋体" w:eastAsia="宋体" w:cs="宋体"/>
          <w:b/>
          <w:color w:val="auto"/>
          <w:sz w:val="28"/>
          <w:szCs w:val="28"/>
          <w:highlight w:val="none"/>
        </w:rPr>
        <w:t>（七）纪律和监督</w:t>
      </w:r>
      <w:bookmarkEnd w:id="43"/>
    </w:p>
    <w:p>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35. 对</w:t>
      </w:r>
      <w:r>
        <w:rPr>
          <w:rFonts w:hint="eastAsia" w:ascii="宋体" w:hAnsi="宋体" w:cs="宋体"/>
          <w:b/>
          <w:color w:val="auto"/>
          <w:szCs w:val="21"/>
          <w:highlight w:val="none"/>
          <w:lang w:eastAsia="zh-CN"/>
        </w:rPr>
        <w:t>招标人</w:t>
      </w:r>
      <w:r>
        <w:rPr>
          <w:rFonts w:hint="eastAsia" w:ascii="宋体" w:hAnsi="宋体" w:cs="宋体"/>
          <w:b/>
          <w:color w:val="auto"/>
          <w:szCs w:val="21"/>
          <w:highlight w:val="none"/>
        </w:rPr>
        <w:t xml:space="preserve">的纪律要求 </w:t>
      </w:r>
    </w:p>
    <w:p>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35.1</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 xml:space="preserve">不得泄漏招标投标活动中应当保密的情况和资料，不得与投标人串通损害国家利益，社会公共利益或者他人合法权益。 </w:t>
      </w:r>
    </w:p>
    <w:p>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36. 对投标人的纪律要求 </w:t>
      </w:r>
    </w:p>
    <w:p>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36.1投标人不得相互串通投标或者与</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串通投标，不得向</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或者评标委员会成员行贿谋取中标，不得以他人名义投标或者以其他方式弄虚作假骗取中标；投标人不得以任何方式干扰、影响评标工作。</w:t>
      </w:r>
    </w:p>
    <w:p>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37. 对评标委员会成员的纪律要求 </w:t>
      </w:r>
    </w:p>
    <w:p>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37.1评标委员会成员不得收受他人的财物或者其他好处，不得向他人透漏对投标文件的评审和比较、中标候选人的推荐情况以及评标有关的其他情况。</w:t>
      </w:r>
    </w:p>
    <w:p>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 xml:space="preserve">37.2在评标活动中，评标委员会成员不得擅离职守，影响评标程序正常进行，不得使用第三章“评标办法”没有规定的评审因素和标准进行评标。 </w:t>
      </w:r>
    </w:p>
    <w:p>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38. 对与评标活动有关的工作人员的纪律要求 </w:t>
      </w:r>
    </w:p>
    <w:p>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38.1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pPr>
        <w:spacing w:before="312" w:beforeLines="100" w:after="312" w:afterLines="100" w:line="440" w:lineRule="exact"/>
        <w:jc w:val="center"/>
        <w:rPr>
          <w:rFonts w:hint="eastAsia" w:ascii="宋体" w:hAnsi="宋体" w:eastAsia="宋体" w:cs="宋体"/>
          <w:b/>
          <w:color w:val="auto"/>
          <w:sz w:val="28"/>
          <w:szCs w:val="28"/>
          <w:highlight w:val="none"/>
          <w:lang w:eastAsia="zh-CN"/>
        </w:rPr>
      </w:pPr>
      <w:bookmarkStart w:id="44" w:name="_Toc449028875"/>
      <w:r>
        <w:rPr>
          <w:rFonts w:hint="eastAsia" w:ascii="宋体" w:hAnsi="宋体" w:eastAsia="宋体" w:cs="宋体"/>
          <w:b/>
          <w:color w:val="auto"/>
          <w:sz w:val="28"/>
          <w:szCs w:val="28"/>
          <w:highlight w:val="none"/>
        </w:rPr>
        <w:t>（八）</w:t>
      </w:r>
      <w:bookmarkEnd w:id="44"/>
      <w:r>
        <w:rPr>
          <w:rFonts w:hint="eastAsia" w:ascii="宋体" w:hAnsi="宋体" w:cs="宋体"/>
          <w:b/>
          <w:color w:val="auto"/>
          <w:sz w:val="28"/>
          <w:szCs w:val="28"/>
          <w:highlight w:val="none"/>
          <w:lang w:val="en-US" w:eastAsia="zh-CN"/>
        </w:rPr>
        <w:t>投诉</w:t>
      </w:r>
    </w:p>
    <w:p>
      <w:pPr>
        <w:spacing w:line="440" w:lineRule="exact"/>
        <w:ind w:firstLine="314" w:firstLineChars="149"/>
        <w:jc w:val="left"/>
        <w:rPr>
          <w:rFonts w:hint="eastAsia" w:ascii="宋体" w:hAnsi="宋体" w:eastAsia="宋体" w:cs="宋体"/>
          <w:b/>
          <w:color w:val="auto"/>
          <w:szCs w:val="21"/>
          <w:highlight w:val="none"/>
          <w:lang w:eastAsia="zh-CN"/>
        </w:rPr>
      </w:pPr>
      <w:r>
        <w:rPr>
          <w:rFonts w:hint="eastAsia" w:ascii="宋体" w:hAnsi="宋体" w:cs="宋体"/>
          <w:b/>
          <w:color w:val="auto"/>
          <w:szCs w:val="21"/>
          <w:highlight w:val="none"/>
        </w:rPr>
        <w:t xml:space="preserve">39. </w:t>
      </w:r>
      <w:r>
        <w:rPr>
          <w:rFonts w:hint="eastAsia" w:ascii="宋体" w:hAnsi="宋体" w:cs="宋体"/>
          <w:b/>
          <w:color w:val="auto"/>
          <w:szCs w:val="21"/>
          <w:highlight w:val="none"/>
          <w:lang w:val="en-US" w:eastAsia="zh-CN"/>
        </w:rPr>
        <w:t>投诉</w:t>
      </w:r>
    </w:p>
    <w:p>
      <w:pPr>
        <w:adjustRightInd w:val="0"/>
        <w:snapToGrid w:val="0"/>
        <w:spacing w:line="420" w:lineRule="exact"/>
        <w:ind w:firstLine="315" w:firstLineChars="150"/>
        <w:rPr>
          <w:rFonts w:hint="eastAsia" w:ascii="宋体" w:hAnsi="Times New Roman" w:eastAsia="宋体" w:cs="Times New Roman"/>
          <w:color w:val="auto"/>
          <w:kern w:val="10"/>
          <w:szCs w:val="21"/>
          <w:highlight w:val="none"/>
        </w:rPr>
      </w:pPr>
      <w:bookmarkStart w:id="45" w:name="_Toc58430316"/>
      <w:r>
        <w:rPr>
          <w:rFonts w:hint="eastAsia" w:ascii="宋体" w:eastAsia="宋体" w:cs="Times New Roman"/>
          <w:color w:val="auto"/>
          <w:kern w:val="10"/>
          <w:szCs w:val="21"/>
          <w:highlight w:val="none"/>
          <w:lang w:val="en-US" w:eastAsia="zh-CN"/>
        </w:rPr>
        <w:t>39</w:t>
      </w:r>
      <w:r>
        <w:rPr>
          <w:rFonts w:hint="eastAsia" w:ascii="宋体" w:hAnsi="Times New Roman" w:eastAsia="宋体" w:cs="Times New Roman"/>
          <w:color w:val="auto"/>
          <w:kern w:val="10"/>
          <w:szCs w:val="21"/>
          <w:highlight w:val="none"/>
        </w:rPr>
        <w:t>.1投标人或者其他利害关系人认为招标投标活动违反法律、法规和规章规定的，有权向相关行政监督部门投诉。投诉应当有明确的请求和必要的证明材料。</w:t>
      </w:r>
    </w:p>
    <w:p>
      <w:pPr>
        <w:adjustRightInd w:val="0"/>
        <w:snapToGrid w:val="0"/>
        <w:spacing w:line="420" w:lineRule="exact"/>
        <w:ind w:firstLine="315" w:firstLineChars="150"/>
        <w:rPr>
          <w:rFonts w:hint="eastAsia" w:ascii="宋体" w:hAnsi="Times New Roman" w:eastAsia="宋体" w:cs="Times New Roman"/>
          <w:color w:val="auto"/>
          <w:kern w:val="10"/>
          <w:szCs w:val="21"/>
          <w:highlight w:val="none"/>
        </w:rPr>
      </w:pPr>
      <w:r>
        <w:rPr>
          <w:rFonts w:hint="eastAsia" w:ascii="宋体" w:eastAsia="宋体" w:cs="Times New Roman"/>
          <w:color w:val="auto"/>
          <w:kern w:val="10"/>
          <w:szCs w:val="21"/>
          <w:highlight w:val="none"/>
          <w:lang w:val="en-US" w:eastAsia="zh-CN"/>
        </w:rPr>
        <w:t>39</w:t>
      </w:r>
      <w:r>
        <w:rPr>
          <w:rFonts w:hint="eastAsia" w:ascii="宋体" w:hAnsi="Times New Roman" w:eastAsia="宋体" w:cs="Times New Roman"/>
          <w:color w:val="auto"/>
          <w:kern w:val="10"/>
          <w:szCs w:val="21"/>
          <w:highlight w:val="none"/>
        </w:rPr>
        <w:t>.2投标人和其他利害关系人对招标文件、开标和评标结果事项投诉的，应当按照投标人须知的规定先向招标人提出异议。异议答复期间不计算在第41.1项规定的期限内。</w:t>
      </w:r>
    </w:p>
    <w:p>
      <w:p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br w:type="page"/>
      </w:r>
      <w:r>
        <w:rPr>
          <w:rFonts w:hint="eastAsia" w:ascii="宋体"/>
          <w:b/>
          <w:color w:val="auto"/>
          <w:sz w:val="32"/>
          <w:szCs w:val="32"/>
          <w:highlight w:val="none"/>
        </w:rPr>
        <w:t>第三章 评标办法</w:t>
      </w:r>
      <w:bookmarkEnd w:id="45"/>
    </w:p>
    <w:p>
      <w:pPr>
        <w:spacing w:before="156" w:beforeLines="50" w:after="156" w:afterLines="50" w:line="440" w:lineRule="exact"/>
        <w:jc w:val="center"/>
        <w:outlineLvl w:val="1"/>
        <w:rPr>
          <w:rFonts w:hint="eastAsia" w:ascii="宋体"/>
          <w:b/>
          <w:color w:val="auto"/>
          <w:sz w:val="28"/>
          <w:szCs w:val="28"/>
          <w:highlight w:val="none"/>
        </w:rPr>
      </w:pPr>
      <w:bookmarkStart w:id="46" w:name="_Toc58430317"/>
      <w:bookmarkStart w:id="47" w:name="_Toc362983801"/>
      <w:bookmarkStart w:id="48" w:name="_Toc449028877"/>
      <w:bookmarkStart w:id="49" w:name="_Toc267320058"/>
      <w:bookmarkStart w:id="50" w:name="_Toc363135205"/>
      <w:r>
        <w:rPr>
          <w:rFonts w:hint="eastAsia" w:ascii="宋体"/>
          <w:b/>
          <w:color w:val="auto"/>
          <w:sz w:val="28"/>
          <w:szCs w:val="28"/>
          <w:highlight w:val="none"/>
        </w:rPr>
        <w:t>一、总则</w:t>
      </w:r>
      <w:bookmarkEnd w:id="46"/>
      <w:bookmarkEnd w:id="47"/>
      <w:bookmarkEnd w:id="48"/>
    </w:p>
    <w:p>
      <w:pPr>
        <w:spacing w:line="440" w:lineRule="exact"/>
        <w:ind w:firstLine="316" w:firstLineChars="150"/>
        <w:jc w:val="left"/>
        <w:rPr>
          <w:rFonts w:ascii="宋体"/>
          <w:b/>
          <w:color w:val="auto"/>
          <w:szCs w:val="21"/>
          <w:highlight w:val="none"/>
        </w:rPr>
      </w:pPr>
      <w:bookmarkStart w:id="51" w:name="_Toc362983802"/>
      <w:r>
        <w:rPr>
          <w:rFonts w:hint="eastAsia" w:ascii="宋体"/>
          <w:b/>
          <w:color w:val="auto"/>
          <w:szCs w:val="21"/>
          <w:highlight w:val="none"/>
        </w:rPr>
        <w:t>1. 本次评标采用最低评标价法</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1.1最低评标价法，是指投标文件满足招标文件全部实质性要求且投标报价由低到高的供应商为中标候选人的评标方法。</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 xml:space="preserve"> 1.2最低评标价法一般适用于标准定制商品及通用服务项目的项目评审。</w:t>
      </w:r>
    </w:p>
    <w:p>
      <w:pPr>
        <w:spacing w:line="440" w:lineRule="exact"/>
        <w:ind w:firstLine="422" w:firstLineChars="200"/>
        <w:jc w:val="left"/>
        <w:rPr>
          <w:rFonts w:ascii="宋体"/>
          <w:b/>
          <w:color w:val="auto"/>
          <w:szCs w:val="21"/>
          <w:highlight w:val="none"/>
        </w:rPr>
      </w:pPr>
      <w:r>
        <w:rPr>
          <w:rFonts w:hint="eastAsia" w:ascii="宋体"/>
          <w:b/>
          <w:color w:val="auto"/>
          <w:szCs w:val="21"/>
          <w:highlight w:val="none"/>
        </w:rPr>
        <w:t>2．评标程序</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2.1投标文件的初审</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 xml:space="preserve">2.1.1资格性检查。依据法律法规和招标文件的规定，对投标文件中的资格证明等进行审查，以确定投标人是否具备投标资格。 </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2.1.2符合性检查。依据招标文件的规定，从投标文件的有效性、完整性和对招标文件的响应程度进行审查，以确定投标人是否对招标文件的实质性要求作出响应。</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2.2投标文件的澄清</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 xml:space="preserve">2.2.1本项目采用远程开标，具体操作方法详见服务指南&gt;交易须知&gt;开标大厅远程解密、质疑(异议)及回复以及评标过程中询标流程操作手册。 </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2.3比较与评价</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 xml:space="preserve">2．3.1按招标文件中规定的评标方法和标准，对资格性检查和符合性检查合格的投标文件进行商务报价评审，综合比较与评价。 </w:t>
      </w:r>
      <w:r>
        <w:rPr>
          <w:rFonts w:hint="eastAsia" w:ascii="宋体"/>
          <w:color w:val="auto"/>
          <w:szCs w:val="21"/>
          <w:highlight w:val="none"/>
        </w:rPr>
        <w:br w:type="textWrapping"/>
      </w:r>
      <w:r>
        <w:rPr>
          <w:rFonts w:hint="eastAsia" w:ascii="宋体"/>
          <w:color w:val="auto"/>
          <w:szCs w:val="21"/>
          <w:highlight w:val="none"/>
        </w:rPr>
        <w:t xml:space="preserve">    2.4推荐中标候选人名单</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2.4.1中标候选人数量应当根据采购需要确定，但必须按顺序排列中标候选人。</w:t>
      </w:r>
    </w:p>
    <w:p>
      <w:pPr>
        <w:spacing w:line="440" w:lineRule="exact"/>
        <w:ind w:firstLine="420" w:firstLineChars="200"/>
        <w:jc w:val="left"/>
        <w:rPr>
          <w:rFonts w:ascii="宋体"/>
          <w:color w:val="auto"/>
          <w:szCs w:val="21"/>
          <w:highlight w:val="none"/>
        </w:rPr>
      </w:pPr>
      <w:r>
        <w:rPr>
          <w:rFonts w:hint="eastAsia" w:ascii="宋体"/>
          <w:color w:val="auto"/>
          <w:szCs w:val="21"/>
          <w:highlight w:val="none"/>
        </w:rPr>
        <w:t>2.5在投标文件的审查、澄清、评价和比较以及授予合同过程中，投标人对招标单位和评标委员会成员施加影响的任何行为，都将导致取消其中标资格。</w:t>
      </w:r>
    </w:p>
    <w:p>
      <w:pPr>
        <w:spacing w:before="156" w:beforeLines="50" w:after="156" w:afterLines="50" w:line="360" w:lineRule="auto"/>
        <w:outlineLvl w:val="1"/>
        <w:rPr>
          <w:rFonts w:ascii="宋体"/>
          <w:b/>
          <w:color w:val="auto"/>
          <w:sz w:val="28"/>
          <w:szCs w:val="28"/>
          <w:highlight w:val="none"/>
        </w:rPr>
        <w:sectPr>
          <w:footerReference r:id="rId8" w:type="default"/>
          <w:pgSz w:w="11906" w:h="16838"/>
          <w:pgMar w:top="1440" w:right="1800" w:bottom="1440" w:left="1800" w:header="851" w:footer="992" w:gutter="0"/>
          <w:pgNumType w:fmt="numberInDash" w:start="1"/>
          <w:cols w:space="720" w:num="1"/>
          <w:docGrid w:type="lines" w:linePitch="312" w:charSpace="0"/>
        </w:sectPr>
      </w:pPr>
    </w:p>
    <w:p>
      <w:pPr>
        <w:jc w:val="center"/>
        <w:outlineLvl w:val="1"/>
        <w:rPr>
          <w:rFonts w:hint="eastAsia" w:ascii="宋体"/>
          <w:b/>
          <w:color w:val="auto"/>
          <w:sz w:val="28"/>
          <w:szCs w:val="28"/>
          <w:highlight w:val="none"/>
        </w:rPr>
      </w:pPr>
      <w:bookmarkStart w:id="52" w:name="_Toc449028878"/>
      <w:bookmarkStart w:id="53" w:name="_Toc58430318"/>
      <w:r>
        <w:rPr>
          <w:rFonts w:hint="eastAsia" w:ascii="宋体"/>
          <w:b/>
          <w:color w:val="auto"/>
          <w:sz w:val="28"/>
          <w:szCs w:val="28"/>
          <w:highlight w:val="none"/>
        </w:rPr>
        <w:t>二、投标文件初审</w:t>
      </w:r>
      <w:bookmarkEnd w:id="51"/>
      <w:bookmarkEnd w:id="52"/>
      <w:bookmarkEnd w:id="53"/>
    </w:p>
    <w:p>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3.资格性审查:</w:t>
      </w:r>
    </w:p>
    <w:p>
      <w:pPr>
        <w:spacing w:line="440" w:lineRule="exact"/>
        <w:ind w:firstLine="308" w:firstLineChars="147"/>
        <w:rPr>
          <w:rFonts w:hint="eastAsia" w:ascii="宋体" w:hAnsi="宋体" w:cs="宋体"/>
          <w:color w:val="auto"/>
          <w:szCs w:val="21"/>
          <w:highlight w:val="none"/>
        </w:rPr>
      </w:pPr>
      <w:r>
        <w:rPr>
          <w:rFonts w:hint="eastAsia" w:ascii="宋体" w:hAnsi="宋体" w:cs="宋体"/>
          <w:color w:val="auto"/>
          <w:szCs w:val="21"/>
          <w:highlight w:val="none"/>
        </w:rPr>
        <w:t>3.1评审细则</w:t>
      </w:r>
    </w:p>
    <w:tbl>
      <w:tblPr>
        <w:tblStyle w:val="34"/>
        <w:tblW w:w="9930" w:type="dxa"/>
        <w:tblInd w:w="-4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75"/>
        <w:gridCol w:w="3368"/>
        <w:gridCol w:w="44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95" w:type="dxa"/>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643" w:type="dxa"/>
            <w:gridSpan w:val="2"/>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评审因素</w:t>
            </w:r>
          </w:p>
        </w:tc>
        <w:tc>
          <w:tcPr>
            <w:tcW w:w="4492" w:type="dxa"/>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95" w:type="dxa"/>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75" w:type="dxa"/>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重要要求</w:t>
            </w:r>
          </w:p>
        </w:tc>
        <w:tc>
          <w:tcPr>
            <w:tcW w:w="3368"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（1）法定代表人身份证明和本人有效身份证(或法定代表人授权委托书和委托代理人有效身份证)</w:t>
            </w:r>
          </w:p>
        </w:tc>
        <w:tc>
          <w:tcPr>
            <w:tcW w:w="4492" w:type="dxa"/>
            <w:noWrap w:val="0"/>
            <w:vAlign w:val="center"/>
          </w:tcPr>
          <w:p>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检验</w:t>
            </w:r>
            <w:r>
              <w:rPr>
                <w:rFonts w:hint="eastAsia" w:ascii="宋体" w:hAnsi="宋体" w:cs="宋体"/>
                <w:color w:val="auto"/>
                <w:szCs w:val="21"/>
                <w:highlight w:val="none"/>
                <w:lang w:val="en-US" w:eastAsia="zh-CN"/>
              </w:rPr>
              <w:t>投标文件</w:t>
            </w:r>
            <w:r>
              <w:rPr>
                <w:rFonts w:hint="eastAsia" w:ascii="宋体" w:hAnsi="宋体" w:cs="宋体"/>
                <w:color w:val="auto"/>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3" w:hRule="atLeast"/>
        </w:trPr>
        <w:tc>
          <w:tcPr>
            <w:tcW w:w="795" w:type="dxa"/>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75" w:type="dxa"/>
            <w:vMerge w:val="restart"/>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投标人应符合的基本资格条件</w:t>
            </w:r>
          </w:p>
        </w:tc>
        <w:tc>
          <w:tcPr>
            <w:tcW w:w="3368"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（2）具有独立承担民事责任的能力</w:t>
            </w:r>
          </w:p>
        </w:tc>
        <w:tc>
          <w:tcPr>
            <w:tcW w:w="4492" w:type="dxa"/>
            <w:noWrap w:val="0"/>
            <w:vAlign w:val="center"/>
          </w:tcPr>
          <w:p>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pPr>
              <w:spacing w:line="440" w:lineRule="exact"/>
              <w:rPr>
                <w:rFonts w:hint="default" w:ascii="宋体" w:hAnsi="宋体" w:eastAsia="宋体" w:cs="宋体"/>
                <w:color w:val="auto"/>
                <w:szCs w:val="21"/>
                <w:highlight w:val="none"/>
                <w:lang w:val="en-US" w:eastAsia="zh-CN"/>
              </w:rPr>
            </w:pPr>
            <w:r>
              <w:rPr>
                <w:rFonts w:hint="eastAsia" w:ascii="宋体"/>
                <w:color w:val="auto"/>
                <w:szCs w:val="21"/>
                <w:highlight w:val="none"/>
                <w:lang w:val="en-US" w:eastAsia="zh-CN"/>
              </w:rPr>
              <w:t>有效的营业执照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noWrap w:val="0"/>
            <w:vAlign w:val="center"/>
          </w:tcPr>
          <w:p>
            <w:pPr>
              <w:spacing w:line="440" w:lineRule="exact"/>
              <w:jc w:val="center"/>
              <w:rPr>
                <w:rFonts w:hint="eastAsia" w:ascii="宋体" w:hAnsi="宋体" w:cs="宋体"/>
                <w:color w:val="auto"/>
                <w:szCs w:val="21"/>
                <w:highlight w:val="none"/>
              </w:rPr>
            </w:pPr>
          </w:p>
        </w:tc>
        <w:tc>
          <w:tcPr>
            <w:tcW w:w="1275" w:type="dxa"/>
            <w:vMerge w:val="continue"/>
            <w:noWrap w:val="0"/>
            <w:vAlign w:val="center"/>
          </w:tcPr>
          <w:p>
            <w:pPr>
              <w:spacing w:line="440" w:lineRule="exact"/>
              <w:rPr>
                <w:rFonts w:hint="eastAsia" w:ascii="宋体" w:hAnsi="宋体" w:cs="宋体"/>
                <w:color w:val="auto"/>
                <w:szCs w:val="21"/>
                <w:highlight w:val="none"/>
              </w:rPr>
            </w:pPr>
          </w:p>
        </w:tc>
        <w:tc>
          <w:tcPr>
            <w:tcW w:w="3368" w:type="dxa"/>
            <w:noWrap w:val="0"/>
            <w:vAlign w:val="top"/>
          </w:tcPr>
          <w:p>
            <w:pPr>
              <w:spacing w:line="440" w:lineRule="exact"/>
              <w:rPr>
                <w:rFonts w:hint="eastAsia" w:ascii="宋体" w:hAnsi="宋体" w:cs="宋体"/>
                <w:b/>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）诚信投标承诺书</w:t>
            </w:r>
          </w:p>
        </w:tc>
        <w:tc>
          <w:tcPr>
            <w:tcW w:w="4492" w:type="dxa"/>
            <w:noWrap w:val="0"/>
            <w:vAlign w:val="top"/>
          </w:tcPr>
          <w:p>
            <w:pPr>
              <w:spacing w:line="440" w:lineRule="exact"/>
              <w:rPr>
                <w:rFonts w:hint="eastAsia" w:ascii="宋体" w:hAnsi="宋体" w:eastAsia="宋体" w:cs="宋体"/>
                <w:b/>
                <w:color w:val="auto"/>
                <w:szCs w:val="21"/>
                <w:highlight w:val="none"/>
                <w:lang w:eastAsia="zh-CN"/>
              </w:rPr>
            </w:pPr>
            <w:r>
              <w:rPr>
                <w:rFonts w:hint="eastAsia" w:ascii="宋体" w:hAnsi="宋体" w:cs="宋体"/>
                <w:color w:val="auto"/>
                <w:szCs w:val="21"/>
                <w:highlight w:val="none"/>
              </w:rPr>
              <w:t>格式见附件，检验</w:t>
            </w:r>
            <w:r>
              <w:rPr>
                <w:rFonts w:hint="eastAsia" w:ascii="宋体" w:hAnsi="宋体" w:cs="宋体"/>
                <w:color w:val="auto"/>
                <w:szCs w:val="21"/>
                <w:highlight w:val="none"/>
                <w:lang w:val="en-US" w:eastAsia="zh-CN"/>
              </w:rPr>
              <w:t>投标文件</w:t>
            </w:r>
          </w:p>
        </w:tc>
      </w:tr>
    </w:tbl>
    <w:p>
      <w:pPr>
        <w:spacing w:line="440" w:lineRule="exact"/>
        <w:ind w:firstLine="508" w:firstLineChars="241"/>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如评标专家在</w:t>
      </w:r>
      <w:r>
        <w:rPr>
          <w:rFonts w:hint="eastAsia" w:ascii="宋体" w:hAnsi="宋体" w:cs="宋体"/>
          <w:b/>
          <w:color w:val="auto"/>
          <w:szCs w:val="21"/>
          <w:highlight w:val="none"/>
          <w:lang w:val="en-US" w:eastAsia="zh-CN"/>
        </w:rPr>
        <w:t>检验</w:t>
      </w:r>
      <w:r>
        <w:rPr>
          <w:rFonts w:hint="eastAsia" w:ascii="宋体" w:hAnsi="宋体" w:cs="宋体"/>
          <w:b/>
          <w:color w:val="auto"/>
          <w:szCs w:val="21"/>
          <w:highlight w:val="none"/>
        </w:rPr>
        <w:t>投标文件过程中，如果由于投标人自身原因导致评标专家无法查看并检验投标文件中相关资料的，否决其投标。即使投标人将原件携带至现场的，同样按否决投标处理。</w:t>
      </w:r>
    </w:p>
    <w:p>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4.符合性审查</w:t>
      </w:r>
    </w:p>
    <w:p>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4．1评审细则</w:t>
      </w:r>
    </w:p>
    <w:tbl>
      <w:tblPr>
        <w:tblStyle w:val="3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135" w:type="dxa"/>
            <w:gridSpan w:val="2"/>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173" w:type="dxa"/>
            <w:noWrap w:val="0"/>
            <w:vAlign w:val="center"/>
          </w:tcPr>
          <w:p>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731" w:type="dxa"/>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04" w:type="dxa"/>
            <w:vMerge w:val="restart"/>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173"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签字、盖章符合要求。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noWrap w:val="0"/>
            <w:vAlign w:val="center"/>
          </w:tcPr>
          <w:p>
            <w:pPr>
              <w:spacing w:line="440" w:lineRule="exact"/>
              <w:rPr>
                <w:rFonts w:hint="eastAsia" w:ascii="宋体" w:hAnsi="宋体" w:cs="宋体"/>
                <w:color w:val="auto"/>
                <w:szCs w:val="21"/>
                <w:highlight w:val="none"/>
              </w:rPr>
            </w:pPr>
          </w:p>
        </w:tc>
        <w:tc>
          <w:tcPr>
            <w:tcW w:w="1204" w:type="dxa"/>
            <w:vMerge w:val="continue"/>
            <w:noWrap w:val="0"/>
            <w:vAlign w:val="center"/>
          </w:tcPr>
          <w:p>
            <w:pPr>
              <w:spacing w:line="440" w:lineRule="exact"/>
              <w:rPr>
                <w:rFonts w:hint="eastAsia" w:ascii="宋体" w:hAnsi="宋体" w:cs="宋体"/>
                <w:color w:val="auto"/>
                <w:szCs w:val="21"/>
                <w:highlight w:val="none"/>
              </w:rPr>
            </w:pP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173"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每个分包只能有一个方案投标。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noWrap w:val="0"/>
            <w:vAlign w:val="center"/>
          </w:tcPr>
          <w:p>
            <w:pPr>
              <w:spacing w:line="440" w:lineRule="exact"/>
              <w:rPr>
                <w:rFonts w:hint="eastAsia" w:ascii="宋体" w:hAnsi="宋体" w:cs="宋体"/>
                <w:color w:val="auto"/>
                <w:szCs w:val="21"/>
                <w:highlight w:val="none"/>
              </w:rPr>
            </w:pPr>
          </w:p>
        </w:tc>
        <w:tc>
          <w:tcPr>
            <w:tcW w:w="1204" w:type="dxa"/>
            <w:vMerge w:val="continue"/>
            <w:noWrap w:val="0"/>
            <w:vAlign w:val="center"/>
          </w:tcPr>
          <w:p>
            <w:pPr>
              <w:spacing w:line="440" w:lineRule="exact"/>
              <w:rPr>
                <w:rFonts w:hint="eastAsia" w:ascii="宋体" w:hAnsi="宋体" w:cs="宋体"/>
                <w:color w:val="auto"/>
                <w:szCs w:val="21"/>
                <w:highlight w:val="none"/>
              </w:rPr>
            </w:pP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173"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noWrap w:val="0"/>
            <w:vAlign w:val="center"/>
          </w:tcPr>
          <w:p>
            <w:pPr>
              <w:spacing w:line="440" w:lineRule="exact"/>
              <w:rPr>
                <w:rFonts w:hint="eastAsia" w:ascii="宋体" w:hAnsi="宋体" w:cs="宋体"/>
                <w:color w:val="auto"/>
                <w:szCs w:val="21"/>
                <w:highlight w:val="none"/>
              </w:rPr>
            </w:pPr>
          </w:p>
        </w:tc>
        <w:tc>
          <w:tcPr>
            <w:tcW w:w="1204" w:type="dxa"/>
            <w:vMerge w:val="continue"/>
            <w:noWrap w:val="0"/>
            <w:vAlign w:val="center"/>
          </w:tcPr>
          <w:p>
            <w:pPr>
              <w:spacing w:line="440" w:lineRule="exact"/>
              <w:rPr>
                <w:rFonts w:hint="eastAsia" w:ascii="宋体" w:hAnsi="宋体" w:cs="宋体"/>
                <w:color w:val="auto"/>
                <w:szCs w:val="21"/>
                <w:highlight w:val="none"/>
              </w:rPr>
            </w:pPr>
          </w:p>
        </w:tc>
        <w:tc>
          <w:tcPr>
            <w:tcW w:w="2931"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173"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04" w:type="dxa"/>
            <w:vMerge w:val="restart"/>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173" w:type="dxa"/>
            <w:noWrap w:val="0"/>
            <w:vAlign w:val="center"/>
          </w:tcPr>
          <w:p>
            <w:pPr>
              <w:spacing w:line="44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正本一份、副本二份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noWrap w:val="0"/>
            <w:vAlign w:val="center"/>
          </w:tcPr>
          <w:p>
            <w:pPr>
              <w:spacing w:line="440" w:lineRule="exact"/>
              <w:rPr>
                <w:rFonts w:hint="eastAsia" w:ascii="宋体" w:hAnsi="宋体" w:cs="宋体"/>
                <w:color w:val="auto"/>
                <w:szCs w:val="21"/>
                <w:highlight w:val="none"/>
              </w:rPr>
            </w:pPr>
          </w:p>
        </w:tc>
        <w:tc>
          <w:tcPr>
            <w:tcW w:w="1204" w:type="dxa"/>
            <w:vMerge w:val="continue"/>
            <w:noWrap w:val="0"/>
            <w:vAlign w:val="center"/>
          </w:tcPr>
          <w:p>
            <w:pPr>
              <w:spacing w:line="440" w:lineRule="exact"/>
              <w:rPr>
                <w:rFonts w:hint="eastAsia" w:ascii="宋体" w:hAnsi="宋体" w:cs="宋体"/>
                <w:color w:val="auto"/>
                <w:szCs w:val="21"/>
                <w:highlight w:val="none"/>
              </w:rPr>
            </w:pP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173"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noWrap w:val="0"/>
            <w:vAlign w:val="center"/>
          </w:tcPr>
          <w:p>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204" w:type="dxa"/>
            <w:vMerge w:val="restart"/>
            <w:noWrap w:val="0"/>
            <w:vAlign w:val="center"/>
          </w:tcPr>
          <w:p>
            <w:pPr>
              <w:spacing w:line="440" w:lineRule="exact"/>
              <w:jc w:val="center"/>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（7）采购需求响应程度</w:t>
            </w:r>
          </w:p>
        </w:tc>
        <w:tc>
          <w:tcPr>
            <w:tcW w:w="4173"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731" w:type="dxa"/>
            <w:vMerge w:val="continue"/>
            <w:noWrap w:val="0"/>
            <w:vAlign w:val="center"/>
          </w:tcPr>
          <w:p>
            <w:pPr>
              <w:spacing w:line="440" w:lineRule="exact"/>
              <w:rPr>
                <w:rFonts w:hint="eastAsia" w:ascii="宋体" w:hAnsi="宋体" w:cs="宋体"/>
                <w:color w:val="auto"/>
                <w:szCs w:val="21"/>
                <w:highlight w:val="none"/>
              </w:rPr>
            </w:pPr>
          </w:p>
        </w:tc>
        <w:tc>
          <w:tcPr>
            <w:tcW w:w="1204" w:type="dxa"/>
            <w:vMerge w:val="continue"/>
            <w:noWrap w:val="0"/>
            <w:vAlign w:val="center"/>
          </w:tcPr>
          <w:p>
            <w:pPr>
              <w:spacing w:line="440" w:lineRule="exact"/>
              <w:rPr>
                <w:rFonts w:hint="eastAsia" w:ascii="宋体" w:hAnsi="宋体" w:cs="宋体"/>
                <w:color w:val="auto"/>
                <w:szCs w:val="21"/>
                <w:highlight w:val="none"/>
              </w:rPr>
            </w:pPr>
          </w:p>
        </w:tc>
        <w:tc>
          <w:tcPr>
            <w:tcW w:w="2931"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（8）商务条款响应程度（包括供货期、售后服务、技术培训等）</w:t>
            </w:r>
          </w:p>
        </w:tc>
        <w:tc>
          <w:tcPr>
            <w:tcW w:w="4173" w:type="dxa"/>
            <w:noWrap w:val="0"/>
            <w:vAlign w:val="center"/>
          </w:tcPr>
          <w:p>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bl>
    <w:p>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4.2资格审查及评</w:t>
      </w:r>
      <w:r>
        <w:rPr>
          <w:rFonts w:hint="eastAsia" w:ascii="宋体" w:hAnsi="宋体" w:cs="宋体"/>
          <w:color w:val="auto"/>
          <w:szCs w:val="21"/>
          <w:highlight w:val="none"/>
          <w:lang w:val="en-US" w:eastAsia="zh-CN"/>
        </w:rPr>
        <w:t>审</w:t>
      </w:r>
      <w:r>
        <w:rPr>
          <w:rFonts w:hint="eastAsia" w:ascii="宋体" w:hAnsi="宋体" w:cs="宋体"/>
          <w:color w:val="auto"/>
          <w:szCs w:val="21"/>
          <w:highlight w:val="none"/>
        </w:rPr>
        <w:t>细则中涉及的有关证明材料及相关证书，投标文件中须按招标文件要求</w:t>
      </w:r>
      <w:r>
        <w:rPr>
          <w:rFonts w:hint="eastAsia" w:ascii="宋体" w:hAnsi="宋体" w:cs="宋体"/>
          <w:color w:val="auto"/>
          <w:szCs w:val="21"/>
          <w:highlight w:val="none"/>
          <w:lang w:val="en-US" w:eastAsia="zh-CN"/>
        </w:rPr>
        <w:t>提供</w:t>
      </w:r>
      <w:r>
        <w:rPr>
          <w:rFonts w:hint="eastAsia" w:ascii="宋体" w:hAnsi="宋体" w:cs="宋体"/>
          <w:color w:val="auto"/>
          <w:szCs w:val="21"/>
          <w:highlight w:val="none"/>
        </w:rPr>
        <w:t>。</w:t>
      </w:r>
    </w:p>
    <w:p>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4.3．评标委员会判定投标文件的响应性只根据投标文件本身的内容，而不寻求外部的证据，但投标有不真实不正确的内容时除外。</w:t>
      </w:r>
    </w:p>
    <w:p>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4.4如果投标文件实质上没有响应招标文件的要求，评标委员会将予以拒绝，投标人不得通过修正或撤销不符合要求的偏离或保留，而使其投标成为实质上响应的投标。</w:t>
      </w:r>
    </w:p>
    <w:p>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4.5只有通过初审的投标人才能进入下一步程序。</w:t>
      </w:r>
    </w:p>
    <w:p>
      <w:pPr>
        <w:jc w:val="center"/>
        <w:outlineLvl w:val="1"/>
        <w:rPr>
          <w:rFonts w:hint="eastAsia" w:ascii="宋体" w:hAnsi="Times New Roman" w:eastAsia="宋体" w:cs="Times New Roman"/>
          <w:b/>
          <w:color w:val="auto"/>
          <w:sz w:val="28"/>
          <w:szCs w:val="28"/>
          <w:highlight w:val="none"/>
        </w:rPr>
      </w:pPr>
      <w:bookmarkStart w:id="54" w:name="_Toc58430319"/>
      <w:bookmarkStart w:id="55" w:name="_Toc362983803"/>
      <w:bookmarkStart w:id="56" w:name="_Toc449028879"/>
      <w:r>
        <w:rPr>
          <w:rFonts w:hint="eastAsia" w:ascii="宋体" w:hAnsi="Times New Roman" w:eastAsia="宋体" w:cs="Times New Roman"/>
          <w:b/>
          <w:color w:val="auto"/>
          <w:sz w:val="28"/>
          <w:szCs w:val="28"/>
          <w:highlight w:val="none"/>
        </w:rPr>
        <w:t>三、投标文件的澄清和补正</w:t>
      </w:r>
      <w:bookmarkEnd w:id="54"/>
      <w:bookmarkEnd w:id="55"/>
      <w:bookmarkEnd w:id="56"/>
    </w:p>
    <w:p>
      <w:pPr>
        <w:spacing w:line="440" w:lineRule="exact"/>
        <w:ind w:firstLine="525" w:firstLineChars="250"/>
        <w:rPr>
          <w:rFonts w:hint="eastAsia" w:ascii="宋体"/>
          <w:color w:val="auto"/>
          <w:szCs w:val="21"/>
          <w:highlight w:val="none"/>
        </w:rPr>
      </w:pPr>
      <w:r>
        <w:rPr>
          <w:rFonts w:hint="eastAsia" w:ascii="宋体"/>
          <w:color w:val="auto"/>
          <w:szCs w:val="21"/>
          <w:highlight w:val="none"/>
        </w:rPr>
        <w:t>5.1评审阶段，评委可能会要求有关投标人就其投标文件中含义不明确、同类问题表述不一致或者有明显文字和计算错误的内容进行澄清。投标人必须在规定时间内进行回复，</w:t>
      </w:r>
      <w:r>
        <w:rPr>
          <w:rFonts w:hint="eastAsia" w:ascii="宋体" w:hAnsi="宋体" w:cs="宋体"/>
          <w:b/>
          <w:bCs/>
          <w:color w:val="auto"/>
          <w:szCs w:val="21"/>
          <w:highlight w:val="none"/>
          <w:lang w:bidi="ar"/>
        </w:rPr>
        <w:t>如因投标人未参加开标导致开评标过程中无法澄清、说明或补正的，视同投标人放弃该权利。</w:t>
      </w:r>
    </w:p>
    <w:p>
      <w:pPr>
        <w:spacing w:line="440" w:lineRule="exact"/>
        <w:ind w:firstLine="525" w:firstLineChars="250"/>
        <w:rPr>
          <w:rFonts w:hint="eastAsia" w:ascii="宋体"/>
          <w:color w:val="auto"/>
          <w:szCs w:val="21"/>
          <w:highlight w:val="none"/>
        </w:rPr>
      </w:pPr>
      <w:r>
        <w:rPr>
          <w:rFonts w:hint="eastAsia" w:ascii="宋体"/>
          <w:color w:val="auto"/>
          <w:szCs w:val="21"/>
          <w:highlight w:val="none"/>
        </w:rPr>
        <w:t>5.2投标人的澄清、说明或者补正应当在系统进行，但不得超出投标文件的范围或者改变投标文件的实质性内容。</w:t>
      </w:r>
    </w:p>
    <w:p>
      <w:pPr>
        <w:spacing w:line="440" w:lineRule="exact"/>
        <w:ind w:firstLine="525" w:firstLineChars="250"/>
        <w:rPr>
          <w:rFonts w:hint="eastAsia" w:ascii="宋体"/>
          <w:color w:val="auto"/>
          <w:szCs w:val="21"/>
          <w:highlight w:val="none"/>
        </w:rPr>
      </w:pPr>
      <w:r>
        <w:rPr>
          <w:rFonts w:hint="eastAsia" w:ascii="宋体"/>
          <w:color w:val="auto"/>
          <w:szCs w:val="21"/>
          <w:highlight w:val="none"/>
        </w:rPr>
        <w:t>5.3评委会修正错误的原则：</w:t>
      </w:r>
    </w:p>
    <w:p>
      <w:pPr>
        <w:spacing w:line="440" w:lineRule="exact"/>
        <w:ind w:firstLine="525" w:firstLineChars="250"/>
        <w:rPr>
          <w:rFonts w:hint="eastAsia" w:ascii="宋体"/>
          <w:color w:val="auto"/>
          <w:szCs w:val="21"/>
          <w:highlight w:val="none"/>
        </w:rPr>
      </w:pPr>
      <w:r>
        <w:rPr>
          <w:rFonts w:hint="eastAsia" w:ascii="宋体"/>
          <w:color w:val="auto"/>
          <w:szCs w:val="21"/>
          <w:highlight w:val="none"/>
        </w:rPr>
        <w:t>5.3.1如果数字表示的金额和用文字表示的金额不一致时，以文字表示的金额为准；当投标数量与招标数量不一致时，以招标数量为准；当分项报价清单、投标函的投标报价与开标一览表不一致时，以开标一览表为准。</w:t>
      </w:r>
    </w:p>
    <w:p>
      <w:pPr>
        <w:spacing w:line="440" w:lineRule="exact"/>
        <w:ind w:firstLine="525" w:firstLineChars="250"/>
        <w:rPr>
          <w:rFonts w:hint="eastAsia" w:ascii="宋体"/>
          <w:color w:val="auto"/>
          <w:szCs w:val="21"/>
          <w:highlight w:val="none"/>
        </w:rPr>
      </w:pPr>
      <w:r>
        <w:rPr>
          <w:rFonts w:hint="eastAsia" w:ascii="宋体"/>
          <w:color w:val="auto"/>
          <w:szCs w:val="21"/>
          <w:highlight w:val="none"/>
        </w:rPr>
        <w:t>5.3.2如果单价与数量的乘积和总价不一致，以单价为准，修正总价及开标一览表；当单价小数点有明显的错位时，评委会将以总价为准，并修正其单价。</w:t>
      </w:r>
    </w:p>
    <w:p>
      <w:pPr>
        <w:spacing w:line="440" w:lineRule="exact"/>
        <w:ind w:firstLine="403" w:firstLineChars="192"/>
        <w:jc w:val="left"/>
        <w:rPr>
          <w:rFonts w:hint="eastAsia" w:ascii="宋体"/>
          <w:b/>
          <w:color w:val="auto"/>
          <w:szCs w:val="21"/>
          <w:highlight w:val="none"/>
        </w:rPr>
      </w:pPr>
      <w:r>
        <w:rPr>
          <w:rFonts w:hint="eastAsia" w:ascii="宋体"/>
          <w:color w:val="auto"/>
          <w:szCs w:val="21"/>
          <w:highlight w:val="none"/>
        </w:rPr>
        <w:t xml:space="preserve"> 5.4评委会将按上述修正错误的方法调整投标文件中的投标报价，调整后的价格应对投标人具有约束力。无论投标人是接受或是拒绝调整后的价格，都应当由投标人在系统中确认。</w:t>
      </w:r>
      <w:r>
        <w:rPr>
          <w:rFonts w:hint="eastAsia" w:ascii="宋体"/>
          <w:b/>
          <w:bCs/>
          <w:color w:val="auto"/>
          <w:szCs w:val="21"/>
          <w:highlight w:val="none"/>
        </w:rPr>
        <w:t>投标人拒绝对投标文件出现的错漏按上述原则进行修正、澄清、说明，评标委员会应当否决其投标。</w:t>
      </w:r>
      <w:bookmarkStart w:id="57" w:name="_Toc58430320"/>
      <w:bookmarkStart w:id="58" w:name="_Toc449028880"/>
    </w:p>
    <w:p>
      <w:pPr>
        <w:jc w:val="center"/>
        <w:outlineLvl w:val="1"/>
        <w:rPr>
          <w:rFonts w:hint="eastAsia" w:ascii="宋体" w:hAnsi="Times New Roman" w:eastAsia="宋体" w:cs="Times New Roman"/>
          <w:b/>
          <w:color w:val="auto"/>
          <w:sz w:val="28"/>
          <w:szCs w:val="28"/>
          <w:highlight w:val="none"/>
        </w:rPr>
      </w:pPr>
      <w:r>
        <w:rPr>
          <w:rFonts w:hint="eastAsia" w:ascii="宋体" w:hAnsi="Times New Roman" w:eastAsia="宋体" w:cs="Times New Roman"/>
          <w:b/>
          <w:color w:val="auto"/>
          <w:sz w:val="28"/>
          <w:szCs w:val="28"/>
          <w:highlight w:val="none"/>
        </w:rPr>
        <w:t>四、比较与评价</w:t>
      </w:r>
      <w:bookmarkEnd w:id="57"/>
      <w:bookmarkEnd w:id="58"/>
    </w:p>
    <w:p>
      <w:pPr>
        <w:spacing w:line="440" w:lineRule="exact"/>
        <w:ind w:right="36" w:rightChars="17" w:firstLine="417" w:firstLineChars="198"/>
        <w:jc w:val="left"/>
        <w:rPr>
          <w:rFonts w:ascii="宋体" w:hAnsi="宋体" w:cs="宋体"/>
          <w:b/>
          <w:color w:val="auto"/>
          <w:szCs w:val="21"/>
          <w:highlight w:val="none"/>
        </w:rPr>
      </w:pPr>
      <w:r>
        <w:rPr>
          <w:rFonts w:hint="eastAsia" w:ascii="宋体" w:hAnsi="宋体" w:eastAsia="宋体" w:cs="宋体"/>
          <w:b/>
          <w:color w:val="auto"/>
          <w:sz w:val="21"/>
          <w:szCs w:val="21"/>
          <w:highlight w:val="none"/>
        </w:rPr>
        <w:t xml:space="preserve"> </w:t>
      </w:r>
      <w:bookmarkStart w:id="59" w:name="_Toc362983805"/>
      <w:bookmarkStart w:id="60" w:name="_Toc449028881"/>
      <w:r>
        <w:rPr>
          <w:rFonts w:hint="eastAsia" w:ascii="宋体" w:hAnsi="宋体" w:cs="宋体"/>
          <w:b/>
          <w:color w:val="auto"/>
          <w:szCs w:val="21"/>
          <w:highlight w:val="none"/>
        </w:rPr>
        <w:t>6.详细评审即按招标文件中规定的评标方法和标准，评标委员会将对通过初审的投标文件，进行综合比较与评价。</w:t>
      </w:r>
    </w:p>
    <w:p>
      <w:pPr>
        <w:spacing w:line="440" w:lineRule="exact"/>
        <w:ind w:right="36" w:rightChars="17" w:firstLine="525" w:firstLineChars="250"/>
        <w:jc w:val="left"/>
        <w:rPr>
          <w:rFonts w:ascii="宋体" w:hAnsi="宋体" w:cs="宋体"/>
          <w:color w:val="auto"/>
          <w:szCs w:val="21"/>
          <w:highlight w:val="none"/>
        </w:rPr>
      </w:pPr>
      <w:r>
        <w:rPr>
          <w:rFonts w:hint="eastAsia" w:ascii="宋体" w:hAnsi="宋体" w:cs="宋体"/>
          <w:color w:val="auto"/>
          <w:szCs w:val="21"/>
          <w:highlight w:val="none"/>
        </w:rPr>
        <w:t>6.</w:t>
      </w:r>
      <w:r>
        <w:rPr>
          <w:rFonts w:hint="eastAsia" w:ascii="宋体" w:hAnsi="宋体" w:cs="宋体"/>
          <w:color w:val="auto"/>
          <w:szCs w:val="21"/>
          <w:highlight w:val="none"/>
          <w:lang w:val="en-US" w:eastAsia="zh-CN"/>
        </w:rPr>
        <w:t>1报价</w:t>
      </w:r>
      <w:r>
        <w:rPr>
          <w:rFonts w:hint="eastAsia" w:ascii="宋体" w:hAnsi="宋体" w:cs="宋体"/>
          <w:color w:val="auto"/>
          <w:szCs w:val="21"/>
          <w:highlight w:val="none"/>
        </w:rPr>
        <w:t>评审</w:t>
      </w:r>
    </w:p>
    <w:p>
      <w:pPr>
        <w:spacing w:line="440" w:lineRule="exact"/>
        <w:ind w:firstLine="403" w:firstLineChars="192"/>
        <w:jc w:val="left"/>
        <w:rPr>
          <w:rFonts w:hint="eastAsia" w:ascii="宋体" w:hAnsi="Times New Roman" w:eastAsia="宋体" w:cs="Times New Roman"/>
          <w:color w:val="auto"/>
          <w:szCs w:val="21"/>
          <w:highlight w:val="none"/>
        </w:rPr>
      </w:pPr>
      <w:r>
        <w:rPr>
          <w:rFonts w:hint="eastAsia" w:ascii="宋体" w:hAnsi="Times New Roman" w:eastAsia="宋体" w:cs="Times New Roman"/>
          <w:color w:val="auto"/>
          <w:szCs w:val="21"/>
          <w:highlight w:val="none"/>
        </w:rPr>
        <w:t>6.</w:t>
      </w:r>
      <w:r>
        <w:rPr>
          <w:rFonts w:hint="eastAsia" w:ascii="宋体" w:hAnsi="Times New Roman" w:eastAsia="宋体" w:cs="Times New Roman"/>
          <w:color w:val="auto"/>
          <w:szCs w:val="21"/>
          <w:highlight w:val="none"/>
          <w:lang w:val="en-US" w:eastAsia="zh-CN"/>
        </w:rPr>
        <w:t>1.1</w:t>
      </w:r>
      <w:r>
        <w:rPr>
          <w:rFonts w:hint="eastAsia" w:ascii="宋体" w:hAnsi="Times New Roman" w:eastAsia="宋体" w:cs="Times New Roman"/>
          <w:color w:val="auto"/>
          <w:szCs w:val="21"/>
          <w:highlight w:val="none"/>
        </w:rPr>
        <w:t>评标委员会按修正</w:t>
      </w:r>
      <w:r>
        <w:rPr>
          <w:rFonts w:hint="eastAsia" w:ascii="宋体" w:hAnsi="Times New Roman" w:eastAsia="宋体" w:cs="Times New Roman"/>
          <w:color w:val="auto"/>
          <w:szCs w:val="21"/>
          <w:highlight w:val="none"/>
          <w:lang w:val="en-US" w:eastAsia="zh-CN"/>
        </w:rPr>
        <w:t>且扣税后的</w:t>
      </w:r>
      <w:r>
        <w:rPr>
          <w:rFonts w:hint="eastAsia" w:ascii="宋体" w:hAnsi="Times New Roman" w:eastAsia="宋体" w:cs="Times New Roman"/>
          <w:color w:val="auto"/>
          <w:szCs w:val="21"/>
          <w:highlight w:val="none"/>
        </w:rPr>
        <w:t>报价由低到高顺序排序，确定中标候选人。</w:t>
      </w:r>
    </w:p>
    <w:p>
      <w:pPr>
        <w:spacing w:line="440" w:lineRule="exact"/>
        <w:ind w:firstLine="405" w:firstLineChars="192"/>
        <w:jc w:val="left"/>
        <w:rPr>
          <w:rFonts w:hint="eastAsia" w:ascii="宋体" w:hAnsi="Times New Roman" w:eastAsia="宋体" w:cs="Times New Roman"/>
          <w:b/>
          <w:bCs/>
          <w:color w:val="auto"/>
          <w:szCs w:val="21"/>
          <w:highlight w:val="none"/>
          <w:lang w:val="en-US" w:eastAsia="zh-CN"/>
        </w:rPr>
      </w:pPr>
      <w:r>
        <w:rPr>
          <w:rFonts w:hint="eastAsia" w:ascii="宋体" w:hAnsi="Times New Roman" w:eastAsia="宋体" w:cs="Times New Roman"/>
          <w:b/>
          <w:bCs/>
          <w:color w:val="auto"/>
          <w:szCs w:val="21"/>
          <w:highlight w:val="none"/>
          <w:lang w:val="en-US" w:eastAsia="zh-CN"/>
        </w:rPr>
        <w:t>特别说明：投标人须在开标一览表及投标函中注明中标后开具发票的种类，如提供增值税专用发票，并同步注明税率。</w:t>
      </w:r>
    </w:p>
    <w:p>
      <w:pPr>
        <w:jc w:val="center"/>
        <w:outlineLvl w:val="1"/>
        <w:rPr>
          <w:rFonts w:hint="eastAsia" w:ascii="宋体" w:hAnsi="Times New Roman" w:eastAsia="宋体" w:cs="Times New Roman"/>
          <w:b/>
          <w:color w:val="auto"/>
          <w:sz w:val="28"/>
          <w:szCs w:val="28"/>
          <w:highlight w:val="none"/>
        </w:rPr>
      </w:pPr>
      <w:bookmarkStart w:id="61" w:name="_Toc58430321"/>
      <w:r>
        <w:rPr>
          <w:rFonts w:hint="eastAsia" w:ascii="宋体" w:hAnsi="Times New Roman" w:eastAsia="宋体" w:cs="Times New Roman"/>
          <w:b/>
          <w:color w:val="auto"/>
          <w:sz w:val="28"/>
          <w:szCs w:val="28"/>
          <w:highlight w:val="none"/>
        </w:rPr>
        <w:t>五、推荐中标候选人</w:t>
      </w:r>
      <w:bookmarkEnd w:id="59"/>
      <w:bookmarkEnd w:id="60"/>
      <w:bookmarkEnd w:id="61"/>
    </w:p>
    <w:bookmarkEnd w:id="49"/>
    <w:p>
      <w:pPr>
        <w:spacing w:line="440" w:lineRule="exact"/>
        <w:ind w:right="36" w:rightChars="17" w:firstLine="525" w:firstLineChars="2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 xml:space="preserve">7.评标委员会根据第二章投标人须知及前附表的规定数量推荐中标候选人，并标明排序。 </w:t>
      </w:r>
    </w:p>
    <w:p>
      <w:pPr>
        <w:spacing w:line="440" w:lineRule="exact"/>
        <w:ind w:right="36" w:rightChars="17" w:firstLine="420" w:firstLineChars="20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7.1如出现</w:t>
      </w:r>
      <w:r>
        <w:rPr>
          <w:rFonts w:hint="eastAsia" w:ascii="宋体" w:hAnsi="宋体" w:eastAsia="宋体" w:cs="宋体"/>
          <w:color w:val="auto"/>
          <w:szCs w:val="21"/>
          <w:highlight w:val="none"/>
          <w:lang w:val="en-US" w:eastAsia="zh-CN"/>
        </w:rPr>
        <w:t>扣税后</w:t>
      </w:r>
      <w:r>
        <w:rPr>
          <w:rFonts w:hint="eastAsia" w:ascii="宋体" w:hAnsi="宋体" w:eastAsia="宋体" w:cs="宋体"/>
          <w:color w:val="auto"/>
          <w:szCs w:val="21"/>
          <w:highlight w:val="none"/>
        </w:rPr>
        <w:t>报价相同情况，则由</w:t>
      </w:r>
      <w:r>
        <w:rPr>
          <w:rFonts w:hint="eastAsia" w:ascii="宋体" w:hAnsi="宋体" w:eastAsia="宋体" w:cs="宋体"/>
          <w:color w:val="auto"/>
          <w:szCs w:val="21"/>
          <w:highlight w:val="none"/>
          <w:lang w:val="en-US" w:eastAsia="zh-CN"/>
        </w:rPr>
        <w:t>招标人</w:t>
      </w:r>
      <w:r>
        <w:rPr>
          <w:rFonts w:hint="eastAsia" w:ascii="宋体" w:hAnsi="宋体" w:eastAsia="宋体" w:cs="宋体"/>
          <w:color w:val="auto"/>
          <w:szCs w:val="21"/>
          <w:highlight w:val="none"/>
        </w:rPr>
        <w:t>现场抽签确定中标候选人排名顺序。</w:t>
      </w:r>
    </w:p>
    <w:p>
      <w:pPr>
        <w:snapToGrid w:val="0"/>
        <w:spacing w:line="440" w:lineRule="exact"/>
        <w:ind w:left="0" w:leftChars="0" w:firstLine="422" w:firstLineChars="200"/>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8. </w:t>
      </w:r>
      <w:bookmarkStart w:id="62" w:name="_Hlk61815781"/>
      <w:r>
        <w:rPr>
          <w:rFonts w:hint="eastAsia" w:ascii="宋体" w:hAnsi="宋体" w:cs="宋体"/>
          <w:b/>
          <w:color w:val="auto"/>
          <w:szCs w:val="21"/>
          <w:highlight w:val="none"/>
        </w:rPr>
        <w:t>无效投标条款</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8.1投标文件有下列情形之一的,其投标文件拒收:</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(1) 未在开标截止时间前递交有效投标文件的，投标将被拒绝。</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8.2投标人有下列情形之一的,资格审查后其投标作无效投标处理：</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(1)投标人为本项目提供招标代理服务的；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(2)投标人与在本项目代理机构存在相互任职或工作的；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评标专家无法查看并检验投标文件中相关资料的；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)被暂停营业的；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)被暂停或取消投标资格的；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)投标人单位负责人为同一人或者存在</w:t>
      </w:r>
      <w:r>
        <w:rPr>
          <w:rFonts w:hint="eastAsia" w:ascii="宋体" w:hAnsi="宋体" w:cs="宋体"/>
          <w:color w:val="auto"/>
          <w:szCs w:val="21"/>
          <w:highlight w:val="none"/>
          <w:lang w:val="en-US" w:eastAsia="zh-CN"/>
        </w:rPr>
        <w:t>直接</w:t>
      </w:r>
      <w:r>
        <w:rPr>
          <w:rFonts w:hint="eastAsia" w:ascii="宋体" w:hAnsi="宋体" w:cs="宋体"/>
          <w:color w:val="auto"/>
          <w:szCs w:val="21"/>
          <w:highlight w:val="none"/>
        </w:rPr>
        <w:t>控股、管理关系的不同单位的；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)投标人基本资格条件和特定资格条件中有一项及以上不符合要求的；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)其它情形，经评标委员会委提出按无效投标处理的；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)招标文件规定的其它无效投标情形。</w:t>
      </w:r>
    </w:p>
    <w:p>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 xml:space="preserve">  </w:t>
      </w:r>
      <w:r>
        <w:rPr>
          <w:rFonts w:hint="eastAsia" w:ascii="宋体" w:hAnsi="宋体" w:cs="宋体"/>
          <w:color w:val="auto"/>
          <w:szCs w:val="21"/>
          <w:highlight w:val="none"/>
        </w:rPr>
        <w:t>8.3 投标人有下列情形之一的,符合性审查后其投标按无效投标处理：</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(1)投标文件签字、盖章不全，经评标委员会一致认定对开评标内容有实质性影响的；</w:t>
      </w:r>
    </w:p>
    <w:p>
      <w:pPr>
        <w:snapToGrid w:val="0"/>
        <w:spacing w:line="440" w:lineRule="exact"/>
        <w:ind w:left="0" w:leftChars="0" w:firstLine="420" w:firstLineChars="200"/>
        <w:jc w:val="left"/>
        <w:rPr>
          <w:rFonts w:hint="eastAsia" w:ascii="宋体"/>
          <w:color w:val="auto"/>
          <w:szCs w:val="21"/>
          <w:highlight w:val="none"/>
        </w:rPr>
      </w:pPr>
      <w:r>
        <w:rPr>
          <w:rFonts w:hint="eastAsia" w:ascii="宋体" w:hAnsi="宋体" w:cs="宋体"/>
          <w:color w:val="auto"/>
          <w:szCs w:val="21"/>
          <w:highlight w:val="none"/>
        </w:rPr>
        <w:t>(2)</w:t>
      </w:r>
      <w:r>
        <w:rPr>
          <w:rFonts w:hint="eastAsia" w:ascii="宋体"/>
          <w:color w:val="auto"/>
          <w:szCs w:val="21"/>
          <w:highlight w:val="none"/>
        </w:rPr>
        <w:t>未按规定的格式填写导致实质性内容不全以及实质上不响应，或者关键字迹模糊、无法辨认；</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(3)同一投标人提交两个以上不同的投标文件或者投标报价，但招标文件规定提交备选方案的除外；</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(4)投标文件没有对招标文件的实质性要求和条件作出响应;</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(5)投标报价超出规定的投标限价或公布的采购预算的；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(6)不按评标委员会要求澄清、说明或补正的，或者评标委员会根据招标文件的规定对招标文件的计算错误进行修正后，投标人不接受修正的投标报价的。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(7)其它情形，经评标委员会委提出按无效投标处理的；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(8)投标文件含有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不能接受的附加条件的；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(9)招标文件规定的其它无效投标情形。</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8.4 投标人有下列情形之一的, 详细评审后其投标按无效投标处理：</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(1)投标产品不符合必须强制执行的国家标准的；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(2)投标人有串通投标、弄虚作假、行贿等违法行为；</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(3)投标文件含有违反国家法律、法规的内容，或附有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不能接受的条件的；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)报价明显低于其他投标人，且不能证明报价合理性的投标无效；</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)拒不确认评标委员会评审修正的投标无效；</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)其它情形，经评标委员会委提出按无效投标处理的；</w:t>
      </w:r>
    </w:p>
    <w:p>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)招标文件规定的其它无效投标情形。</w:t>
      </w:r>
    </w:p>
    <w:bookmarkEnd w:id="62"/>
    <w:p>
      <w:pPr>
        <w:keepNext w:val="0"/>
        <w:keepLines w:val="0"/>
        <w:pageBreakBefore w:val="0"/>
        <w:widowControl w:val="0"/>
        <w:kinsoku/>
        <w:wordWrap/>
        <w:overflowPunct/>
        <w:topLinePunct w:val="0"/>
        <w:autoSpaceDE/>
        <w:autoSpaceDN/>
        <w:bidi w:val="0"/>
        <w:adjustRightInd/>
        <w:snapToGrid w:val="0"/>
        <w:spacing w:before="157" w:beforeLines="50" w:after="157" w:afterLines="50" w:line="240" w:lineRule="auto"/>
        <w:jc w:val="center"/>
        <w:textAlignment w:val="auto"/>
        <w:rPr>
          <w:rFonts w:hint="eastAsia" w:ascii="宋体"/>
          <w:b/>
          <w:color w:val="auto"/>
          <w:sz w:val="32"/>
          <w:szCs w:val="32"/>
          <w:highlight w:val="none"/>
        </w:rPr>
      </w:pPr>
      <w:bookmarkStart w:id="63" w:name="_Toc58430328"/>
      <w:r>
        <w:rPr>
          <w:rFonts w:hint="eastAsia" w:ascii="宋体"/>
          <w:b/>
          <w:color w:val="auto"/>
          <w:sz w:val="32"/>
          <w:szCs w:val="32"/>
          <w:highlight w:val="none"/>
        </w:rPr>
        <w:br w:type="page"/>
      </w:r>
      <w:r>
        <w:rPr>
          <w:rFonts w:hint="eastAsia" w:ascii="宋体" w:hAnsi="Times New Roman" w:eastAsia="宋体" w:cs="Times New Roman"/>
          <w:b/>
          <w:color w:val="auto"/>
          <w:sz w:val="32"/>
          <w:szCs w:val="32"/>
          <w:highlight w:val="none"/>
        </w:rPr>
        <w:t>第四章  采购需求</w:t>
      </w:r>
    </w:p>
    <w:bookmarkEnd w:id="50"/>
    <w:bookmarkEnd w:id="63"/>
    <w:p>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82" w:firstLineChars="200"/>
        <w:textAlignment w:val="baseline"/>
        <w:rPr>
          <w:rFonts w:hint="eastAsia" w:ascii="宋体" w:hAnsi="宋体" w:eastAsia="宋体" w:cs="宋体"/>
          <w:b/>
          <w:bCs/>
          <w:color w:val="auto"/>
          <w:sz w:val="24"/>
          <w:szCs w:val="24"/>
        </w:rPr>
      </w:pPr>
      <w:bookmarkStart w:id="64" w:name="_Toc666"/>
      <w:bookmarkStart w:id="65" w:name="_Toc58430329"/>
      <w:bookmarkStart w:id="66" w:name="_Toc449028945"/>
      <w:r>
        <w:rPr>
          <w:rFonts w:hint="eastAsia" w:ascii="宋体" w:hAnsi="宋体" w:eastAsia="宋体" w:cs="宋体"/>
          <w:b/>
          <w:bCs/>
          <w:color w:val="auto"/>
          <w:sz w:val="24"/>
          <w:szCs w:val="24"/>
        </w:rPr>
        <w:t>一、项目概况</w:t>
      </w:r>
      <w:bookmarkEnd w:id="64"/>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（一）基本情况</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该项目涉及市城泊公司管理的公共停车场、厕所和管理用房的卫生保洁服务，具体包括23个停车场、2间停车场厕所和一套管理用房的卫生保洁服务。服务范围和内容包含停车场日常保洁服务、地面清扫、垃圾清运、房屋内设施卫生打扫和清洗。停车场情况见下表。</w:t>
      </w:r>
    </w:p>
    <w:tbl>
      <w:tblPr>
        <w:tblStyle w:val="34"/>
        <w:tblW w:w="10590" w:type="dxa"/>
        <w:tblInd w:w="-906" w:type="dxa"/>
        <w:tblLayout w:type="fixed"/>
        <w:tblCellMar>
          <w:top w:w="0" w:type="dxa"/>
          <w:left w:w="108" w:type="dxa"/>
          <w:bottom w:w="0" w:type="dxa"/>
          <w:right w:w="108" w:type="dxa"/>
        </w:tblCellMar>
      </w:tblPr>
      <w:tblGrid>
        <w:gridCol w:w="810"/>
        <w:gridCol w:w="2535"/>
        <w:gridCol w:w="915"/>
        <w:gridCol w:w="4545"/>
        <w:gridCol w:w="1785"/>
      </w:tblGrid>
      <w:tr>
        <w:tblPrEx>
          <w:tblCellMar>
            <w:top w:w="0" w:type="dxa"/>
            <w:left w:w="108" w:type="dxa"/>
            <w:bottom w:w="0" w:type="dxa"/>
            <w:right w:w="108" w:type="dxa"/>
          </w:tblCellMar>
        </w:tblPrEx>
        <w:trPr>
          <w:trHeight w:val="380"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序号</w:t>
            </w:r>
          </w:p>
        </w:tc>
        <w:tc>
          <w:tcPr>
            <w:tcW w:w="253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停车场</w:t>
            </w:r>
          </w:p>
        </w:tc>
        <w:tc>
          <w:tcPr>
            <w:tcW w:w="9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泊位数</w:t>
            </w:r>
          </w:p>
        </w:tc>
        <w:tc>
          <w:tcPr>
            <w:tcW w:w="454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位置</w:t>
            </w:r>
          </w:p>
        </w:tc>
        <w:tc>
          <w:tcPr>
            <w:tcW w:w="178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b/>
                <w:bCs/>
                <w:color w:val="auto"/>
                <w:sz w:val="21"/>
                <w:szCs w:val="21"/>
              </w:rPr>
            </w:pPr>
            <w:r>
              <w:rPr>
                <w:rFonts w:hint="eastAsia" w:ascii="宋体" w:hAnsi="宋体" w:eastAsia="宋体" w:cs="宋体"/>
                <w:b/>
                <w:bCs/>
                <w:color w:val="auto"/>
                <w:sz w:val="21"/>
                <w:szCs w:val="21"/>
              </w:rPr>
              <w:t>面积</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育新西路</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86</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丰乐大道与育新路交口东北角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约4000平方米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明光路</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152</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定远路与明光路交口西南角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约5700平方米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二纺机、怡景园</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70</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丰乐大道与明光路交口东北角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约1800平方米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王桥</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97</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丰乐大道与天长路交口东南方向200米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约3200平方米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5</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小桥湖</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323</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丰乐大道与清流路交口东南方向200米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约15000平方米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6</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明珠园</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42</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南谯路与清流路交口西北角200米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约1400平方米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7</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三里亭</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29</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西涧路与琅琊路交口西北角100米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约750平方米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8</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一附小</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63</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四牌楼街一附小南侧</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约1900平方米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9</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青琅茶楼</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26</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琅琊路与三里亭路交口西北侧</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约1000平方米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10</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文德街</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50</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文德街与长巷交口</w:t>
            </w:r>
          </w:p>
        </w:tc>
        <w:tc>
          <w:tcPr>
            <w:tcW w:w="1785" w:type="dxa"/>
            <w:tcBorders>
              <w:top w:val="nil"/>
              <w:left w:val="nil"/>
              <w:bottom w:val="nil"/>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约1500平方米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11</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育新东路</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77</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育新东路国际大酒店南侧</w:t>
            </w:r>
          </w:p>
        </w:tc>
        <w:tc>
          <w:tcPr>
            <w:tcW w:w="178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约2800平方米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12</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西涧一村</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41</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西涧路与明光路交界口西侧</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约1200平方米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13</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扬子宾馆</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403</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南谯路与清流路交口西侧200米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约16000平方米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14</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南小庄</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229</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南谯路与凤谯路交口西南角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约8200平方米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15</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紫西社区</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18</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中都大道与清流路交口西北方向500米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约850平方米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16</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金地大酒店东侧</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90</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中都大道与凤凰路交口东北角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4435平方米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17</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定远路建行宿舍</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65</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定远路与明光路交口西南方向500米</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4713平方米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18</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新生路</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80</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金陵北路与新生路交口西南角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2925平方米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19</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卫校巷</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280</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中都大道与琅琊路交口东南角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10868平方米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20</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裕安园</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50</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紫薇北路与明光路交口西北角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1933平方米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21</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凤凰西路停车场</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169</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凤凰路凤凰菜场巷内</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8539平方米</w:t>
            </w:r>
          </w:p>
        </w:tc>
      </w:tr>
      <w:tr>
        <w:tblPrEx>
          <w:tblCellMar>
            <w:top w:w="0" w:type="dxa"/>
            <w:left w:w="108" w:type="dxa"/>
            <w:bottom w:w="0" w:type="dxa"/>
            <w:right w:w="108" w:type="dxa"/>
          </w:tblCellMar>
        </w:tblPrEx>
        <w:trPr>
          <w:trHeight w:val="380" w:hRule="atLeast"/>
        </w:trPr>
        <w:tc>
          <w:tcPr>
            <w:tcW w:w="810" w:type="dxa"/>
            <w:tcBorders>
              <w:top w:val="nil"/>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22</w:t>
            </w:r>
          </w:p>
        </w:tc>
        <w:tc>
          <w:tcPr>
            <w:tcW w:w="253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丰乐大道与凤凰路交口</w:t>
            </w:r>
          </w:p>
        </w:tc>
        <w:tc>
          <w:tcPr>
            <w:tcW w:w="91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189</w:t>
            </w:r>
          </w:p>
        </w:tc>
        <w:tc>
          <w:tcPr>
            <w:tcW w:w="454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丰乐大道与凤凰路交口东南角</w:t>
            </w:r>
          </w:p>
        </w:tc>
        <w:tc>
          <w:tcPr>
            <w:tcW w:w="1785" w:type="dxa"/>
            <w:tcBorders>
              <w:top w:val="nil"/>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10829平方米</w:t>
            </w:r>
          </w:p>
        </w:tc>
      </w:tr>
      <w:tr>
        <w:tblPrEx>
          <w:tblCellMar>
            <w:top w:w="0" w:type="dxa"/>
            <w:left w:w="108" w:type="dxa"/>
            <w:bottom w:w="0" w:type="dxa"/>
            <w:right w:w="108" w:type="dxa"/>
          </w:tblCellMar>
        </w:tblPrEx>
        <w:trPr>
          <w:trHeight w:val="415"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23</w:t>
            </w:r>
          </w:p>
        </w:tc>
        <w:tc>
          <w:tcPr>
            <w:tcW w:w="253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琴轩路</w:t>
            </w:r>
          </w:p>
        </w:tc>
        <w:tc>
          <w:tcPr>
            <w:tcW w:w="9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28</w:t>
            </w:r>
          </w:p>
        </w:tc>
        <w:tc>
          <w:tcPr>
            <w:tcW w:w="454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琴轩东路与阳明路交口东北角</w:t>
            </w:r>
          </w:p>
        </w:tc>
        <w:tc>
          <w:tcPr>
            <w:tcW w:w="178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约990平方米</w:t>
            </w:r>
          </w:p>
        </w:tc>
      </w:tr>
      <w:tr>
        <w:tblPrEx>
          <w:tblCellMar>
            <w:top w:w="0" w:type="dxa"/>
            <w:left w:w="108" w:type="dxa"/>
            <w:bottom w:w="0" w:type="dxa"/>
            <w:right w:w="108" w:type="dxa"/>
          </w:tblCellMar>
        </w:tblPrEx>
        <w:trPr>
          <w:trHeight w:val="380"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24</w:t>
            </w:r>
          </w:p>
        </w:tc>
        <w:tc>
          <w:tcPr>
            <w:tcW w:w="253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扬子宾馆停车场管理用房</w:t>
            </w:r>
          </w:p>
        </w:tc>
        <w:tc>
          <w:tcPr>
            <w:tcW w:w="9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p>
        </w:tc>
        <w:tc>
          <w:tcPr>
            <w:tcW w:w="454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南谯路与清流路交口西侧200米</w:t>
            </w:r>
          </w:p>
        </w:tc>
        <w:tc>
          <w:tcPr>
            <w:tcW w:w="178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约150平方米</w:t>
            </w:r>
          </w:p>
        </w:tc>
      </w:tr>
      <w:tr>
        <w:tblPrEx>
          <w:tblCellMar>
            <w:top w:w="0" w:type="dxa"/>
            <w:left w:w="108" w:type="dxa"/>
            <w:bottom w:w="0" w:type="dxa"/>
            <w:right w:w="108" w:type="dxa"/>
          </w:tblCellMar>
        </w:tblPrEx>
        <w:trPr>
          <w:trHeight w:val="380"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25</w:t>
            </w:r>
          </w:p>
        </w:tc>
        <w:tc>
          <w:tcPr>
            <w:tcW w:w="253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小桥湖停车场厕所</w:t>
            </w:r>
          </w:p>
        </w:tc>
        <w:tc>
          <w:tcPr>
            <w:tcW w:w="9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p>
        </w:tc>
        <w:tc>
          <w:tcPr>
            <w:tcW w:w="454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丰乐大道与清流路交口东南方向200米</w:t>
            </w:r>
          </w:p>
        </w:tc>
        <w:tc>
          <w:tcPr>
            <w:tcW w:w="178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p>
        </w:tc>
      </w:tr>
      <w:tr>
        <w:tblPrEx>
          <w:tblCellMar>
            <w:top w:w="0" w:type="dxa"/>
            <w:left w:w="108" w:type="dxa"/>
            <w:bottom w:w="0" w:type="dxa"/>
            <w:right w:w="108" w:type="dxa"/>
          </w:tblCellMar>
        </w:tblPrEx>
        <w:trPr>
          <w:trHeight w:val="380" w:hRule="atLeast"/>
        </w:trPr>
        <w:tc>
          <w:tcPr>
            <w:tcW w:w="810" w:type="dxa"/>
            <w:tcBorders>
              <w:top w:val="single" w:color="auto" w:sz="4" w:space="0"/>
              <w:left w:val="single" w:color="auto" w:sz="4" w:space="0"/>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r>
              <w:rPr>
                <w:rFonts w:hint="eastAsia" w:ascii="宋体" w:hAnsi="宋体" w:eastAsia="宋体" w:cs="宋体"/>
                <w:color w:val="auto"/>
                <w:kern w:val="0"/>
                <w:sz w:val="21"/>
                <w:szCs w:val="21"/>
              </w:rPr>
              <w:t>26</w:t>
            </w:r>
          </w:p>
        </w:tc>
        <w:tc>
          <w:tcPr>
            <w:tcW w:w="253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职业技术学院停车场公厕</w:t>
            </w:r>
          </w:p>
        </w:tc>
        <w:tc>
          <w:tcPr>
            <w:tcW w:w="91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p>
        </w:tc>
        <w:tc>
          <w:tcPr>
            <w:tcW w:w="454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sz w:val="21"/>
                <w:szCs w:val="21"/>
              </w:rPr>
            </w:pPr>
            <w:r>
              <w:rPr>
                <w:rFonts w:hint="eastAsia" w:ascii="宋体" w:hAnsi="宋体" w:eastAsia="宋体" w:cs="宋体"/>
                <w:color w:val="auto"/>
                <w:sz w:val="21"/>
                <w:szCs w:val="21"/>
              </w:rPr>
              <w:t>敬梓路与西涧路交口东南角，城际铁路线区域内</w:t>
            </w:r>
          </w:p>
        </w:tc>
        <w:tc>
          <w:tcPr>
            <w:tcW w:w="1785" w:type="dxa"/>
            <w:tcBorders>
              <w:top w:val="single" w:color="auto" w:sz="4" w:space="0"/>
              <w:left w:val="nil"/>
              <w:bottom w:val="single" w:color="auto" w:sz="4" w:space="0"/>
              <w:right w:val="single" w:color="auto" w:sz="4" w:space="0"/>
            </w:tcBorders>
            <w:shd w:val="clear" w:color="000000" w:fill="FFFFFF"/>
            <w:noWrap/>
            <w:vAlign w:val="center"/>
          </w:tcPr>
          <w:p>
            <w:pPr>
              <w:keepNext w:val="0"/>
              <w:keepLines w:val="0"/>
              <w:pageBreakBefore w:val="0"/>
              <w:widowControl/>
              <w:kinsoku/>
              <w:wordWrap/>
              <w:overflowPunct/>
              <w:topLinePunct w:val="0"/>
              <w:autoSpaceDE/>
              <w:autoSpaceDN/>
              <w:bidi w:val="0"/>
              <w:adjustRightInd/>
              <w:snapToGrid/>
              <w:spacing w:line="440" w:lineRule="exact"/>
              <w:jc w:val="center"/>
              <w:rPr>
                <w:rFonts w:hint="eastAsia" w:ascii="宋体" w:hAnsi="宋体" w:eastAsia="宋体" w:cs="宋体"/>
                <w:color w:val="auto"/>
                <w:kern w:val="0"/>
                <w:sz w:val="21"/>
                <w:szCs w:val="21"/>
              </w:rPr>
            </w:pPr>
          </w:p>
        </w:tc>
      </w:tr>
    </w:tbl>
    <w:p>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82" w:firstLineChars="200"/>
        <w:textAlignment w:val="baseline"/>
        <w:rPr>
          <w:rFonts w:hint="eastAsia" w:ascii="宋体" w:hAnsi="宋体" w:eastAsia="宋体" w:cs="宋体"/>
          <w:b/>
          <w:bCs/>
          <w:color w:val="auto"/>
          <w:sz w:val="24"/>
          <w:szCs w:val="24"/>
        </w:rPr>
      </w:pPr>
      <w:bookmarkStart w:id="67" w:name="_Toc17735_WPSOffice_Level1"/>
      <w:bookmarkStart w:id="68" w:name="_Toc28508"/>
      <w:r>
        <w:rPr>
          <w:rFonts w:hint="eastAsia" w:ascii="宋体" w:hAnsi="宋体" w:eastAsia="宋体" w:cs="宋体"/>
          <w:b/>
          <w:bCs/>
          <w:color w:val="auto"/>
          <w:sz w:val="24"/>
          <w:szCs w:val="24"/>
        </w:rPr>
        <w:t>二、</w:t>
      </w:r>
      <w:bookmarkEnd w:id="67"/>
      <w:bookmarkEnd w:id="68"/>
      <w:r>
        <w:rPr>
          <w:rFonts w:hint="eastAsia" w:ascii="宋体" w:hAnsi="宋体" w:eastAsia="宋体" w:cs="宋体"/>
          <w:b/>
          <w:bCs/>
          <w:color w:val="auto"/>
          <w:sz w:val="24"/>
          <w:szCs w:val="24"/>
        </w:rPr>
        <w:t>服务期限</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highlight w:val="none"/>
          <w:lang w:val="en-US" w:eastAsia="zh-CN"/>
        </w:rPr>
      </w:pPr>
      <w:bookmarkStart w:id="69" w:name="_Toc31493"/>
      <w:bookmarkStart w:id="70" w:name="_Toc9926"/>
      <w:bookmarkStart w:id="71" w:name="_Toc2501"/>
      <w:bookmarkStart w:id="72" w:name="_Toc18472"/>
      <w:bookmarkStart w:id="73" w:name="_Toc21817"/>
      <w:r>
        <w:rPr>
          <w:rFonts w:hint="eastAsia" w:ascii="宋体" w:hAnsi="宋体" w:eastAsia="宋体" w:cs="宋体"/>
          <w:color w:val="auto"/>
          <w:sz w:val="21"/>
          <w:szCs w:val="21"/>
          <w:highlight w:val="none"/>
          <w:lang w:val="en-US" w:eastAsia="zh-CN"/>
        </w:rPr>
        <w:t>自合同签订之日起一年，如服务期满，经招标方业绩考核满意，可以续签1年服务期。</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注：自合同签订之日起开始计算进行为期两个月的考核期，如考核期内不合格，招标人有权单方解除合同。</w:t>
      </w:r>
      <w:r>
        <w:rPr>
          <w:rFonts w:hint="eastAsia" w:ascii="宋体" w:hAnsi="宋体" w:cs="宋体"/>
          <w:color w:val="auto"/>
          <w:sz w:val="21"/>
          <w:szCs w:val="21"/>
          <w:highlight w:val="none"/>
          <w:lang w:val="en-US" w:eastAsia="zh-CN"/>
        </w:rPr>
        <w:t>服务期限中含两个月考核期。</w:t>
      </w:r>
    </w:p>
    <w:bookmarkEnd w:id="69"/>
    <w:bookmarkEnd w:id="70"/>
    <w:bookmarkEnd w:id="71"/>
    <w:bookmarkEnd w:id="72"/>
    <w:bookmarkEnd w:id="73"/>
    <w:p>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82" w:firstLineChars="200"/>
        <w:textAlignment w:val="baseline"/>
        <w:rPr>
          <w:rFonts w:hint="eastAsia" w:ascii="宋体" w:hAnsi="宋体" w:eastAsia="宋体" w:cs="宋体"/>
          <w:b/>
          <w:bCs/>
          <w:color w:val="auto"/>
          <w:sz w:val="24"/>
          <w:szCs w:val="24"/>
        </w:rPr>
      </w:pPr>
      <w:bookmarkStart w:id="74" w:name="_Toc5967"/>
      <w:bookmarkStart w:id="75" w:name="_Toc13256"/>
      <w:bookmarkStart w:id="76" w:name="_Toc175"/>
      <w:bookmarkStart w:id="77" w:name="_Toc6553"/>
      <w:bookmarkStart w:id="78" w:name="_Toc11011"/>
      <w:r>
        <w:rPr>
          <w:rFonts w:hint="eastAsia" w:ascii="宋体" w:hAnsi="宋体" w:eastAsia="宋体" w:cs="宋体"/>
          <w:b/>
          <w:bCs/>
          <w:color w:val="auto"/>
          <w:sz w:val="24"/>
          <w:szCs w:val="24"/>
        </w:rPr>
        <w:t>三、项目管控要求</w:t>
      </w:r>
      <w:bookmarkEnd w:id="74"/>
      <w:bookmarkEnd w:id="75"/>
      <w:bookmarkEnd w:id="76"/>
      <w:bookmarkEnd w:id="77"/>
      <w:bookmarkEnd w:id="78"/>
    </w:p>
    <w:p>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eastAsia" w:ascii="宋体" w:hAnsi="宋体" w:eastAsia="宋体" w:cs="宋体"/>
          <w:b/>
          <w:bCs/>
          <w:color w:val="auto"/>
          <w:sz w:val="21"/>
          <w:szCs w:val="21"/>
        </w:rPr>
      </w:pPr>
      <w:r>
        <w:rPr>
          <w:rFonts w:hint="eastAsia" w:ascii="宋体" w:hAnsi="宋体" w:cs="宋体"/>
          <w:b/>
          <w:bCs/>
          <w:color w:val="auto"/>
          <w:sz w:val="21"/>
          <w:szCs w:val="21"/>
          <w:lang w:val="en-US" w:eastAsia="zh-CN"/>
        </w:rPr>
        <w:t>1</w:t>
      </w:r>
      <w:r>
        <w:rPr>
          <w:rFonts w:hint="eastAsia" w:ascii="宋体" w:hAnsi="宋体" w:eastAsia="宋体" w:cs="宋体"/>
          <w:b/>
          <w:bCs/>
          <w:color w:val="auto"/>
          <w:sz w:val="21"/>
          <w:szCs w:val="21"/>
        </w:rPr>
        <w:t>.保洁人员要求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（1）身体健康，个人形象良好，工作责任心强，无被收容教育、强制隔离戒毒、劳动教养、治安刑事处罚等记录。能胜任工作，无高血压、先天性心脏病等影响工作的一系列疾病。</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（2）所有保洁人员均须做好岗前培训，熟悉项目现场具体情况后，方能上岗。培训内容包括但不限于文明用语、安全生产、消</w:t>
      </w:r>
      <w:r>
        <w:rPr>
          <w:rFonts w:hint="eastAsia" w:ascii="宋体" w:hAnsi="宋体" w:eastAsia="宋体" w:cs="宋体"/>
          <w:color w:val="auto"/>
          <w:spacing w:val="-6"/>
          <w:sz w:val="21"/>
          <w:szCs w:val="21"/>
        </w:rPr>
        <w:t>防安全和操作规程、应急处置和垃圾分类知识等。</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（3）所有服务人员需具备思想政治立场坚定、有一定文化素质、精神面貌良好、身体健康、品行良好、工作热情、责任心强等条件。</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（4）服务期内服务人员与上述要求不符的，中标方应及时更换且需在更换前5个工作日内向招标方提供更换人员的名单及其相关资料。</w:t>
      </w:r>
    </w:p>
    <w:p>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eastAsia" w:ascii="宋体" w:hAnsi="宋体" w:eastAsia="宋体" w:cs="宋体"/>
          <w:b/>
          <w:bCs/>
          <w:color w:val="auto"/>
          <w:sz w:val="21"/>
          <w:szCs w:val="21"/>
        </w:rPr>
      </w:pPr>
      <w:r>
        <w:rPr>
          <w:rFonts w:hint="eastAsia" w:ascii="宋体" w:hAnsi="宋体" w:cs="宋体"/>
          <w:b/>
          <w:bCs/>
          <w:color w:val="auto"/>
          <w:sz w:val="21"/>
          <w:szCs w:val="21"/>
          <w:lang w:val="en-US" w:eastAsia="zh-CN"/>
        </w:rPr>
        <w:t>2</w:t>
      </w:r>
      <w:r>
        <w:rPr>
          <w:rFonts w:hint="eastAsia" w:ascii="宋体" w:hAnsi="宋体" w:eastAsia="宋体" w:cs="宋体"/>
          <w:b/>
          <w:bCs/>
          <w:color w:val="auto"/>
          <w:sz w:val="21"/>
          <w:szCs w:val="21"/>
        </w:rPr>
        <w:t>.人数配置要求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保洁人员数量必须严格按照保洁服务最低人员配备表执行。合同期内，以保洁工作质量和效果为最终标准，招标方可根据实际情况对各区域保洁人数配置数量进行调整，具体以招标方书面通知为准。</w:t>
      </w:r>
    </w:p>
    <w:tbl>
      <w:tblPr>
        <w:tblStyle w:val="35"/>
        <w:tblW w:w="912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6"/>
        <w:gridCol w:w="2571"/>
        <w:gridCol w:w="1155"/>
        <w:gridCol w:w="4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912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3938"/>
              </w:tabs>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color w:val="auto"/>
                <w:sz w:val="21"/>
                <w:szCs w:val="21"/>
              </w:rPr>
            </w:pPr>
            <w:r>
              <w:rPr>
                <w:rFonts w:hint="eastAsia" w:ascii="宋体" w:hAnsi="宋体" w:eastAsia="宋体" w:cs="宋体"/>
                <w:b/>
                <w:color w:val="auto"/>
                <w:sz w:val="21"/>
                <w:szCs w:val="21"/>
              </w:rPr>
              <w:t>保洁服务最低人数配备表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color w:val="auto"/>
                <w:sz w:val="21"/>
                <w:szCs w:val="21"/>
              </w:rPr>
            </w:pPr>
            <w:r>
              <w:rPr>
                <w:rFonts w:hint="eastAsia" w:ascii="宋体" w:hAnsi="宋体" w:eastAsia="宋体" w:cs="宋体"/>
                <w:b/>
                <w:bCs/>
                <w:color w:val="auto"/>
                <w:kern w:val="0"/>
                <w:sz w:val="21"/>
                <w:szCs w:val="21"/>
              </w:rPr>
              <w:t>序号</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color w:val="auto"/>
                <w:sz w:val="21"/>
                <w:szCs w:val="21"/>
              </w:rPr>
            </w:pPr>
            <w:r>
              <w:rPr>
                <w:rFonts w:hint="eastAsia" w:ascii="宋体" w:hAnsi="宋体" w:eastAsia="宋体" w:cs="宋体"/>
                <w:b/>
                <w:bCs/>
                <w:color w:val="auto"/>
                <w:kern w:val="0"/>
                <w:sz w:val="21"/>
                <w:szCs w:val="21"/>
              </w:rPr>
              <w:t>停车场</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color w:val="auto"/>
                <w:sz w:val="21"/>
                <w:szCs w:val="21"/>
              </w:rPr>
            </w:pPr>
            <w:r>
              <w:rPr>
                <w:rFonts w:hint="eastAsia" w:ascii="宋体" w:hAnsi="宋体" w:eastAsia="宋体" w:cs="宋体"/>
                <w:b/>
                <w:color w:val="auto"/>
                <w:sz w:val="21"/>
                <w:szCs w:val="21"/>
              </w:rPr>
              <w:t>最低人数</w:t>
            </w:r>
          </w:p>
        </w:tc>
        <w:tc>
          <w:tcPr>
            <w:tcW w:w="4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color w:val="auto"/>
                <w:sz w:val="21"/>
                <w:szCs w:val="21"/>
              </w:rPr>
            </w:pPr>
            <w:r>
              <w:rPr>
                <w:rFonts w:hint="eastAsia" w:ascii="宋体" w:hAnsi="宋体" w:eastAsia="宋体" w:cs="宋体"/>
                <w:b/>
                <w:color w:val="auto"/>
                <w:sz w:val="21"/>
                <w:szCs w:val="21"/>
              </w:rPr>
              <w:t>作业内容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育新西路</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地面干净，无杂物，无明显油渍、污渍；停车场内设备、灯具表面干净、蛛网；停车场内垃圾桶杂物超过2/3应及时倾倒；各种指示牌表面干净；消防器材表面干净，摆放整齐；减速带表面干净无明显污迹，各种道闸表面干净无明显污迹；所有垃圾清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2571" w:type="dxa"/>
            <w:tcBorders>
              <w:top w:val="single" w:color="auto" w:sz="4" w:space="0"/>
              <w:left w:val="single" w:color="auto" w:sz="4" w:space="0"/>
              <w:bottom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明光路</w:t>
            </w:r>
          </w:p>
        </w:tc>
        <w:tc>
          <w:tcPr>
            <w:tcW w:w="1155" w:type="dxa"/>
            <w:tcBorders>
              <w:top w:val="single" w:color="auto" w:sz="4" w:space="0"/>
              <w:left w:val="single" w:color="auto" w:sz="4" w:space="0"/>
              <w:bottom w:val="nil"/>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二纺机、怡景园</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王桥</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5</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小桥湖</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ind w:left="240" w:hanging="210" w:hangingChars="100"/>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6</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明珠园</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2"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7</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三里亭</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8</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一附小</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9</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青琅茶楼</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6"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10</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文德街</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11</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育新东路</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12</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西涧一村</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13</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扬子宾馆</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14</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南小庄</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15</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紫西社区</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16</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金地大酒店东侧</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17</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定远路建行宿舍</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8"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18</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新生路</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7"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19</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卫校巷</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20</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裕安园</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21</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凤凰西路停车场</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22</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丰乐大道与凤凰路交口</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4"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23</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琴轩路</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24</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扬子宾馆停车场管理用房</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楼内、公共通道、公共卫生间地面干净、无污渍；门框、窗框、窗台、金件表面光亮、无灰尘、无污渍；门窗玻璃干净无尘，透光性好，无明显印迹；各种金属件表面干净，无污渍，有金属光泽；门把手干净、无印迹、定时消毒；天花板干净，无污渍、无蛛网；灯具干净无积尘，中央空调风口干净，无污迹，进出口地垫摆放整齐，表面干净无杂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25</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小桥湖停车场厕所</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4618" w:type="dxa"/>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地面干净，无污渍、无积水，大小便器表面干净，无污渍；各种隔断表面干净，无乱写乱画，金属饰件表面干净，无污迹；墙壁表面干净，天花板无污渍、蛛网；风口或换气扇表面干净无积尘；门窗表面干净，窗台无灰尘；玻璃干净无水渍；洗手台干净无积水，面盆无污垢；各种管道表面干净无污渍；各种物品摆放整齐规范；废纸篓杂物超过2/3应及时倾倒，卫生间内空气流通并且无明显异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0" w:hRule="atLeast"/>
          <w:jc w:val="center"/>
        </w:trPr>
        <w:tc>
          <w:tcPr>
            <w:tcW w:w="77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default" w:ascii="宋体" w:hAnsi="宋体" w:eastAsia="宋体" w:cs="宋体"/>
                <w:color w:val="auto"/>
                <w:sz w:val="21"/>
                <w:szCs w:val="21"/>
                <w:lang w:val="en-US" w:eastAsia="zh-CN"/>
              </w:rPr>
            </w:pPr>
            <w:r>
              <w:rPr>
                <w:rFonts w:hint="eastAsia" w:ascii="宋体" w:hAnsi="宋体" w:cs="宋体"/>
                <w:color w:val="auto"/>
                <w:sz w:val="21"/>
                <w:szCs w:val="21"/>
                <w:lang w:val="en-US" w:eastAsia="zh-CN"/>
              </w:rPr>
              <w:t>26</w:t>
            </w:r>
          </w:p>
        </w:tc>
        <w:tc>
          <w:tcPr>
            <w:tcW w:w="2571"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职业技术学院停车场公厕</w:t>
            </w:r>
          </w:p>
        </w:tc>
        <w:tc>
          <w:tcPr>
            <w:tcW w:w="115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lang w:val="en-US" w:eastAsia="zh-CN"/>
              </w:rPr>
            </w:pPr>
            <w:r>
              <w:rPr>
                <w:rFonts w:hint="eastAsia" w:ascii="宋体" w:hAnsi="宋体" w:cs="宋体"/>
                <w:color w:val="auto"/>
                <w:sz w:val="21"/>
                <w:szCs w:val="21"/>
                <w:lang w:val="en-US" w:eastAsia="zh-CN"/>
              </w:rPr>
              <w:t>1</w:t>
            </w:r>
          </w:p>
        </w:tc>
        <w:tc>
          <w:tcPr>
            <w:tcW w:w="4618" w:type="dxa"/>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9" w:hRule="atLeast"/>
          <w:jc w:val="center"/>
        </w:trPr>
        <w:tc>
          <w:tcPr>
            <w:tcW w:w="9120" w:type="dxa"/>
            <w:gridSpan w:val="4"/>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备注：</w:t>
            </w:r>
          </w:p>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b/>
                <w:bCs/>
                <w:color w:val="auto"/>
                <w:sz w:val="21"/>
                <w:szCs w:val="21"/>
                <w:lang w:eastAsia="zh-CN"/>
              </w:rPr>
            </w:pPr>
            <w:r>
              <w:rPr>
                <w:rFonts w:hint="eastAsia" w:ascii="宋体" w:hAnsi="宋体" w:eastAsia="宋体" w:cs="宋体"/>
                <w:b/>
                <w:bCs/>
                <w:color w:val="auto"/>
                <w:sz w:val="21"/>
                <w:szCs w:val="21"/>
              </w:rPr>
              <w:t>1.</w:t>
            </w:r>
            <w:r>
              <w:rPr>
                <w:rFonts w:hint="eastAsia" w:ascii="宋体" w:hAnsi="宋体" w:cs="宋体"/>
                <w:b/>
                <w:bCs/>
                <w:color w:val="auto"/>
                <w:sz w:val="21"/>
                <w:szCs w:val="21"/>
                <w:lang w:val="en-US" w:eastAsia="zh-CN"/>
              </w:rPr>
              <w:t>本项目除上述人员外，须另</w:t>
            </w:r>
            <w:r>
              <w:rPr>
                <w:rFonts w:hint="eastAsia" w:ascii="宋体" w:hAnsi="宋体" w:eastAsia="宋体" w:cs="宋体"/>
                <w:b/>
                <w:bCs/>
                <w:color w:val="auto"/>
                <w:sz w:val="21"/>
                <w:szCs w:val="21"/>
              </w:rPr>
              <w:t>配备1名现场项目管理人员，</w:t>
            </w:r>
            <w:r>
              <w:rPr>
                <w:rFonts w:hint="eastAsia" w:ascii="宋体" w:hAnsi="宋体" w:cs="宋体"/>
                <w:b/>
                <w:bCs/>
                <w:color w:val="auto"/>
                <w:sz w:val="21"/>
                <w:szCs w:val="21"/>
                <w:lang w:val="en-US" w:eastAsia="zh-CN"/>
              </w:rPr>
              <w:t>其费用含在投标总价中</w:t>
            </w:r>
            <w:r>
              <w:rPr>
                <w:rFonts w:hint="eastAsia" w:ascii="宋体" w:hAnsi="宋体" w:cs="宋体"/>
                <w:b/>
                <w:bCs/>
                <w:color w:val="auto"/>
                <w:sz w:val="21"/>
                <w:szCs w:val="21"/>
                <w:lang w:eastAsia="zh-CN"/>
              </w:rPr>
              <w:t>。</w:t>
            </w:r>
          </w:p>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2.重大节假日、重大活动时提前做好人员储备，如遇临时性突击任务需临时增加人员支援的，不另行支付费用。</w:t>
            </w:r>
          </w:p>
        </w:tc>
      </w:tr>
    </w:tbl>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bookmarkStart w:id="79" w:name="_Toc24702"/>
      <w:bookmarkStart w:id="80" w:name="_Toc21115"/>
      <w:bookmarkStart w:id="81" w:name="_Toc30247"/>
      <w:bookmarkStart w:id="82" w:name="_Toc12496"/>
      <w:bookmarkStart w:id="83" w:name="_Toc15957"/>
      <w:bookmarkStart w:id="84" w:name="_Toc26986"/>
      <w:r>
        <w:rPr>
          <w:rFonts w:hint="eastAsia" w:ascii="宋体" w:hAnsi="宋体" w:eastAsia="宋体" w:cs="宋体"/>
          <w:color w:val="auto"/>
          <w:sz w:val="21"/>
          <w:szCs w:val="21"/>
        </w:rPr>
        <w:t>（二）工作时间</w:t>
      </w:r>
      <w:bookmarkEnd w:id="79"/>
      <w:bookmarkEnd w:id="80"/>
      <w:bookmarkEnd w:id="81"/>
      <w:bookmarkEnd w:id="82"/>
      <w:bookmarkEnd w:id="83"/>
      <w:bookmarkEnd w:id="84"/>
      <w:r>
        <w:rPr>
          <w:rFonts w:hint="eastAsia" w:ascii="宋体" w:hAnsi="宋体" w:eastAsia="宋体" w:cs="宋体"/>
          <w:color w:val="auto"/>
          <w:sz w:val="21"/>
          <w:szCs w:val="21"/>
        </w:rPr>
        <w:t>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bookmarkStart w:id="85" w:name="_Toc31085"/>
      <w:r>
        <w:rPr>
          <w:rFonts w:hint="eastAsia" w:ascii="宋体" w:hAnsi="宋体" w:eastAsia="宋体" w:cs="宋体"/>
          <w:color w:val="auto"/>
          <w:sz w:val="21"/>
          <w:szCs w:val="21"/>
        </w:rPr>
        <w:t>1.保洁人员按工作时间表上班。</w:t>
      </w:r>
    </w:p>
    <w:tbl>
      <w:tblPr>
        <w:tblStyle w:val="34"/>
        <w:tblW w:w="9320" w:type="dxa"/>
        <w:jc w:val="center"/>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98"/>
        <w:gridCol w:w="1739"/>
        <w:gridCol w:w="6783"/>
      </w:tblGrid>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blHeader/>
          <w:jc w:val="center"/>
        </w:trPr>
        <w:tc>
          <w:tcPr>
            <w:tcW w:w="93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bCs/>
                <w:color w:val="auto"/>
                <w:sz w:val="21"/>
                <w:szCs w:val="21"/>
              </w:rPr>
            </w:pPr>
            <w:r>
              <w:rPr>
                <w:rFonts w:hint="eastAsia" w:ascii="宋体" w:hAnsi="宋体" w:eastAsia="宋体" w:cs="宋体"/>
                <w:b/>
                <w:bCs/>
                <w:color w:val="auto"/>
                <w:sz w:val="21"/>
                <w:szCs w:val="21"/>
              </w:rPr>
              <w:t>保洁人员工作时间表</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571" w:hRule="atLeast"/>
          <w:tblHeader/>
          <w:jc w:val="center"/>
        </w:trPr>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bCs/>
                <w:color w:val="auto"/>
                <w:sz w:val="21"/>
                <w:szCs w:val="21"/>
              </w:rPr>
            </w:pPr>
            <w:r>
              <w:rPr>
                <w:rFonts w:hint="eastAsia" w:ascii="宋体" w:hAnsi="宋体" w:eastAsia="宋体" w:cs="宋体"/>
                <w:b/>
                <w:bCs/>
                <w:color w:val="auto"/>
                <w:sz w:val="21"/>
                <w:szCs w:val="21"/>
              </w:rPr>
              <w:t>序号</w:t>
            </w:r>
          </w:p>
        </w:tc>
        <w:tc>
          <w:tcPr>
            <w:tcW w:w="1739"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bCs/>
                <w:color w:val="auto"/>
                <w:sz w:val="21"/>
                <w:szCs w:val="21"/>
              </w:rPr>
            </w:pPr>
            <w:r>
              <w:rPr>
                <w:rFonts w:hint="eastAsia" w:ascii="宋体" w:hAnsi="宋体" w:eastAsia="宋体" w:cs="宋体"/>
                <w:b/>
                <w:bCs/>
                <w:color w:val="auto"/>
                <w:sz w:val="21"/>
                <w:szCs w:val="21"/>
              </w:rPr>
              <w:t>工作场地</w:t>
            </w:r>
          </w:p>
        </w:tc>
        <w:tc>
          <w:tcPr>
            <w:tcW w:w="678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b/>
                <w:bCs/>
                <w:color w:val="auto"/>
                <w:sz w:val="21"/>
                <w:szCs w:val="21"/>
              </w:rPr>
            </w:pPr>
            <w:r>
              <w:rPr>
                <w:rFonts w:hint="eastAsia" w:ascii="宋体" w:hAnsi="宋体" w:eastAsia="宋体" w:cs="宋体"/>
                <w:b/>
                <w:bCs/>
                <w:color w:val="auto"/>
                <w:sz w:val="21"/>
                <w:szCs w:val="21"/>
              </w:rPr>
              <w:t>工作时间安排及主要工作检查</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cantSplit/>
          <w:trHeight w:val="627" w:hRule="atLeast"/>
          <w:jc w:val="center"/>
        </w:trPr>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w:t>
            </w:r>
          </w:p>
        </w:tc>
        <w:tc>
          <w:tcPr>
            <w:tcW w:w="1739" w:type="dxa"/>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停车场、管理用房</w:t>
            </w:r>
          </w:p>
        </w:tc>
        <w:tc>
          <w:tcPr>
            <w:tcW w:w="678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07：30～17：30（08：30前完成首次保洁工作，14：30-17：30完成二次保洁工作）</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576" w:hRule="atLeast"/>
          <w:jc w:val="center"/>
        </w:trPr>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w:t>
            </w:r>
          </w:p>
        </w:tc>
        <w:tc>
          <w:tcPr>
            <w:tcW w:w="1739" w:type="dxa"/>
            <w:tcBorders>
              <w:left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center"/>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公厕管理</w:t>
            </w:r>
          </w:p>
        </w:tc>
        <w:tc>
          <w:tcPr>
            <w:tcW w:w="6783"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8：00-20：00（时间段有人值守打扫）</w:t>
            </w:r>
          </w:p>
        </w:tc>
      </w:tr>
      <w:tr>
        <w:tblPrEx>
          <w:tblBorders>
            <w:top w:val="thinThickSmallGap" w:color="auto" w:sz="12" w:space="0"/>
            <w:left w:val="thinThickSmallGap" w:color="auto" w:sz="12" w:space="0"/>
            <w:bottom w:val="thickThinSmallGap" w:color="auto" w:sz="12" w:space="0"/>
            <w:right w:val="thickThinSmallGap" w:color="auto" w:sz="12" w:space="0"/>
            <w:insideH w:val="single" w:color="auto" w:sz="6" w:space="0"/>
            <w:insideV w:val="single" w:color="auto" w:sz="6" w:space="0"/>
          </w:tblBorders>
          <w:tblCellMar>
            <w:top w:w="0" w:type="dxa"/>
            <w:left w:w="108" w:type="dxa"/>
            <w:bottom w:w="0" w:type="dxa"/>
            <w:right w:w="108" w:type="dxa"/>
          </w:tblCellMar>
        </w:tblPrEx>
        <w:trPr>
          <w:trHeight w:val="576" w:hRule="atLeast"/>
          <w:jc w:val="center"/>
        </w:trPr>
        <w:tc>
          <w:tcPr>
            <w:tcW w:w="9320"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autoSpaceDE/>
              <w:autoSpaceDN/>
              <w:bidi w:val="0"/>
              <w:adjustRightInd/>
              <w:snapToGrid/>
              <w:spacing w:line="440" w:lineRule="exac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备注：</w:t>
            </w:r>
          </w:p>
          <w:p>
            <w:pPr>
              <w:keepNext w:val="0"/>
              <w:keepLines w:val="0"/>
              <w:pageBreakBefore w:val="0"/>
              <w:kinsoku/>
              <w:wordWrap/>
              <w:overflowPunct/>
              <w:topLinePunct w:val="0"/>
              <w:autoSpaceDE/>
              <w:autoSpaceDN/>
              <w:bidi w:val="0"/>
              <w:adjustRightInd/>
              <w:snapToGrid/>
              <w:spacing w:line="440" w:lineRule="exact"/>
              <w:jc w:val="left"/>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重大节假日、重大活动时或突击任务时根据实际要求灵活调配工作时间，不另行支付费用。</w:t>
            </w:r>
          </w:p>
        </w:tc>
      </w:tr>
    </w:tbl>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2.确保每天至少有1名</w:t>
      </w:r>
      <w:r>
        <w:rPr>
          <w:rFonts w:hint="eastAsia" w:ascii="宋体" w:hAnsi="宋体" w:cs="宋体"/>
          <w:color w:val="auto"/>
          <w:sz w:val="21"/>
          <w:szCs w:val="21"/>
          <w:lang w:val="en-US" w:eastAsia="zh-CN"/>
        </w:rPr>
        <w:t>现场项目</w:t>
      </w:r>
      <w:r>
        <w:rPr>
          <w:rFonts w:hint="eastAsia" w:ascii="宋体" w:hAnsi="宋体" w:eastAsia="宋体" w:cs="宋体"/>
          <w:color w:val="auto"/>
          <w:sz w:val="21"/>
          <w:szCs w:val="21"/>
        </w:rPr>
        <w:t>管理人员在岗，工作时间为：8:00-17:30，如遇特殊情况中标方应安排其他人员及时到岗组织做好各项工作。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3.具体工作时间可根据现场实际情况适当调整,特殊情况中标方根据现场实际需要调整时间，须经招标方研究同意。</w:t>
      </w:r>
      <w:bookmarkEnd w:id="85"/>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（三）服务内容要求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负责区域内卫生保洁工作，包括：各停车场、管理用房、公厕公共区域的地面、门窗、卫生间、通道、公共设施（设备、广告牌、不锈钢制品等）以及出入口与市政环卫交界处的日常卫生保洁、清洗、和垃圾处理等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2.负责区域内的除“四害”工作。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3.负责区域内化粪池、沉水井、明渠、水渠的疏通和清淤工作（日常问题随时处理）。</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4.负责区域内卫生间设备设施日常管理及保洁工作。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5.负责区域内乱张贴广告等不文明行为，并及时清除。</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6.负责区域内的垃圾清运工作。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7.负责根据相关要求做好区域内消毒工作 。</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8.负责区域内杂草清理工作（至少每季度1次）。</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bookmarkStart w:id="86" w:name="_Toc26218"/>
      <w:bookmarkStart w:id="87" w:name="_Toc26649"/>
      <w:bookmarkStart w:id="88" w:name="_Toc17654"/>
      <w:bookmarkStart w:id="89" w:name="_Toc488"/>
      <w:bookmarkStart w:id="90" w:name="_Toc2495"/>
      <w:bookmarkStart w:id="91" w:name="_Toc28277"/>
      <w:r>
        <w:rPr>
          <w:rFonts w:hint="eastAsia" w:ascii="宋体" w:hAnsi="宋体" w:eastAsia="宋体" w:cs="宋体"/>
          <w:color w:val="auto"/>
          <w:sz w:val="21"/>
          <w:szCs w:val="21"/>
        </w:rPr>
        <w:t>9.负责按招标人环境管理体系要求，做好垃圾分类、危废品处置、节能降耗等相关工作。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10.负责区域内如有绿化遮挡或者影响车辆通行等，中标人根据招标人要求对绿化无偿修剪。</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10.其它按性质应纳入保洁服务的工作。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（四）服务标准及质量</w:t>
      </w:r>
      <w:bookmarkEnd w:id="86"/>
      <w:bookmarkEnd w:id="87"/>
      <w:bookmarkEnd w:id="88"/>
      <w:bookmarkEnd w:id="89"/>
      <w:bookmarkEnd w:id="90"/>
      <w:bookmarkEnd w:id="91"/>
      <w:r>
        <w:rPr>
          <w:rFonts w:hint="eastAsia" w:ascii="宋体" w:hAnsi="宋体" w:eastAsia="宋体" w:cs="宋体"/>
          <w:color w:val="auto"/>
          <w:sz w:val="21"/>
          <w:szCs w:val="21"/>
        </w:rPr>
        <w:t>要求</w:t>
      </w:r>
    </w:p>
    <w:p>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eastAsia" w:ascii="宋体" w:hAnsi="宋体" w:eastAsia="宋体" w:cs="宋体"/>
          <w:b/>
          <w:bCs/>
          <w:color w:val="auto"/>
          <w:sz w:val="21"/>
          <w:szCs w:val="21"/>
        </w:rPr>
      </w:pPr>
      <w:r>
        <w:rPr>
          <w:rFonts w:hint="eastAsia" w:ascii="宋体" w:hAnsi="宋体" w:eastAsia="宋体" w:cs="宋体"/>
          <w:b/>
          <w:bCs/>
          <w:color w:val="auto"/>
          <w:sz w:val="21"/>
          <w:szCs w:val="21"/>
        </w:rPr>
        <w:t>1.</w:t>
      </w:r>
      <w:bookmarkStart w:id="92" w:name="_Toc358883012"/>
      <w:r>
        <w:rPr>
          <w:rFonts w:hint="eastAsia" w:ascii="宋体" w:hAnsi="宋体" w:eastAsia="宋体" w:cs="宋体"/>
          <w:b/>
          <w:bCs/>
          <w:color w:val="auto"/>
          <w:sz w:val="21"/>
          <w:szCs w:val="21"/>
        </w:rPr>
        <w:t>区域内保洁标准</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（1）停车场道路：无杂物、无明显灰尘;无垃圾、无尘土、无积水、无杂草;</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（2）管理用房：无垃圾、无明显灰尘、地板光亮、明洁，走廊扶手无积尘;</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（3）公厕：无杂物、无积水、无明显灰尘; 地板光亮、明洁，马桶或蹲坑、水池整洁无污物；</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（4）垃圾收集：定期收集，清运垃圾，保持垃圾收集点四周干净，无明显异味;</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（5）其他公共设施：无污物、水渍、无明显灰尘。</w:t>
      </w:r>
      <w:bookmarkEnd w:id="92"/>
      <w:bookmarkStart w:id="93" w:name="_Toc358883014"/>
    </w:p>
    <w:bookmarkEnd w:id="93"/>
    <w:p>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eastAsia" w:ascii="宋体" w:hAnsi="宋体" w:eastAsia="宋体" w:cs="宋体"/>
          <w:color w:val="auto"/>
          <w:sz w:val="21"/>
          <w:szCs w:val="21"/>
        </w:rPr>
      </w:pPr>
      <w:bookmarkStart w:id="94" w:name="_Toc358883015"/>
      <w:r>
        <w:rPr>
          <w:rFonts w:hint="eastAsia" w:ascii="宋体" w:hAnsi="宋体" w:eastAsia="宋体" w:cs="宋体"/>
          <w:b/>
          <w:bCs/>
          <w:color w:val="auto"/>
          <w:sz w:val="21"/>
          <w:szCs w:val="21"/>
        </w:rPr>
        <w:t xml:space="preserve"> </w:t>
      </w:r>
      <w:bookmarkEnd w:id="94"/>
      <w:bookmarkStart w:id="95" w:name="_Toc358883013"/>
      <w:bookmarkStart w:id="96" w:name="_Toc17294"/>
      <w:bookmarkStart w:id="97" w:name="_Toc360736706"/>
      <w:bookmarkStart w:id="98" w:name="_Toc17542_WPSOffice_Level3"/>
      <w:bookmarkStart w:id="99" w:name="_Toc362505933"/>
      <w:r>
        <w:rPr>
          <w:rFonts w:hint="eastAsia" w:ascii="宋体" w:hAnsi="宋体" w:eastAsia="宋体" w:cs="宋体"/>
          <w:b/>
          <w:bCs/>
          <w:color w:val="auto"/>
          <w:sz w:val="21"/>
          <w:szCs w:val="21"/>
        </w:rPr>
        <w:t>2.保洁质量工作定量</w:t>
      </w:r>
      <w:bookmarkEnd w:id="95"/>
      <w:bookmarkEnd w:id="96"/>
      <w:bookmarkEnd w:id="97"/>
      <w:bookmarkEnd w:id="98"/>
      <w:bookmarkEnd w:id="99"/>
      <w:r>
        <w:rPr>
          <w:rFonts w:hint="eastAsia" w:ascii="宋体" w:hAnsi="宋体" w:eastAsia="宋体" w:cs="宋体"/>
          <w:b/>
          <w:bCs/>
          <w:color w:val="auto"/>
          <w:sz w:val="21"/>
          <w:szCs w:val="21"/>
        </w:rPr>
        <w:t>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 xml:space="preserve"> （1）道闸设备：每天清抹二次；</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 xml:space="preserve"> （2）垃圾箱：每天清理二次，每周用清洁剂彻底清洗、消毒一次；</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（3）停车场道路：每天不少于2次巡扫；</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（4）垃圾清运：每天按指定时间收集，运往垃圾场；</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（五）安全管理要求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1.按照招标方安全管理的有关要求和相关规定执行。</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2.上岗的保洁员需进行岗前安全培训。日常积极参加工作中组织</w:t>
      </w:r>
      <w:r>
        <w:rPr>
          <w:rFonts w:hint="eastAsia" w:ascii="宋体" w:hAnsi="宋体" w:eastAsia="宋体" w:cs="宋体"/>
          <w:color w:val="auto"/>
          <w:spacing w:val="-6"/>
          <w:sz w:val="21"/>
          <w:szCs w:val="21"/>
        </w:rPr>
        <w:t>的交接班会、安全培训和应急演练，并认真按照相关要求落实安全工作。</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3.保洁员应把安全工作放在首位，若因违章作业而造成的后果，由其自行负责。</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4.保洁工具实行定置管理、谁使用谁保管，用时放在安全位置，用后摆放在固定位置。</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5.保洁作业时严格按规定操作相关设备，并保证设备状态良好，严禁乱拉乱接电线。</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6.进行2米及以上高空保洁作业时，需先搭建脚手架或采取防止坠落措施，必须双人上岗，一人作业一人防护，防止发生人身伤害事故，无安全防护措施不得进行高空作业。</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7.各场点范围内严禁摆放危险品（易燃、易爆），保洁不得使用和存放易燃、易爆物品。</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（六）其他管理要求</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1.中标方每月组织保洁人员进行培训，培训内容参照岗前培训内容进行。</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2.中标方定期开展各类预案的培训和演练，提高保洁人员突发事件应对能力。</w:t>
      </w:r>
    </w:p>
    <w:p>
      <w:pPr>
        <w:keepNext w:val="0"/>
        <w:keepLines w:val="0"/>
        <w:pageBreakBefore w:val="0"/>
        <w:kinsoku/>
        <w:wordWrap/>
        <w:overflowPunct/>
        <w:topLinePunct w:val="0"/>
        <w:autoSpaceDE/>
        <w:autoSpaceDN/>
        <w:bidi w:val="0"/>
        <w:adjustRightInd/>
        <w:snapToGrid/>
        <w:spacing w:line="440" w:lineRule="exact"/>
        <w:ind w:firstLine="396" w:firstLineChars="200"/>
        <w:textAlignment w:val="baseline"/>
        <w:rPr>
          <w:rFonts w:hint="eastAsia" w:ascii="宋体" w:hAnsi="宋体" w:eastAsia="宋体" w:cs="宋体"/>
          <w:color w:val="auto"/>
          <w:spacing w:val="-6"/>
          <w:sz w:val="21"/>
          <w:szCs w:val="21"/>
        </w:rPr>
      </w:pPr>
      <w:r>
        <w:rPr>
          <w:rFonts w:hint="eastAsia" w:ascii="宋体" w:hAnsi="宋体" w:eastAsia="宋体" w:cs="宋体"/>
          <w:color w:val="auto"/>
          <w:spacing w:val="-6"/>
          <w:sz w:val="21"/>
          <w:szCs w:val="21"/>
        </w:rPr>
        <w:t>3.中标方须根据保洁实际情况建立一套完善、全面的保洁管理制度。</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bookmarkStart w:id="100" w:name="_Toc391026951"/>
      <w:bookmarkStart w:id="101" w:name="_Toc17287"/>
      <w:r>
        <w:rPr>
          <w:rFonts w:hint="eastAsia" w:ascii="宋体" w:hAnsi="宋体" w:eastAsia="宋体" w:cs="宋体"/>
          <w:color w:val="auto"/>
          <w:sz w:val="21"/>
          <w:szCs w:val="21"/>
        </w:rPr>
        <w:t>4.保洁人员当班期间按规定着制式工装、并配备相应保洁工具及设备，仪容仪表须符合规范要求。</w:t>
      </w:r>
    </w:p>
    <w:bookmarkEnd w:id="100"/>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5.遵守招标方有关现场具体的保洁管理规定和日常管理工作要求，并完成招标方交办的其他工作任务。</w:t>
      </w:r>
      <w:bookmarkEnd w:id="101"/>
    </w:p>
    <w:p>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82" w:firstLineChars="200"/>
        <w:textAlignment w:val="baseline"/>
        <w:rPr>
          <w:rFonts w:hint="eastAsia" w:ascii="宋体" w:hAnsi="宋体" w:eastAsia="宋体" w:cs="宋体"/>
          <w:b/>
          <w:bCs/>
          <w:color w:val="auto"/>
          <w:sz w:val="24"/>
          <w:szCs w:val="24"/>
        </w:rPr>
      </w:pPr>
      <w:r>
        <w:rPr>
          <w:rFonts w:hint="eastAsia" w:ascii="宋体" w:hAnsi="宋体" w:eastAsia="宋体" w:cs="宋体"/>
          <w:b/>
          <w:bCs/>
          <w:color w:val="auto"/>
          <w:sz w:val="24"/>
          <w:szCs w:val="24"/>
        </w:rPr>
        <w:t>四、检查考核</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项目考核每月进行一次，根据《保洁工作考核细则》进行考核。因中标方原因造成设备故障、客伤、招标方或第三方财产或人身损害的，除负责赔偿责任外，还需向招标方赔付由招标方依据安全事故的性质、受伤人员数量、受伤害的程度、招标方的名誉、形象受损的范围和程度等确定的金额，并承担招标方因此产生的诉讼费、律师费等一切费用及承担相关法律责任。</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bookmarkStart w:id="102" w:name="_Toc19054_WPSOffice_Level2"/>
      <w:bookmarkStart w:id="103" w:name="_Toc29835"/>
      <w:bookmarkStart w:id="104" w:name="_Toc31914"/>
      <w:bookmarkStart w:id="105" w:name="_Toc11585_WPSOffice_Level2"/>
      <w:bookmarkStart w:id="106" w:name="_Toc22090"/>
      <w:bookmarkStart w:id="107" w:name="_Toc14937"/>
      <w:r>
        <w:rPr>
          <w:rFonts w:hint="eastAsia" w:ascii="宋体" w:hAnsi="宋体" w:eastAsia="宋体" w:cs="宋体"/>
          <w:color w:val="auto"/>
          <w:sz w:val="21"/>
          <w:szCs w:val="21"/>
        </w:rPr>
        <w:t>（一）</w:t>
      </w:r>
      <w:bookmarkEnd w:id="102"/>
      <w:bookmarkEnd w:id="103"/>
      <w:bookmarkEnd w:id="104"/>
      <w:bookmarkEnd w:id="105"/>
      <w:bookmarkEnd w:id="106"/>
      <w:bookmarkEnd w:id="107"/>
      <w:r>
        <w:rPr>
          <w:rFonts w:hint="eastAsia" w:ascii="宋体" w:hAnsi="宋体" w:eastAsia="宋体" w:cs="宋体"/>
          <w:color w:val="auto"/>
          <w:sz w:val="21"/>
          <w:szCs w:val="21"/>
        </w:rPr>
        <w:t>考核方式</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1、采取日常检查（定期检查、不定期检查、专项检查）。保洁工作考核内容及标准见《保洁工作考核细则》（附件1） 。相关制度如有增加、更新、修改，则按最新要求执行。</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2、招标方根据用户需求书中有关条款、合同规定的服务范围、内容以及合同附件和《保洁工作考核细则》 ，结合中标方投标文件中响应和承诺的内容，对中标方履职尽责情况进行考核。对检查中发现的不合格项下发《整改通知书》（附件2）。对于整改不到位或造成严重影响的情形，招标方根据实际情况将加重处罚。</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3、中标方一个月内连续2次经下发《整改通知书》后整改不到位或一个季度内累计5次经下发《整改通知书》后整改不到位的，招标方有权单方面终止合同,所有责任及后果均由中标方承担。</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4、因中标方严重违约，导致招标方重大经济损失和造成严重影响的，招标方可单方面终止合同，并由中标方承担一切后果及责任，且不允许再参与招标方今后的所有保洁服务招标项目。</w:t>
      </w:r>
    </w:p>
    <w:p>
      <w:pPr>
        <w:keepNext w:val="0"/>
        <w:keepLines w:val="0"/>
        <w:pageBreakBefore w:val="0"/>
        <w:widowControl w:val="0"/>
        <w:kinsoku/>
        <w:wordWrap/>
        <w:overflowPunct/>
        <w:topLinePunct w:val="0"/>
        <w:autoSpaceDE/>
        <w:autoSpaceDN/>
        <w:bidi w:val="0"/>
        <w:adjustRightInd/>
        <w:snapToGrid/>
        <w:spacing w:before="95" w:beforeLines="30" w:after="95" w:afterLines="30" w:line="440" w:lineRule="exact"/>
        <w:ind w:firstLine="482" w:firstLineChars="200"/>
        <w:textAlignment w:val="baseline"/>
        <w:rPr>
          <w:rFonts w:hint="eastAsia" w:ascii="宋体" w:hAnsi="宋体" w:eastAsia="宋体" w:cs="宋体"/>
          <w:b/>
          <w:bCs/>
          <w:color w:val="auto"/>
          <w:sz w:val="24"/>
          <w:szCs w:val="24"/>
        </w:rPr>
      </w:pPr>
      <w:bookmarkStart w:id="108" w:name="_Toc227423936"/>
      <w:bookmarkStart w:id="109" w:name="_Toc367274928"/>
      <w:bookmarkStart w:id="110" w:name="_Toc360736712"/>
      <w:r>
        <w:rPr>
          <w:rFonts w:hint="eastAsia" w:ascii="宋体" w:hAnsi="宋体" w:eastAsia="宋体" w:cs="宋体"/>
          <w:b/>
          <w:bCs/>
          <w:color w:val="auto"/>
          <w:sz w:val="24"/>
          <w:szCs w:val="24"/>
        </w:rPr>
        <w:t>五、其他说明</w:t>
      </w:r>
      <w:bookmarkEnd w:id="108"/>
      <w:bookmarkEnd w:id="109"/>
      <w:bookmarkEnd w:id="110"/>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1.投标方在投标前，如须踏勘现场，有关费用自理，踏勘期间发生的意外自负。</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2.投标方应根据项目要求和现场情况，详细列明项目所需的各项费用，包含在服务实施中应缴纳的税费、管理费、保险费、培训、人工（含岗位轮休）、财务、食宿、服装、装备、设备、材料、工器具、耗材等一切与该项目管理有关的费用。投标方在投标报价时，必须考虑自带设备、材料及工器具进场服务。并考虑项目实施过程中，如遇节假日、重大活动、临时检查突击作业等增加的服务成本。招标方不增加费用，投标方须保证合同实施过程中保洁服务质量符合招标文件及合同的要求。如一旦中标，在项目实施中出现任何遗漏，均由中标方免费提供，招标方不再支付任何费用。</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3.中标方应按照招标方的规范要求，做好日常管理，设施设备自行配置。</w:t>
      </w:r>
    </w:p>
    <w:p>
      <w:pPr>
        <w:keepNext w:val="0"/>
        <w:keepLines w:val="0"/>
        <w:pageBreakBefore w:val="0"/>
        <w:kinsoku/>
        <w:wordWrap/>
        <w:overflowPunct/>
        <w:topLinePunct w:val="0"/>
        <w:autoSpaceDE/>
        <w:autoSpaceDN/>
        <w:bidi w:val="0"/>
        <w:adjustRightInd/>
        <w:snapToGrid/>
        <w:spacing w:line="440" w:lineRule="exact"/>
        <w:ind w:firstLine="210" w:firstLineChars="1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w:t>
      </w:r>
      <w:r>
        <w:rPr>
          <w:rFonts w:hint="eastAsia" w:ascii="宋体" w:hAnsi="宋体" w:eastAsia="宋体" w:cs="宋体"/>
          <w:color w:val="auto"/>
          <w:sz w:val="21"/>
          <w:szCs w:val="21"/>
          <w:u w:val="single"/>
        </w:rPr>
        <w:t>4.在合同实施过程中，招标方有权根据现场实际工作需要、以及中标方工作实际情况对其服务工作范围、服务区域、服务内容进行适当调整（包括增加和减少），</w:t>
      </w:r>
      <w:r>
        <w:rPr>
          <w:rFonts w:hint="eastAsia" w:ascii="宋体" w:hAnsi="宋体" w:eastAsia="宋体" w:cs="宋体"/>
          <w:color w:val="auto"/>
          <w:sz w:val="21"/>
          <w:szCs w:val="21"/>
          <w:highlight w:val="none"/>
          <w:u w:val="single"/>
        </w:rPr>
        <w:t>服务费相应予以调整</w:t>
      </w:r>
      <w:r>
        <w:rPr>
          <w:rFonts w:hint="eastAsia" w:ascii="宋体" w:hAnsi="宋体" w:cs="宋体"/>
          <w:color w:val="auto"/>
          <w:sz w:val="21"/>
          <w:szCs w:val="21"/>
          <w:highlight w:val="none"/>
          <w:u w:val="single"/>
          <w:lang w:eastAsia="zh-CN"/>
        </w:rPr>
        <w:t>（</w:t>
      </w:r>
      <w:r>
        <w:rPr>
          <w:rFonts w:hint="eastAsia" w:ascii="宋体" w:hAnsi="宋体" w:cs="宋体"/>
          <w:color w:val="auto"/>
          <w:sz w:val="21"/>
          <w:szCs w:val="21"/>
          <w:highlight w:val="none"/>
          <w:u w:val="single"/>
          <w:lang w:val="en-US" w:eastAsia="zh-CN"/>
        </w:rPr>
        <w:t>具体按照（中标价/2657*12）元/泊位·月的标准进行调整，费用中包含管理用房和公厕的保洁服务费用，不再单独增加费用）</w:t>
      </w:r>
      <w:r>
        <w:rPr>
          <w:rFonts w:hint="eastAsia" w:ascii="宋体" w:hAnsi="宋体" w:eastAsia="宋体" w:cs="宋体"/>
          <w:color w:val="auto"/>
          <w:sz w:val="21"/>
          <w:szCs w:val="21"/>
          <w:highlight w:val="none"/>
          <w:u w:val="single"/>
        </w:rPr>
        <w:t>，以</w:t>
      </w:r>
      <w:r>
        <w:rPr>
          <w:rFonts w:hint="eastAsia" w:ascii="宋体" w:hAnsi="宋体" w:eastAsia="宋体" w:cs="宋体"/>
          <w:color w:val="auto"/>
          <w:sz w:val="21"/>
          <w:szCs w:val="21"/>
          <w:u w:val="single"/>
        </w:rPr>
        <w:t>招标方的书面通知为准（提前至少半个月发书面通知）。中标方须无条件服从招标方的调整安排。</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5.中标方在提供服务期间，应严格按照国家《劳动法》、《劳动合同法》、《工资支付暂行规定》等有关法律法规规定，合法用工和经营，并全面保障保洁人员的劳动权益。</w:t>
      </w:r>
    </w:p>
    <w:p>
      <w:pPr>
        <w:keepNext w:val="0"/>
        <w:keepLines w:val="0"/>
        <w:pageBreakBefore w:val="0"/>
        <w:kinsoku/>
        <w:wordWrap/>
        <w:overflowPunct/>
        <w:topLinePunct w:val="0"/>
        <w:autoSpaceDE/>
        <w:autoSpaceDN/>
        <w:bidi w:val="0"/>
        <w:adjustRightInd/>
        <w:snapToGrid/>
        <w:spacing w:line="440" w:lineRule="exact"/>
        <w:ind w:firstLine="420" w:firstLineChars="200"/>
        <w:textAlignment w:val="baseline"/>
        <w:rPr>
          <w:rFonts w:hint="eastAsia" w:ascii="宋体" w:hAnsi="宋体" w:eastAsia="宋体" w:cs="宋体"/>
          <w:color w:val="auto"/>
          <w:sz w:val="21"/>
          <w:szCs w:val="21"/>
        </w:rPr>
      </w:pPr>
      <w:r>
        <w:rPr>
          <w:rFonts w:hint="eastAsia" w:ascii="宋体" w:hAnsi="宋体" w:eastAsia="宋体" w:cs="宋体"/>
          <w:color w:val="auto"/>
          <w:sz w:val="21"/>
          <w:szCs w:val="21"/>
        </w:rPr>
        <w:t>6.中标方单位内部发生人员劳动纠纷、工伤及其他人员安全意外等情况，均由中标方自行负责，招标方概不负责。</w:t>
      </w:r>
    </w:p>
    <w:p>
      <w:pPr>
        <w:keepNext w:val="0"/>
        <w:keepLines w:val="0"/>
        <w:pageBreakBefore w:val="0"/>
        <w:kinsoku/>
        <w:wordWrap/>
        <w:overflowPunct/>
        <w:topLinePunct w:val="0"/>
        <w:autoSpaceDE/>
        <w:autoSpaceDN/>
        <w:bidi w:val="0"/>
        <w:adjustRightInd/>
        <w:snapToGrid/>
        <w:spacing w:line="440" w:lineRule="exact"/>
        <w:ind w:firstLine="422" w:firstLineChars="200"/>
        <w:textAlignment w:val="baseline"/>
        <w:rPr>
          <w:rFonts w:hint="eastAsia" w:ascii="宋体" w:hAnsi="宋体" w:eastAsia="宋体" w:cs="宋体"/>
          <w:b/>
          <w:bCs/>
          <w:color w:val="auto"/>
          <w:sz w:val="21"/>
          <w:szCs w:val="21"/>
        </w:rPr>
      </w:pPr>
      <w:r>
        <w:rPr>
          <w:rFonts w:hint="eastAsia" w:ascii="宋体" w:hAnsi="宋体" w:eastAsia="宋体" w:cs="宋体"/>
          <w:b/>
          <w:bCs/>
          <w:color w:val="auto"/>
          <w:sz w:val="21"/>
          <w:szCs w:val="21"/>
        </w:rPr>
        <w:t>7.对于上述项目要求，投标方应在投标文件中进行回应，作出承诺及说明。</w:t>
      </w:r>
    </w:p>
    <w:p>
      <w:pPr>
        <w:spacing w:line="360" w:lineRule="auto"/>
        <w:textAlignment w:val="baseline"/>
        <w:rPr>
          <w:rFonts w:ascii="宋体" w:hAnsi="宋体" w:cs="宋体"/>
          <w:color w:val="auto"/>
          <w:sz w:val="30"/>
          <w:szCs w:val="30"/>
        </w:rPr>
      </w:pPr>
      <w:bookmarkStart w:id="111" w:name="_Toc27322"/>
      <w:bookmarkStart w:id="112" w:name="_Toc11143_WPSOffice_Level2"/>
      <w:bookmarkStart w:id="113" w:name="_Toc19246_WPSOffice_Level2"/>
    </w:p>
    <w:p>
      <w:pPr>
        <w:spacing w:line="360" w:lineRule="auto"/>
        <w:textAlignment w:val="baseline"/>
        <w:rPr>
          <w:rFonts w:ascii="宋体" w:hAnsi="宋体" w:cs="宋体"/>
          <w:color w:val="auto"/>
          <w:sz w:val="30"/>
          <w:szCs w:val="30"/>
        </w:rPr>
      </w:pPr>
    </w:p>
    <w:p>
      <w:pPr>
        <w:spacing w:line="360" w:lineRule="auto"/>
        <w:textAlignment w:val="baseline"/>
        <w:rPr>
          <w:rFonts w:ascii="宋体" w:hAnsi="宋体" w:cs="宋体"/>
          <w:color w:val="auto"/>
          <w:sz w:val="30"/>
          <w:szCs w:val="30"/>
        </w:rPr>
      </w:pPr>
    </w:p>
    <w:p>
      <w:pPr>
        <w:rPr>
          <w:rFonts w:hint="eastAsia" w:ascii="仿宋" w:hAnsi="仿宋" w:eastAsia="仿宋" w:cs="仿宋"/>
          <w:color w:val="auto"/>
          <w:sz w:val="30"/>
          <w:szCs w:val="30"/>
        </w:rPr>
      </w:pPr>
      <w:r>
        <w:rPr>
          <w:rFonts w:hint="eastAsia" w:ascii="仿宋" w:hAnsi="仿宋" w:eastAsia="仿宋" w:cs="仿宋"/>
          <w:color w:val="auto"/>
          <w:sz w:val="30"/>
          <w:szCs w:val="30"/>
        </w:rPr>
        <w:br w:type="page"/>
      </w:r>
    </w:p>
    <w:p>
      <w:pPr>
        <w:spacing w:line="360" w:lineRule="auto"/>
        <w:textAlignment w:val="baseline"/>
        <w:rPr>
          <w:rFonts w:ascii="仿宋" w:hAnsi="仿宋" w:eastAsia="仿宋" w:cs="仿宋"/>
          <w:color w:val="auto"/>
          <w:sz w:val="30"/>
          <w:szCs w:val="30"/>
        </w:rPr>
      </w:pPr>
      <w:r>
        <w:rPr>
          <w:rFonts w:hint="eastAsia" w:ascii="仿宋" w:hAnsi="仿宋" w:eastAsia="仿宋" w:cs="仿宋"/>
          <w:color w:val="auto"/>
          <w:sz w:val="30"/>
          <w:szCs w:val="30"/>
        </w:rPr>
        <w:t>附件1</w:t>
      </w:r>
    </w:p>
    <w:p>
      <w:pPr>
        <w:spacing w:line="360" w:lineRule="auto"/>
        <w:jc w:val="center"/>
        <w:textAlignment w:val="baseline"/>
        <w:rPr>
          <w:rFonts w:ascii="黑体" w:hAnsi="黑体" w:eastAsia="黑体" w:cs="黑体"/>
          <w:color w:val="auto"/>
          <w:sz w:val="36"/>
          <w:szCs w:val="36"/>
        </w:rPr>
      </w:pPr>
      <w:r>
        <w:rPr>
          <w:rFonts w:hint="eastAsia" w:ascii="黑体" w:hAnsi="黑体" w:eastAsia="黑体" w:cs="黑体"/>
          <w:color w:val="auto"/>
          <w:sz w:val="36"/>
          <w:szCs w:val="36"/>
        </w:rPr>
        <w:t>保洁工作考核细则</w:t>
      </w:r>
      <w:bookmarkEnd w:id="111"/>
      <w:bookmarkEnd w:id="112"/>
      <w:bookmarkEnd w:id="113"/>
    </w:p>
    <w:tbl>
      <w:tblPr>
        <w:tblStyle w:val="34"/>
        <w:tblpPr w:leftFromText="180" w:rightFromText="180" w:vertAnchor="text" w:horzAnchor="page" w:tblpX="1287" w:tblpY="302"/>
        <w:tblOverlap w:val="never"/>
        <w:tblW w:w="929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639"/>
        <w:gridCol w:w="4883"/>
        <w:gridCol w:w="2070"/>
        <w:gridCol w:w="17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vMerge w:val="restart"/>
            <w:shd w:val="clear" w:color="auto" w:fill="auto"/>
            <w:tcMar>
              <w:top w:w="15" w:type="dxa"/>
              <w:left w:w="15" w:type="dxa"/>
              <w:right w:w="15" w:type="dxa"/>
            </w:tcMar>
            <w:vAlign w:val="center"/>
          </w:tcPr>
          <w:p>
            <w:pPr>
              <w:widowControl/>
              <w:jc w:val="center"/>
              <w:textAlignment w:val="center"/>
              <w:rPr>
                <w:rFonts w:ascii="仿宋" w:hAnsi="仿宋" w:eastAsia="仿宋" w:cs="仿宋"/>
                <w:b/>
                <w:color w:val="auto"/>
                <w:kern w:val="0"/>
                <w:sz w:val="24"/>
              </w:rPr>
            </w:pPr>
            <w:r>
              <w:rPr>
                <w:rFonts w:hint="eastAsia" w:ascii="仿宋" w:hAnsi="仿宋" w:eastAsia="仿宋" w:cs="仿宋"/>
                <w:b/>
                <w:color w:val="auto"/>
                <w:kern w:val="0"/>
                <w:sz w:val="24"/>
              </w:rPr>
              <w:t>序号</w:t>
            </w:r>
          </w:p>
        </w:tc>
        <w:tc>
          <w:tcPr>
            <w:tcW w:w="4883" w:type="dxa"/>
            <w:vMerge w:val="restart"/>
            <w:shd w:val="clear" w:color="auto" w:fill="auto"/>
            <w:tcMar>
              <w:top w:w="15" w:type="dxa"/>
              <w:left w:w="15" w:type="dxa"/>
              <w:right w:w="15" w:type="dxa"/>
            </w:tcMar>
            <w:vAlign w:val="center"/>
          </w:tcPr>
          <w:p>
            <w:pPr>
              <w:widowControl/>
              <w:jc w:val="center"/>
              <w:textAlignment w:val="center"/>
              <w:rPr>
                <w:rFonts w:ascii="仿宋" w:hAnsi="仿宋" w:eastAsia="仿宋" w:cs="仿宋"/>
                <w:b/>
                <w:color w:val="auto"/>
                <w:kern w:val="0"/>
                <w:sz w:val="24"/>
              </w:rPr>
            </w:pPr>
            <w:r>
              <w:rPr>
                <w:rFonts w:hint="eastAsia" w:ascii="仿宋" w:hAnsi="仿宋" w:eastAsia="仿宋" w:cs="仿宋"/>
                <w:b/>
                <w:color w:val="auto"/>
                <w:sz w:val="24"/>
              </w:rPr>
              <w:t>失职行为</w:t>
            </w:r>
            <w:r>
              <w:rPr>
                <w:rFonts w:hint="eastAsia" w:ascii="仿宋" w:hAnsi="仿宋" w:eastAsia="仿宋" w:cs="仿宋"/>
                <w:b/>
                <w:color w:val="auto"/>
                <w:kern w:val="0"/>
                <w:sz w:val="24"/>
              </w:rPr>
              <w:t>定位</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b/>
                <w:color w:val="auto"/>
                <w:kern w:val="0"/>
                <w:sz w:val="24"/>
              </w:rPr>
            </w:pPr>
            <w:r>
              <w:rPr>
                <w:rFonts w:hint="eastAsia" w:ascii="仿宋" w:hAnsi="仿宋" w:eastAsia="仿宋" w:cs="仿宋"/>
                <w:b/>
                <w:color w:val="auto"/>
                <w:kern w:val="0"/>
                <w:sz w:val="24"/>
              </w:rPr>
              <w:t>考核标准</w:t>
            </w:r>
          </w:p>
        </w:tc>
        <w:tc>
          <w:tcPr>
            <w:tcW w:w="1706" w:type="dxa"/>
            <w:vMerge w:val="restart"/>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hint="eastAsia" w:ascii="仿宋" w:hAnsi="仿宋" w:eastAsia="仿宋" w:cs="仿宋"/>
                <w:b/>
                <w:color w:val="auto"/>
                <w:kern w:val="0"/>
                <w:sz w:val="24"/>
              </w:rPr>
              <w:t>考核中标方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vMerge w:val="continue"/>
            <w:shd w:val="clear" w:color="auto" w:fill="auto"/>
            <w:tcMar>
              <w:top w:w="15" w:type="dxa"/>
              <w:left w:w="15" w:type="dxa"/>
              <w:right w:w="15" w:type="dxa"/>
            </w:tcMar>
            <w:vAlign w:val="center"/>
          </w:tcPr>
          <w:p>
            <w:pPr>
              <w:widowControl/>
              <w:jc w:val="center"/>
              <w:textAlignment w:val="center"/>
              <w:rPr>
                <w:rFonts w:ascii="仿宋" w:hAnsi="仿宋" w:eastAsia="仿宋" w:cs="仿宋"/>
                <w:b/>
                <w:color w:val="auto"/>
                <w:kern w:val="0"/>
                <w:sz w:val="24"/>
              </w:rPr>
            </w:pPr>
          </w:p>
        </w:tc>
        <w:tc>
          <w:tcPr>
            <w:tcW w:w="4883" w:type="dxa"/>
            <w:vMerge w:val="continue"/>
            <w:shd w:val="clear" w:color="auto" w:fill="auto"/>
            <w:tcMar>
              <w:top w:w="15" w:type="dxa"/>
              <w:left w:w="15" w:type="dxa"/>
              <w:right w:w="15" w:type="dxa"/>
            </w:tcMar>
            <w:vAlign w:val="center"/>
          </w:tcPr>
          <w:p>
            <w:pPr>
              <w:widowControl/>
              <w:jc w:val="center"/>
              <w:textAlignment w:val="center"/>
              <w:rPr>
                <w:rFonts w:ascii="仿宋" w:hAnsi="仿宋" w:eastAsia="仿宋" w:cs="仿宋"/>
                <w:b/>
                <w:color w:val="auto"/>
                <w:kern w:val="0"/>
                <w:sz w:val="24"/>
              </w:rPr>
            </w:pP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b/>
                <w:color w:val="auto"/>
                <w:kern w:val="0"/>
                <w:sz w:val="24"/>
              </w:rPr>
            </w:pPr>
            <w:r>
              <w:rPr>
                <w:rFonts w:hint="eastAsia" w:ascii="仿宋" w:hAnsi="仿宋" w:eastAsia="仿宋" w:cs="仿宋"/>
                <w:b/>
                <w:color w:val="auto"/>
                <w:kern w:val="0"/>
                <w:sz w:val="24"/>
              </w:rPr>
              <w:t>金额</w:t>
            </w:r>
          </w:p>
          <w:p>
            <w:pPr>
              <w:widowControl/>
              <w:jc w:val="center"/>
              <w:textAlignment w:val="center"/>
              <w:rPr>
                <w:rFonts w:ascii="仿宋" w:hAnsi="仿宋" w:eastAsia="仿宋" w:cs="仿宋"/>
                <w:b/>
                <w:color w:val="auto"/>
                <w:kern w:val="0"/>
                <w:sz w:val="24"/>
              </w:rPr>
            </w:pPr>
            <w:r>
              <w:rPr>
                <w:rFonts w:hint="eastAsia" w:ascii="仿宋" w:hAnsi="仿宋" w:eastAsia="仿宋" w:cs="仿宋"/>
                <w:b/>
                <w:color w:val="auto"/>
                <w:kern w:val="0"/>
                <w:sz w:val="24"/>
              </w:rPr>
              <w:t>（元）</w:t>
            </w:r>
          </w:p>
        </w:tc>
        <w:tc>
          <w:tcPr>
            <w:tcW w:w="1706" w:type="dxa"/>
            <w:vMerge w:val="continue"/>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w:t>
            </w:r>
          </w:p>
        </w:tc>
        <w:tc>
          <w:tcPr>
            <w:tcW w:w="4883" w:type="dxa"/>
            <w:shd w:val="clear" w:color="auto" w:fill="auto"/>
            <w:tcMar>
              <w:top w:w="15" w:type="dxa"/>
              <w:left w:w="15" w:type="dxa"/>
              <w:right w:w="15" w:type="dxa"/>
            </w:tcMar>
            <w:vAlign w:val="center"/>
          </w:tcPr>
          <w:p>
            <w:pPr>
              <w:widowControl/>
              <w:textAlignment w:val="center"/>
              <w:rPr>
                <w:rFonts w:ascii="仿宋" w:hAnsi="仿宋" w:eastAsia="仿宋" w:cs="仿宋"/>
                <w:color w:val="auto"/>
                <w:sz w:val="24"/>
              </w:rPr>
            </w:pPr>
            <w:r>
              <w:rPr>
                <w:rFonts w:hint="eastAsia" w:ascii="仿宋" w:hAnsi="仿宋" w:eastAsia="仿宋" w:cs="仿宋"/>
                <w:color w:val="auto"/>
                <w:kern w:val="0"/>
                <w:sz w:val="24"/>
                <w:lang w:bidi="ar"/>
              </w:rPr>
              <w:t>日常卫生保洁项目中清扫未达标（每处）</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50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在工作区域张贴与工作无关字画等（每次）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未按规定用电，使用不匹配充电设备，未在指定地点使用设备充电的</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4</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着工装在工作区域内吃东西、打闹、嘻戏等不文明行为的（每人次）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5</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人员迟到、早退</w:t>
            </w:r>
            <w:r>
              <w:rPr>
                <w:rStyle w:val="147"/>
                <w:rFonts w:hint="default" w:ascii="仿宋" w:hAnsi="仿宋" w:eastAsia="仿宋" w:cs="仿宋"/>
                <w:color w:val="auto"/>
                <w:sz w:val="24"/>
                <w:szCs w:val="24"/>
                <w:lang w:bidi="ar"/>
              </w:rPr>
              <w:t>造成区域卫生未打扫干净的（每人次）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 xml:space="preserve">6          </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遗失、损坏钥匙、门禁卡等相关物品的照价赔偿（每次）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7</w:t>
            </w:r>
          </w:p>
        </w:tc>
        <w:tc>
          <w:tcPr>
            <w:tcW w:w="4883" w:type="dxa"/>
            <w:shd w:val="clear" w:color="auto" w:fill="auto"/>
            <w:tcMar>
              <w:top w:w="15" w:type="dxa"/>
              <w:left w:w="15" w:type="dxa"/>
              <w:right w:w="15" w:type="dxa"/>
            </w:tcMar>
            <w:vAlign w:val="center"/>
          </w:tcPr>
          <w:p>
            <w:pPr>
              <w:widowControl/>
              <w:textAlignment w:val="center"/>
              <w:rPr>
                <w:rFonts w:ascii="仿宋" w:hAnsi="仿宋" w:eastAsia="仿宋" w:cs="仿宋"/>
                <w:color w:val="auto"/>
                <w:sz w:val="24"/>
              </w:rPr>
            </w:pPr>
            <w:r>
              <w:rPr>
                <w:rFonts w:hint="eastAsia" w:ascii="仿宋" w:hAnsi="仿宋" w:eastAsia="仿宋" w:cs="仿宋"/>
                <w:color w:val="auto"/>
                <w:kern w:val="0"/>
                <w:sz w:val="24"/>
                <w:lang w:bidi="ar"/>
              </w:rPr>
              <w:t>私自在非指定区域内堆放物品的</w:t>
            </w:r>
            <w:r>
              <w:rPr>
                <w:rStyle w:val="71"/>
                <w:rFonts w:hint="default" w:ascii="仿宋" w:hAnsi="仿宋" w:eastAsia="仿宋" w:cs="仿宋"/>
                <w:color w:val="auto"/>
                <w:sz w:val="24"/>
                <w:szCs w:val="24"/>
                <w:lang w:bidi="ar"/>
              </w:rPr>
              <w:t>。</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8</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中标方人员所管辖区域内工具材料未堆放整齐或卫生脏乱</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bCs/>
                <w:color w:val="auto"/>
                <w:sz w:val="24"/>
              </w:rPr>
            </w:pPr>
            <w:r>
              <w:rPr>
                <w:rFonts w:hint="eastAsia" w:ascii="仿宋" w:hAnsi="仿宋" w:eastAsia="仿宋" w:cs="仿宋"/>
                <w:bCs/>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9</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中标方人员私接电源或违规使用电器设备</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100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10</w:t>
            </w:r>
          </w:p>
        </w:tc>
        <w:tc>
          <w:tcPr>
            <w:tcW w:w="4883" w:type="dxa"/>
            <w:shd w:val="clear" w:color="auto" w:fill="auto"/>
            <w:tcMar>
              <w:top w:w="15" w:type="dxa"/>
              <w:left w:w="15" w:type="dxa"/>
              <w:right w:w="15" w:type="dxa"/>
            </w:tcMar>
            <w:vAlign w:val="center"/>
          </w:tcPr>
          <w:p>
            <w:pPr>
              <w:widowControl/>
              <w:textAlignment w:val="center"/>
              <w:rPr>
                <w:rFonts w:ascii="仿宋" w:hAnsi="仿宋" w:eastAsia="仿宋" w:cs="仿宋"/>
                <w:color w:val="auto"/>
                <w:sz w:val="24"/>
              </w:rPr>
            </w:pPr>
            <w:r>
              <w:rPr>
                <w:rFonts w:hint="eastAsia" w:ascii="仿宋" w:hAnsi="仿宋" w:eastAsia="仿宋" w:cs="仿宋"/>
                <w:color w:val="auto"/>
                <w:kern w:val="0"/>
                <w:sz w:val="24"/>
                <w:lang w:bidi="ar"/>
              </w:rPr>
              <w:t>同一区域连续两次反映相同保洁问题，都未进行整改的</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200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11</w:t>
            </w:r>
          </w:p>
        </w:tc>
        <w:tc>
          <w:tcPr>
            <w:tcW w:w="4883" w:type="dxa"/>
            <w:shd w:val="clear" w:color="auto" w:fill="auto"/>
            <w:tcMar>
              <w:top w:w="15" w:type="dxa"/>
              <w:left w:w="15" w:type="dxa"/>
              <w:right w:w="15" w:type="dxa"/>
            </w:tcMar>
            <w:vAlign w:val="center"/>
          </w:tcPr>
          <w:p>
            <w:pPr>
              <w:widowControl/>
              <w:textAlignment w:val="center"/>
              <w:rPr>
                <w:rFonts w:ascii="仿宋" w:hAnsi="仿宋" w:eastAsia="仿宋" w:cs="仿宋"/>
                <w:color w:val="auto"/>
                <w:sz w:val="24"/>
              </w:rPr>
            </w:pPr>
            <w:r>
              <w:rPr>
                <w:rFonts w:hint="eastAsia" w:ascii="仿宋" w:hAnsi="仿宋" w:eastAsia="仿宋" w:cs="仿宋"/>
                <w:color w:val="auto"/>
                <w:kern w:val="0"/>
                <w:sz w:val="24"/>
                <w:lang w:bidi="ar"/>
              </w:rPr>
              <w:t>在接受相关部门检查时，保洁服务未达到检查标准的。</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200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12</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人员迟到、早退（</w:t>
            </w:r>
            <w:r>
              <w:rPr>
                <w:rStyle w:val="148"/>
                <w:rFonts w:hint="eastAsia" w:ascii="仿宋" w:hAnsi="仿宋" w:eastAsia="仿宋" w:cs="仿宋"/>
                <w:color w:val="auto"/>
                <w:sz w:val="24"/>
                <w:szCs w:val="24"/>
                <w:lang w:bidi="ar"/>
              </w:rPr>
              <w:t>4</w:t>
            </w:r>
            <w:r>
              <w:rPr>
                <w:rStyle w:val="147"/>
                <w:rFonts w:hint="default" w:ascii="仿宋" w:hAnsi="仿宋" w:eastAsia="仿宋" w:cs="仿宋"/>
                <w:color w:val="auto"/>
                <w:sz w:val="24"/>
                <w:szCs w:val="24"/>
                <w:lang w:bidi="ar"/>
              </w:rPr>
              <w:t>小时以上）（每人次），按缺岗处理，</w:t>
            </w:r>
            <w:r>
              <w:rPr>
                <w:rFonts w:hint="eastAsia" w:ascii="仿宋" w:hAnsi="仿宋" w:eastAsia="仿宋" w:cs="仿宋"/>
                <w:color w:val="auto"/>
                <w:sz w:val="24"/>
              </w:rPr>
              <w:t>中标方</w:t>
            </w:r>
            <w:r>
              <w:rPr>
                <w:rStyle w:val="147"/>
                <w:rFonts w:hint="default" w:ascii="仿宋" w:hAnsi="仿宋" w:eastAsia="仿宋" w:cs="仿宋"/>
                <w:color w:val="auto"/>
                <w:sz w:val="24"/>
                <w:szCs w:val="24"/>
                <w:lang w:bidi="ar"/>
              </w:rPr>
              <w:t>须补齐人员（按岗位据实核减服务费）</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400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13</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kern w:val="0"/>
                <w:sz w:val="24"/>
                <w:lang w:bidi="ar"/>
              </w:rPr>
            </w:pPr>
            <w:r>
              <w:rPr>
                <w:rFonts w:hint="eastAsia" w:ascii="仿宋" w:hAnsi="仿宋" w:eastAsia="仿宋" w:cs="仿宋"/>
                <w:color w:val="auto"/>
                <w:sz w:val="24"/>
              </w:rPr>
              <w:t>中标方</w:t>
            </w:r>
            <w:r>
              <w:rPr>
                <w:rFonts w:hint="eastAsia" w:ascii="仿宋" w:hAnsi="仿宋" w:eastAsia="仿宋" w:cs="仿宋"/>
                <w:color w:val="auto"/>
                <w:kern w:val="0"/>
                <w:sz w:val="24"/>
                <w:lang w:bidi="ar"/>
              </w:rPr>
              <w:t>人员不符合</w:t>
            </w:r>
            <w:r>
              <w:rPr>
                <w:rFonts w:hint="eastAsia" w:ascii="仿宋" w:hAnsi="仿宋" w:eastAsia="仿宋" w:cs="仿宋"/>
                <w:color w:val="auto"/>
                <w:sz w:val="24"/>
              </w:rPr>
              <w:t>招标方</w:t>
            </w:r>
            <w:r>
              <w:rPr>
                <w:rFonts w:hint="eastAsia" w:ascii="仿宋" w:hAnsi="仿宋" w:eastAsia="仿宋" w:cs="仿宋"/>
                <w:color w:val="auto"/>
                <w:kern w:val="0"/>
                <w:sz w:val="24"/>
                <w:lang w:bidi="ar"/>
              </w:rPr>
              <w:t>人员配备要求</w:t>
            </w:r>
            <w:r>
              <w:rPr>
                <w:rStyle w:val="147"/>
                <w:rFonts w:hint="default" w:ascii="仿宋" w:hAnsi="仿宋" w:eastAsia="仿宋" w:cs="仿宋"/>
                <w:color w:val="auto"/>
                <w:sz w:val="24"/>
                <w:szCs w:val="24"/>
                <w:lang w:bidi="ar"/>
              </w:rPr>
              <w:t>（每人次），</w:t>
            </w:r>
            <w:r>
              <w:rPr>
                <w:rFonts w:hint="eastAsia" w:ascii="仿宋" w:hAnsi="仿宋" w:eastAsia="仿宋" w:cs="仿宋"/>
                <w:color w:val="auto"/>
                <w:sz w:val="24"/>
              </w:rPr>
              <w:t>中标方</w:t>
            </w:r>
            <w:r>
              <w:rPr>
                <w:rStyle w:val="147"/>
                <w:rFonts w:hint="default" w:ascii="仿宋" w:hAnsi="仿宋" w:eastAsia="仿宋" w:cs="仿宋"/>
                <w:color w:val="auto"/>
                <w:sz w:val="24"/>
                <w:szCs w:val="24"/>
                <w:lang w:bidi="ar"/>
              </w:rPr>
              <w:t>未按规定补齐或更换人员（按岗位据实核减服务费）</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400</w:t>
            </w:r>
          </w:p>
        </w:tc>
        <w:tc>
          <w:tcPr>
            <w:tcW w:w="1706" w:type="dxa"/>
            <w:shd w:val="clear" w:color="auto" w:fill="auto"/>
            <w:tcMar>
              <w:top w:w="15" w:type="dxa"/>
              <w:left w:w="15" w:type="dxa"/>
              <w:right w:w="15" w:type="dxa"/>
            </w:tcMar>
            <w:vAlign w:val="center"/>
          </w:tcPr>
          <w:p>
            <w:pPr>
              <w:widowControl/>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14</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未经招标方同意，擅自进入设备房等重点区域的（每人次）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200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15</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在工作期间打瞌睡/铺床睡觉的（每次）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200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16</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未按招标方要求执行相关工作的（每项）</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200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17</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保洁人员未按规定着装上岗；酒后上岗或者班中饮酒</w:t>
            </w:r>
            <w:r>
              <w:rPr>
                <w:rFonts w:hint="eastAsia" w:ascii="仿宋" w:hAnsi="仿宋" w:eastAsia="仿宋" w:cs="仿宋"/>
                <w:color w:val="auto"/>
                <w:kern w:val="0"/>
                <w:sz w:val="24"/>
                <w:lang w:eastAsia="zh-CN" w:bidi="ar"/>
              </w:rPr>
              <w:t>（每人次）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bCs/>
                <w:color w:val="auto"/>
                <w:sz w:val="24"/>
              </w:rPr>
            </w:pPr>
            <w:r>
              <w:rPr>
                <w:rFonts w:hint="eastAsia" w:ascii="仿宋" w:hAnsi="仿宋" w:eastAsia="仿宋" w:cs="仿宋"/>
                <w:bCs/>
                <w:color w:val="auto"/>
                <w:sz w:val="24"/>
              </w:rPr>
              <w:t>200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造成后果责任自负，并赔偿招标方有关损失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18</w:t>
            </w:r>
          </w:p>
        </w:tc>
        <w:tc>
          <w:tcPr>
            <w:tcW w:w="4883" w:type="dxa"/>
            <w:shd w:val="clear" w:color="auto" w:fill="auto"/>
            <w:tcMar>
              <w:top w:w="15" w:type="dxa"/>
              <w:left w:w="15" w:type="dxa"/>
              <w:right w:w="15" w:type="dxa"/>
            </w:tcMar>
            <w:vAlign w:val="center"/>
          </w:tcPr>
          <w:p>
            <w:pPr>
              <w:widowControl/>
              <w:textAlignment w:val="center"/>
              <w:rPr>
                <w:rFonts w:ascii="仿宋" w:hAnsi="仿宋" w:eastAsia="仿宋" w:cs="仿宋"/>
                <w:color w:val="auto"/>
                <w:sz w:val="24"/>
              </w:rPr>
            </w:pPr>
            <w:r>
              <w:rPr>
                <w:rFonts w:hint="eastAsia" w:ascii="仿宋" w:hAnsi="仿宋" w:eastAsia="仿宋" w:cs="仿宋"/>
                <w:color w:val="auto"/>
                <w:kern w:val="0"/>
                <w:sz w:val="24"/>
                <w:lang w:bidi="ar"/>
              </w:rPr>
              <w:t>经查实，在</w:t>
            </w:r>
            <w:r>
              <w:rPr>
                <w:rStyle w:val="147"/>
                <w:rFonts w:hint="default" w:ascii="仿宋" w:hAnsi="仿宋" w:eastAsia="仿宋" w:cs="仿宋"/>
                <w:color w:val="auto"/>
                <w:sz w:val="24"/>
                <w:szCs w:val="24"/>
                <w:lang w:bidi="ar"/>
              </w:rPr>
              <w:t>服务区域内捡到物品未及时上交招标方或未及时归还失主的（每人次）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400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19</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在禁烟区域吸烟的（每人次）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400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20</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未对每班配备管理人员的；管理人员不作为、未按要求履行其职责，未按规定进行巡查的， （每人次）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500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21</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 xml:space="preserve">保洁人员违章蛮干或进行危险性作业但未造成影响， </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500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22</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kern w:val="0"/>
                <w:sz w:val="24"/>
                <w:lang w:bidi="ar"/>
              </w:rPr>
              <w:t>被投诉后经查实属有责的（每次）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1000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23</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kern w:val="0"/>
                <w:sz w:val="24"/>
                <w:lang w:bidi="ar"/>
              </w:rPr>
            </w:pPr>
            <w:r>
              <w:rPr>
                <w:rFonts w:hint="eastAsia" w:ascii="仿宋" w:hAnsi="仿宋" w:eastAsia="仿宋" w:cs="仿宋"/>
                <w:color w:val="auto"/>
                <w:kern w:val="0"/>
                <w:sz w:val="24"/>
                <w:lang w:bidi="ar"/>
              </w:rPr>
              <w:t>保洁人员作业完毕后未及时出清现场，导致工器具遗留工作区内造成安全隐患，但未造成影响（每次）</w:t>
            </w:r>
          </w:p>
        </w:tc>
        <w:tc>
          <w:tcPr>
            <w:tcW w:w="2070" w:type="dxa"/>
            <w:shd w:val="clear" w:color="auto" w:fill="auto"/>
            <w:tcMar>
              <w:top w:w="0" w:type="dxa"/>
              <w:left w:w="74" w:type="dxa"/>
              <w:right w:w="74"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kern w:val="0"/>
                <w:sz w:val="24"/>
                <w:lang w:bidi="ar"/>
              </w:rPr>
              <w:t>1000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24</w:t>
            </w:r>
          </w:p>
        </w:tc>
        <w:tc>
          <w:tcPr>
            <w:tcW w:w="4883" w:type="dxa"/>
            <w:shd w:val="clear" w:color="auto" w:fill="auto"/>
            <w:tcMar>
              <w:top w:w="15" w:type="dxa"/>
              <w:left w:w="15" w:type="dxa"/>
              <w:right w:w="15" w:type="dxa"/>
            </w:tcMar>
            <w:vAlign w:val="center"/>
          </w:tcPr>
          <w:p>
            <w:pPr>
              <w:pStyle w:val="110"/>
              <w:ind w:left="73"/>
              <w:textAlignment w:val="baseline"/>
              <w:rPr>
                <w:rFonts w:ascii="仿宋" w:hAnsi="仿宋" w:eastAsia="仿宋" w:cs="仿宋"/>
                <w:bCs/>
                <w:color w:val="auto"/>
                <w:sz w:val="24"/>
                <w:lang w:eastAsia="zh-CN"/>
              </w:rPr>
            </w:pPr>
            <w:r>
              <w:rPr>
                <w:rFonts w:hint="eastAsia" w:ascii="仿宋" w:hAnsi="仿宋" w:eastAsia="仿宋" w:cs="仿宋"/>
                <w:color w:val="auto"/>
                <w:sz w:val="24"/>
                <w:lang w:eastAsia="zh-CN"/>
              </w:rPr>
              <w:t>违规操作导致设备损坏，不能正常工作或影响正常运营、办公秩序的（每次)</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1000至5000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hint="eastAsia" w:ascii="仿宋" w:hAnsi="仿宋" w:eastAsia="仿宋" w:cs="仿宋"/>
                <w:color w:val="auto"/>
                <w:sz w:val="24"/>
              </w:rPr>
              <w:t>中标方承担设备设施的一切损失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25</w:t>
            </w:r>
          </w:p>
        </w:tc>
        <w:tc>
          <w:tcPr>
            <w:tcW w:w="4883" w:type="dxa"/>
            <w:shd w:val="clear" w:color="auto" w:fill="auto"/>
            <w:tcMar>
              <w:top w:w="15" w:type="dxa"/>
              <w:left w:w="15" w:type="dxa"/>
              <w:right w:w="15" w:type="dxa"/>
            </w:tcMar>
            <w:vAlign w:val="center"/>
          </w:tcPr>
          <w:p>
            <w:pPr>
              <w:widowControl/>
              <w:snapToGrid w:val="0"/>
              <w:jc w:val="left"/>
              <w:textAlignment w:val="center"/>
              <w:rPr>
                <w:rFonts w:ascii="仿宋" w:hAnsi="仿宋" w:eastAsia="仿宋" w:cs="仿宋"/>
                <w:color w:val="auto"/>
                <w:sz w:val="24"/>
              </w:rPr>
            </w:pPr>
            <w:r>
              <w:rPr>
                <w:rFonts w:hint="eastAsia" w:ascii="仿宋" w:hAnsi="仿宋" w:eastAsia="仿宋" w:cs="仿宋"/>
                <w:color w:val="auto"/>
                <w:sz w:val="24"/>
              </w:rPr>
              <w:t>遇突发、紧急事故（件）不服从招标方合理调度指挥的（每次）</w:t>
            </w:r>
            <w:r>
              <w:rPr>
                <w:rFonts w:hint="eastAsia" w:ascii="仿宋" w:hAnsi="仿宋" w:eastAsia="仿宋" w:cs="仿宋"/>
                <w:bCs/>
                <w:color w:val="auto"/>
                <w:kern w:val="0"/>
                <w:sz w:val="24"/>
              </w:rPr>
              <w:t>）</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1000至5000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26</w:t>
            </w:r>
          </w:p>
        </w:tc>
        <w:tc>
          <w:tcPr>
            <w:tcW w:w="4883" w:type="dxa"/>
            <w:shd w:val="clear" w:color="auto" w:fill="auto"/>
            <w:tcMar>
              <w:top w:w="15" w:type="dxa"/>
              <w:left w:w="15" w:type="dxa"/>
              <w:right w:w="15" w:type="dxa"/>
            </w:tcMar>
            <w:vAlign w:val="center"/>
          </w:tcPr>
          <w:p>
            <w:pPr>
              <w:widowControl/>
              <w:snapToGrid w:val="0"/>
              <w:jc w:val="left"/>
              <w:textAlignment w:val="center"/>
              <w:rPr>
                <w:rFonts w:ascii="仿宋" w:hAnsi="仿宋" w:eastAsia="仿宋" w:cs="仿宋"/>
                <w:color w:val="auto"/>
                <w:sz w:val="24"/>
              </w:rPr>
            </w:pPr>
            <w:r>
              <w:rPr>
                <w:rFonts w:hint="eastAsia" w:ascii="仿宋" w:hAnsi="仿宋" w:eastAsia="仿宋" w:cs="仿宋"/>
                <w:color w:val="auto"/>
                <w:sz w:val="24"/>
              </w:rPr>
              <w:t>上级有关单位到服务区域及工作区域进行检查，中标方不配合检查的（每次)</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1000至5000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27</w:t>
            </w:r>
          </w:p>
        </w:tc>
        <w:tc>
          <w:tcPr>
            <w:tcW w:w="4883" w:type="dxa"/>
            <w:shd w:val="clear" w:color="auto" w:fill="auto"/>
            <w:tcMar>
              <w:top w:w="15" w:type="dxa"/>
              <w:left w:w="15" w:type="dxa"/>
              <w:right w:w="15" w:type="dxa"/>
            </w:tcMar>
            <w:vAlign w:val="center"/>
          </w:tcPr>
          <w:p>
            <w:pPr>
              <w:widowControl/>
              <w:snapToGrid w:val="0"/>
              <w:jc w:val="left"/>
              <w:textAlignment w:val="center"/>
              <w:rPr>
                <w:rFonts w:ascii="仿宋" w:hAnsi="仿宋" w:eastAsia="仿宋" w:cs="仿宋"/>
                <w:color w:val="auto"/>
                <w:sz w:val="24"/>
              </w:rPr>
            </w:pPr>
            <w:r>
              <w:rPr>
                <w:rFonts w:hint="eastAsia" w:ascii="仿宋" w:hAnsi="仿宋" w:eastAsia="仿宋" w:cs="仿宋"/>
                <w:color w:val="auto"/>
                <w:sz w:val="24"/>
              </w:rPr>
              <w:t>中标方人员盗窃物品、设备设施或恶意损坏设备设施的（每次)</w:t>
            </w:r>
          </w:p>
        </w:tc>
        <w:tc>
          <w:tcPr>
            <w:tcW w:w="2070" w:type="dxa"/>
            <w:shd w:val="clear" w:color="auto" w:fill="auto"/>
            <w:tcMar>
              <w:top w:w="0" w:type="dxa"/>
              <w:left w:w="74" w:type="dxa"/>
              <w:right w:w="74" w:type="dxa"/>
            </w:tcMar>
            <w:vAlign w:val="center"/>
          </w:tcPr>
          <w:p>
            <w:pPr>
              <w:pStyle w:val="110"/>
              <w:jc w:val="center"/>
              <w:textAlignment w:val="baseline"/>
              <w:rPr>
                <w:rFonts w:ascii="仿宋" w:hAnsi="仿宋" w:eastAsia="仿宋" w:cs="仿宋"/>
                <w:bCs/>
                <w:color w:val="auto"/>
                <w:sz w:val="24"/>
              </w:rPr>
            </w:pPr>
            <w:r>
              <w:rPr>
                <w:rFonts w:hint="eastAsia" w:ascii="仿宋" w:hAnsi="仿宋" w:eastAsia="仿宋" w:cs="仿宋"/>
                <w:bCs/>
                <w:color w:val="auto"/>
                <w:sz w:val="24"/>
              </w:rPr>
              <w:t>1000至</w:t>
            </w:r>
          </w:p>
          <w:p>
            <w:pPr>
              <w:widowControl/>
              <w:snapToGrid w:val="0"/>
              <w:jc w:val="center"/>
              <w:textAlignment w:val="center"/>
              <w:rPr>
                <w:rFonts w:ascii="仿宋" w:hAnsi="仿宋" w:eastAsia="仿宋" w:cs="仿宋"/>
                <w:bCs/>
                <w:color w:val="auto"/>
                <w:sz w:val="24"/>
              </w:rPr>
            </w:pPr>
            <w:r>
              <w:rPr>
                <w:rFonts w:hint="eastAsia" w:ascii="仿宋" w:hAnsi="仿宋" w:eastAsia="仿宋" w:cs="仿宋"/>
                <w:bCs/>
                <w:color w:val="auto"/>
                <w:sz w:val="24"/>
              </w:rPr>
              <w:t>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030"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28</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sz w:val="24"/>
              </w:rPr>
            </w:pPr>
            <w:r>
              <w:rPr>
                <w:rFonts w:hint="eastAsia" w:ascii="仿宋" w:hAnsi="仿宋" w:eastAsia="仿宋" w:cs="仿宋"/>
                <w:color w:val="auto"/>
                <w:sz w:val="24"/>
              </w:rPr>
              <w:t>中标方</w:t>
            </w:r>
            <w:r>
              <w:rPr>
                <w:rFonts w:hint="eastAsia" w:ascii="仿宋" w:hAnsi="仿宋" w:eastAsia="仿宋" w:cs="仿宋"/>
                <w:color w:val="auto"/>
                <w:kern w:val="0"/>
                <w:sz w:val="24"/>
                <w:lang w:bidi="ar"/>
              </w:rPr>
              <w:t>未按</w:t>
            </w:r>
            <w:r>
              <w:rPr>
                <w:rFonts w:hint="eastAsia" w:ascii="仿宋" w:hAnsi="仿宋" w:eastAsia="仿宋" w:cs="仿宋"/>
                <w:color w:val="auto"/>
                <w:sz w:val="24"/>
              </w:rPr>
              <w:t>招标方</w:t>
            </w:r>
            <w:r>
              <w:rPr>
                <w:rFonts w:hint="eastAsia" w:ascii="仿宋" w:hAnsi="仿宋" w:eastAsia="仿宋" w:cs="仿宋"/>
                <w:color w:val="auto"/>
                <w:kern w:val="0"/>
                <w:sz w:val="24"/>
                <w:lang w:bidi="ar"/>
              </w:rPr>
              <w:t>要求对保洁员工开展岗前安全、消防知识培训的,经</w:t>
            </w:r>
            <w:r>
              <w:rPr>
                <w:rFonts w:hint="eastAsia" w:ascii="仿宋" w:hAnsi="仿宋" w:eastAsia="仿宋" w:cs="仿宋"/>
                <w:color w:val="auto"/>
                <w:sz w:val="24"/>
              </w:rPr>
              <w:t>招标方</w:t>
            </w:r>
            <w:r>
              <w:rPr>
                <w:rFonts w:hint="eastAsia" w:ascii="仿宋" w:hAnsi="仿宋" w:eastAsia="仿宋" w:cs="仿宋"/>
                <w:color w:val="auto"/>
                <w:kern w:val="0"/>
                <w:sz w:val="24"/>
                <w:lang w:bidi="ar"/>
              </w:rPr>
              <w:t>查出未按要求及时整改。</w:t>
            </w:r>
          </w:p>
        </w:tc>
        <w:tc>
          <w:tcPr>
            <w:tcW w:w="2070" w:type="dxa"/>
            <w:shd w:val="clear" w:color="auto" w:fill="auto"/>
            <w:tcMar>
              <w:top w:w="0" w:type="dxa"/>
              <w:left w:w="74" w:type="dxa"/>
              <w:right w:w="74" w:type="dxa"/>
            </w:tcMar>
            <w:vAlign w:val="center"/>
          </w:tcPr>
          <w:p>
            <w:pPr>
              <w:pStyle w:val="110"/>
              <w:jc w:val="center"/>
              <w:textAlignment w:val="baseline"/>
              <w:rPr>
                <w:rFonts w:ascii="仿宋" w:hAnsi="仿宋" w:eastAsia="仿宋" w:cs="仿宋"/>
                <w:bCs/>
                <w:color w:val="auto"/>
                <w:sz w:val="24"/>
              </w:rPr>
            </w:pPr>
            <w:r>
              <w:rPr>
                <w:rFonts w:hint="eastAsia" w:ascii="仿宋" w:hAnsi="仿宋" w:eastAsia="仿宋" w:cs="仿宋"/>
                <w:bCs/>
                <w:color w:val="auto"/>
                <w:sz w:val="24"/>
              </w:rPr>
              <w:t>1000至</w:t>
            </w:r>
          </w:p>
          <w:p>
            <w:pPr>
              <w:widowControl/>
              <w:snapToGrid w:val="0"/>
              <w:jc w:val="center"/>
              <w:textAlignment w:val="center"/>
              <w:rPr>
                <w:rFonts w:ascii="仿宋" w:hAnsi="仿宋" w:eastAsia="仿宋" w:cs="仿宋"/>
                <w:bCs/>
                <w:color w:val="auto"/>
                <w:sz w:val="24"/>
              </w:rPr>
            </w:pPr>
            <w:r>
              <w:rPr>
                <w:rFonts w:hint="eastAsia" w:ascii="仿宋" w:hAnsi="仿宋" w:eastAsia="仿宋" w:cs="仿宋"/>
                <w:bCs/>
                <w:color w:val="auto"/>
                <w:sz w:val="24"/>
              </w:rPr>
              <w:t>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29</w:t>
            </w:r>
          </w:p>
        </w:tc>
        <w:tc>
          <w:tcPr>
            <w:tcW w:w="4883" w:type="dxa"/>
            <w:shd w:val="clear" w:color="auto" w:fill="auto"/>
            <w:tcMar>
              <w:top w:w="15" w:type="dxa"/>
              <w:left w:w="15" w:type="dxa"/>
              <w:right w:w="15" w:type="dxa"/>
            </w:tcMar>
            <w:vAlign w:val="center"/>
          </w:tcPr>
          <w:p>
            <w:pPr>
              <w:widowControl/>
              <w:jc w:val="left"/>
              <w:textAlignment w:val="center"/>
              <w:rPr>
                <w:rFonts w:ascii="仿宋" w:hAnsi="仿宋" w:eastAsia="仿宋" w:cs="仿宋"/>
                <w:color w:val="auto"/>
                <w:kern w:val="0"/>
                <w:sz w:val="24"/>
                <w:lang w:bidi="ar"/>
              </w:rPr>
            </w:pPr>
            <w:r>
              <w:rPr>
                <w:rFonts w:hint="eastAsia" w:ascii="仿宋" w:hAnsi="仿宋" w:eastAsia="仿宋" w:cs="仿宋"/>
                <w:color w:val="auto"/>
                <w:kern w:val="0"/>
                <w:sz w:val="24"/>
                <w:lang w:bidi="ar"/>
              </w:rPr>
              <w:t>违反以下规定</w:t>
            </w:r>
            <w:r>
              <w:rPr>
                <w:rFonts w:hint="eastAsia" w:ascii="仿宋" w:hAnsi="仿宋" w:eastAsia="仿宋" w:cs="仿宋"/>
                <w:color w:val="auto"/>
                <w:sz w:val="24"/>
              </w:rPr>
              <w:t>中标方</w:t>
            </w:r>
            <w:r>
              <w:rPr>
                <w:rFonts w:hint="eastAsia" w:ascii="仿宋" w:hAnsi="仿宋" w:eastAsia="仿宋" w:cs="仿宋"/>
                <w:color w:val="auto"/>
                <w:kern w:val="0"/>
                <w:sz w:val="24"/>
                <w:lang w:bidi="ar"/>
              </w:rPr>
              <w:t>5个工作日未进行人员更换的：</w:t>
            </w:r>
          </w:p>
          <w:p>
            <w:pPr>
              <w:widowControl/>
              <w:jc w:val="left"/>
              <w:textAlignment w:val="center"/>
              <w:rPr>
                <w:rFonts w:ascii="仿宋" w:hAnsi="仿宋" w:eastAsia="仿宋" w:cs="仿宋"/>
                <w:color w:val="auto"/>
                <w:kern w:val="0"/>
                <w:sz w:val="24"/>
                <w:lang w:bidi="ar"/>
              </w:rPr>
            </w:pPr>
            <w:r>
              <w:rPr>
                <w:rFonts w:hint="eastAsia" w:ascii="仿宋" w:hAnsi="仿宋" w:eastAsia="仿宋" w:cs="仿宋"/>
                <w:color w:val="auto"/>
                <w:kern w:val="0"/>
                <w:sz w:val="24"/>
                <w:lang w:bidi="ar"/>
              </w:rPr>
              <w:t>1.员工之间在工作期间及工作区域发生打架、斗殴；</w:t>
            </w:r>
          </w:p>
          <w:p>
            <w:pPr>
              <w:widowControl/>
              <w:jc w:val="left"/>
              <w:textAlignment w:val="center"/>
              <w:rPr>
                <w:rFonts w:ascii="仿宋" w:hAnsi="仿宋" w:eastAsia="仿宋" w:cs="仿宋"/>
                <w:color w:val="auto"/>
                <w:kern w:val="0"/>
                <w:sz w:val="24"/>
                <w:lang w:bidi="ar"/>
              </w:rPr>
            </w:pPr>
            <w:r>
              <w:rPr>
                <w:rFonts w:hint="eastAsia" w:ascii="仿宋" w:hAnsi="仿宋" w:eastAsia="仿宋" w:cs="仿宋"/>
                <w:color w:val="auto"/>
                <w:kern w:val="0"/>
                <w:sz w:val="24"/>
                <w:lang w:bidi="ar"/>
              </w:rPr>
              <w:t>2.与</w:t>
            </w:r>
            <w:r>
              <w:rPr>
                <w:rFonts w:hint="eastAsia" w:ascii="仿宋" w:hAnsi="仿宋" w:eastAsia="仿宋" w:cs="仿宋"/>
                <w:color w:val="auto"/>
                <w:sz w:val="24"/>
              </w:rPr>
              <w:t>招标方</w:t>
            </w:r>
            <w:r>
              <w:rPr>
                <w:rFonts w:hint="eastAsia" w:ascii="仿宋" w:hAnsi="仿宋" w:eastAsia="仿宋" w:cs="仿宋"/>
                <w:color w:val="auto"/>
                <w:kern w:val="0"/>
                <w:sz w:val="24"/>
                <w:lang w:bidi="ar"/>
              </w:rPr>
              <w:t>员工发生肢体冲突且责任在</w:t>
            </w:r>
            <w:r>
              <w:rPr>
                <w:rFonts w:hint="eastAsia" w:ascii="仿宋" w:hAnsi="仿宋" w:eastAsia="仿宋" w:cs="仿宋"/>
                <w:color w:val="auto"/>
                <w:sz w:val="24"/>
              </w:rPr>
              <w:t>中标方</w:t>
            </w:r>
            <w:r>
              <w:rPr>
                <w:rFonts w:hint="eastAsia" w:ascii="仿宋" w:hAnsi="仿宋" w:eastAsia="仿宋" w:cs="仿宋"/>
                <w:color w:val="auto"/>
                <w:kern w:val="0"/>
                <w:sz w:val="24"/>
                <w:lang w:bidi="ar"/>
              </w:rPr>
              <w:t>人员；</w:t>
            </w:r>
          </w:p>
        </w:tc>
        <w:tc>
          <w:tcPr>
            <w:tcW w:w="2070" w:type="dxa"/>
            <w:shd w:val="clear" w:color="auto" w:fill="auto"/>
            <w:tcMar>
              <w:top w:w="0" w:type="dxa"/>
              <w:left w:w="74" w:type="dxa"/>
              <w:right w:w="74" w:type="dxa"/>
            </w:tcMar>
            <w:vAlign w:val="center"/>
          </w:tcPr>
          <w:p>
            <w:pPr>
              <w:pStyle w:val="110"/>
              <w:jc w:val="center"/>
              <w:textAlignment w:val="baseline"/>
              <w:rPr>
                <w:rFonts w:ascii="仿宋" w:hAnsi="仿宋" w:eastAsia="仿宋" w:cs="仿宋"/>
                <w:bCs/>
                <w:color w:val="auto"/>
                <w:sz w:val="24"/>
              </w:rPr>
            </w:pPr>
            <w:r>
              <w:rPr>
                <w:rFonts w:hint="eastAsia" w:ascii="仿宋" w:hAnsi="仿宋" w:eastAsia="仿宋" w:cs="仿宋"/>
                <w:bCs/>
                <w:color w:val="auto"/>
                <w:sz w:val="24"/>
              </w:rPr>
              <w:t>1000至</w:t>
            </w:r>
          </w:p>
          <w:p>
            <w:pPr>
              <w:widowControl/>
              <w:snapToGrid w:val="0"/>
              <w:jc w:val="center"/>
              <w:textAlignment w:val="center"/>
              <w:rPr>
                <w:rFonts w:ascii="仿宋" w:hAnsi="仿宋" w:eastAsia="仿宋" w:cs="仿宋"/>
                <w:bCs/>
                <w:color w:val="auto"/>
                <w:sz w:val="24"/>
              </w:rPr>
            </w:pPr>
            <w:r>
              <w:rPr>
                <w:rFonts w:hint="eastAsia" w:ascii="仿宋" w:hAnsi="仿宋" w:eastAsia="仿宋" w:cs="仿宋"/>
                <w:bCs/>
                <w:color w:val="auto"/>
                <w:sz w:val="24"/>
              </w:rPr>
              <w:t>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30</w:t>
            </w:r>
          </w:p>
        </w:tc>
        <w:tc>
          <w:tcPr>
            <w:tcW w:w="4883" w:type="dxa"/>
            <w:shd w:val="clear" w:color="auto" w:fill="auto"/>
            <w:tcMar>
              <w:top w:w="15" w:type="dxa"/>
              <w:left w:w="15" w:type="dxa"/>
              <w:right w:w="15" w:type="dxa"/>
            </w:tcMar>
            <w:vAlign w:val="center"/>
          </w:tcPr>
          <w:p>
            <w:pPr>
              <w:textAlignment w:val="baseline"/>
              <w:rPr>
                <w:rFonts w:ascii="仿宋" w:hAnsi="仿宋" w:eastAsia="仿宋" w:cs="仿宋"/>
                <w:color w:val="auto"/>
                <w:sz w:val="24"/>
              </w:rPr>
            </w:pPr>
            <w:r>
              <w:rPr>
                <w:rFonts w:hint="eastAsia" w:ascii="仿宋" w:hAnsi="仿宋" w:eastAsia="仿宋" w:cs="仿宋"/>
                <w:color w:val="auto"/>
                <w:sz w:val="24"/>
              </w:rPr>
              <w:t>经查实中标方留用有精神病史、吸毒、非法上访、参加邪教组织等有犯罪前科史的或有吸毒、非法上访、参加邪教组织等犯罪违法活动的人员（每人次)</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31</w:t>
            </w:r>
          </w:p>
        </w:tc>
        <w:tc>
          <w:tcPr>
            <w:tcW w:w="4883" w:type="dxa"/>
            <w:shd w:val="clear" w:color="auto" w:fill="auto"/>
            <w:tcMar>
              <w:top w:w="15" w:type="dxa"/>
              <w:left w:w="15" w:type="dxa"/>
              <w:right w:w="15" w:type="dxa"/>
            </w:tcMar>
            <w:vAlign w:val="center"/>
          </w:tcPr>
          <w:p>
            <w:pPr>
              <w:textAlignment w:val="baseline"/>
              <w:rPr>
                <w:rFonts w:ascii="仿宋" w:hAnsi="仿宋" w:eastAsia="仿宋" w:cs="仿宋"/>
                <w:color w:val="auto"/>
                <w:sz w:val="24"/>
              </w:rPr>
            </w:pPr>
            <w:r>
              <w:rPr>
                <w:rFonts w:hint="eastAsia" w:ascii="仿宋" w:hAnsi="仿宋" w:eastAsia="仿宋" w:cs="仿宋"/>
                <w:color w:val="auto"/>
                <w:sz w:val="24"/>
              </w:rPr>
              <w:t>中标方被投诉后经查实属有责的，并造成影响的（每次)</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32</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中标方员工通过网络社交平台发布负面内容；被其他人员通过网络社交平台发布负面内容或被媒体曝光产生负面新闻，影响公司形象的（每次)</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33</w:t>
            </w:r>
          </w:p>
        </w:tc>
        <w:tc>
          <w:tcPr>
            <w:tcW w:w="4883" w:type="dxa"/>
            <w:shd w:val="clear" w:color="auto" w:fill="auto"/>
            <w:tcMar>
              <w:top w:w="15" w:type="dxa"/>
              <w:left w:w="15" w:type="dxa"/>
              <w:right w:w="15" w:type="dxa"/>
            </w:tcMar>
            <w:vAlign w:val="center"/>
          </w:tcPr>
          <w:p>
            <w:pPr>
              <w:textAlignment w:val="baseline"/>
              <w:rPr>
                <w:rFonts w:ascii="仿宋" w:hAnsi="仿宋" w:eastAsia="仿宋" w:cs="仿宋"/>
                <w:color w:val="auto"/>
                <w:sz w:val="24"/>
              </w:rPr>
            </w:pPr>
            <w:r>
              <w:rPr>
                <w:rFonts w:hint="eastAsia" w:ascii="仿宋" w:hAnsi="仿宋" w:eastAsia="仿宋" w:cs="仿宋"/>
                <w:color w:val="auto"/>
                <w:sz w:val="24"/>
              </w:rPr>
              <w:t>被上级部门通报的（每次)</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1000至5000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sz w:val="24"/>
              </w:rPr>
            </w:pPr>
            <w:r>
              <w:rPr>
                <w:rFonts w:ascii="仿宋" w:hAnsi="仿宋" w:eastAsia="仿宋" w:cs="仿宋"/>
                <w:bCs/>
                <w:color w:val="auto"/>
                <w:sz w:val="24"/>
              </w:rPr>
              <w:t>34</w:t>
            </w:r>
          </w:p>
        </w:tc>
        <w:tc>
          <w:tcPr>
            <w:tcW w:w="4883" w:type="dxa"/>
            <w:shd w:val="clear" w:color="auto" w:fill="auto"/>
            <w:tcMar>
              <w:top w:w="15" w:type="dxa"/>
              <w:left w:w="15" w:type="dxa"/>
              <w:right w:w="15" w:type="dxa"/>
            </w:tcMar>
            <w:vAlign w:val="center"/>
          </w:tcPr>
          <w:p>
            <w:pPr>
              <w:textAlignment w:val="baseline"/>
              <w:rPr>
                <w:rFonts w:ascii="仿宋" w:hAnsi="仿宋" w:eastAsia="仿宋" w:cs="仿宋"/>
                <w:color w:val="auto"/>
                <w:sz w:val="24"/>
              </w:rPr>
            </w:pPr>
            <w:r>
              <w:rPr>
                <w:rFonts w:hint="eastAsia" w:ascii="仿宋" w:hAnsi="仿宋" w:eastAsia="仿宋" w:cs="仿宋"/>
                <w:color w:val="auto"/>
                <w:sz w:val="24"/>
              </w:rPr>
              <w:t>因中标方问题，被新闻媒体负面报道经查属实或被新闻单位通报批评，影响公司形象的（每次)</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5000至50000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35</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中标方未按岗位数量要求派遣人员，对运营造成影响，导致工作无法开展的（每次)</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36</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sz w:val="24"/>
                <w:lang w:eastAsia="zh-CN"/>
              </w:rPr>
              <w:t>中标方</w:t>
            </w:r>
            <w:r>
              <w:rPr>
                <w:rFonts w:hint="eastAsia" w:ascii="仿宋" w:hAnsi="仿宋" w:eastAsia="仿宋" w:cs="仿宋"/>
                <w:color w:val="auto"/>
                <w:kern w:val="0"/>
                <w:sz w:val="24"/>
                <w:lang w:eastAsia="zh-CN" w:bidi="ar"/>
              </w:rPr>
              <w:t>提供不合格的消杀、保洁药品药剂，被检查或造成后果的。</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37</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kern w:val="0"/>
                <w:sz w:val="24"/>
                <w:lang w:eastAsia="zh-CN" w:bidi="ar"/>
              </w:rPr>
              <w:t>保洁作业期间发生影响运营安全的一般事故以下的事件。</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5000至25000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38</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sz w:val="24"/>
                <w:lang w:eastAsia="zh-CN"/>
              </w:rPr>
            </w:pPr>
            <w:r>
              <w:rPr>
                <w:rFonts w:hint="eastAsia" w:ascii="仿宋" w:hAnsi="仿宋" w:eastAsia="仿宋" w:cs="仿宋"/>
                <w:color w:val="auto"/>
                <w:kern w:val="0"/>
                <w:sz w:val="24"/>
                <w:lang w:eastAsia="zh-CN" w:bidi="ar"/>
              </w:rPr>
              <w:t>保洁作业期间发生影响运营安全的一般事故以上的事件。</w:t>
            </w:r>
          </w:p>
        </w:tc>
        <w:tc>
          <w:tcPr>
            <w:tcW w:w="2070" w:type="dxa"/>
            <w:shd w:val="clear" w:color="auto" w:fill="auto"/>
            <w:tcMar>
              <w:top w:w="0" w:type="dxa"/>
              <w:left w:w="74" w:type="dxa"/>
              <w:right w:w="74" w:type="dxa"/>
            </w:tcMar>
            <w:vAlign w:val="center"/>
          </w:tcPr>
          <w:p>
            <w:pPr>
              <w:jc w:val="center"/>
              <w:textAlignment w:val="baseline"/>
              <w:rPr>
                <w:rFonts w:ascii="仿宋" w:hAnsi="仿宋" w:eastAsia="仿宋" w:cs="仿宋"/>
                <w:bCs/>
                <w:color w:val="auto"/>
                <w:sz w:val="24"/>
              </w:rPr>
            </w:pPr>
            <w:r>
              <w:rPr>
                <w:rFonts w:hint="eastAsia" w:ascii="仿宋" w:hAnsi="仿宋" w:eastAsia="仿宋" w:cs="仿宋"/>
                <w:bCs/>
                <w:color w:val="auto"/>
                <w:sz w:val="24"/>
              </w:rPr>
              <w:t>25000至50000</w:t>
            </w:r>
          </w:p>
        </w:tc>
        <w:tc>
          <w:tcPr>
            <w:tcW w:w="1706" w:type="dxa"/>
            <w:shd w:val="clear" w:color="auto" w:fill="auto"/>
            <w:tcMar>
              <w:top w:w="15" w:type="dxa"/>
              <w:left w:w="15" w:type="dxa"/>
              <w:right w:w="15" w:type="dxa"/>
            </w:tcMar>
            <w:vAlign w:val="center"/>
          </w:tcPr>
          <w:p>
            <w:pPr>
              <w:widowControl/>
              <w:jc w:val="center"/>
              <w:textAlignment w:val="center"/>
              <w:rPr>
                <w:rFonts w:ascii="仿宋" w:hAnsi="仿宋" w:eastAsia="仿宋" w:cs="仿宋"/>
                <w:color w:val="auto"/>
                <w:sz w:val="24"/>
              </w:rPr>
            </w:pPr>
            <w:r>
              <w:rPr>
                <w:rFonts w:hint="eastAsia" w:ascii="仿宋" w:hAnsi="仿宋" w:eastAsia="仿宋" w:cs="仿宋"/>
                <w:color w:val="auto"/>
                <w:sz w:val="24"/>
              </w:rPr>
              <w:t>中标方承担全部责任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7" w:hRule="atLeast"/>
        </w:trPr>
        <w:tc>
          <w:tcPr>
            <w:tcW w:w="639" w:type="dxa"/>
            <w:shd w:val="clear" w:color="auto" w:fill="auto"/>
            <w:tcMar>
              <w:top w:w="15" w:type="dxa"/>
              <w:left w:w="15" w:type="dxa"/>
              <w:right w:w="15" w:type="dxa"/>
            </w:tcMar>
            <w:vAlign w:val="center"/>
          </w:tcPr>
          <w:p>
            <w:pPr>
              <w:widowControl/>
              <w:jc w:val="center"/>
              <w:textAlignment w:val="center"/>
              <w:rPr>
                <w:rFonts w:ascii="仿宋" w:hAnsi="仿宋" w:eastAsia="仿宋" w:cs="仿宋"/>
                <w:bCs/>
                <w:color w:val="auto"/>
                <w:kern w:val="0"/>
                <w:sz w:val="24"/>
              </w:rPr>
            </w:pPr>
            <w:r>
              <w:rPr>
                <w:rFonts w:ascii="仿宋" w:hAnsi="仿宋" w:eastAsia="仿宋" w:cs="仿宋"/>
                <w:bCs/>
                <w:color w:val="auto"/>
                <w:kern w:val="0"/>
                <w:sz w:val="24"/>
              </w:rPr>
              <w:t>39</w:t>
            </w:r>
          </w:p>
        </w:tc>
        <w:tc>
          <w:tcPr>
            <w:tcW w:w="4883" w:type="dxa"/>
            <w:shd w:val="clear" w:color="auto" w:fill="auto"/>
            <w:tcMar>
              <w:top w:w="15" w:type="dxa"/>
              <w:left w:w="15" w:type="dxa"/>
              <w:right w:w="15" w:type="dxa"/>
            </w:tcMar>
            <w:vAlign w:val="center"/>
          </w:tcPr>
          <w:p>
            <w:pPr>
              <w:pStyle w:val="110"/>
              <w:textAlignment w:val="baseline"/>
              <w:rPr>
                <w:rFonts w:ascii="仿宋" w:hAnsi="仿宋" w:eastAsia="仿宋" w:cs="仿宋"/>
                <w:color w:val="auto"/>
                <w:kern w:val="0"/>
                <w:sz w:val="24"/>
                <w:lang w:eastAsia="zh-CN" w:bidi="ar"/>
              </w:rPr>
            </w:pPr>
            <w:r>
              <w:rPr>
                <w:rFonts w:hint="eastAsia" w:ascii="仿宋" w:hAnsi="仿宋" w:eastAsia="仿宋" w:cs="仿宋"/>
                <w:color w:val="auto"/>
                <w:sz w:val="24"/>
                <w:lang w:eastAsia="zh-CN"/>
              </w:rPr>
              <w:t>已下发书面《整改通知书》，到期再检查，未能及时整改到位的</w:t>
            </w:r>
          </w:p>
        </w:tc>
        <w:tc>
          <w:tcPr>
            <w:tcW w:w="3776" w:type="dxa"/>
            <w:gridSpan w:val="2"/>
            <w:shd w:val="clear" w:color="auto" w:fill="auto"/>
            <w:tcMar>
              <w:top w:w="0" w:type="dxa"/>
              <w:left w:w="74" w:type="dxa"/>
              <w:right w:w="74" w:type="dxa"/>
            </w:tcMar>
            <w:vAlign w:val="center"/>
          </w:tcPr>
          <w:p>
            <w:pPr>
              <w:widowControl/>
              <w:textAlignment w:val="center"/>
              <w:rPr>
                <w:rFonts w:ascii="仿宋" w:hAnsi="仿宋" w:eastAsia="仿宋" w:cs="仿宋"/>
                <w:color w:val="auto"/>
                <w:sz w:val="24"/>
              </w:rPr>
            </w:pPr>
            <w:r>
              <w:rPr>
                <w:rFonts w:hint="eastAsia" w:ascii="仿宋" w:hAnsi="仿宋" w:eastAsia="仿宋" w:cs="仿宋"/>
                <w:color w:val="auto"/>
                <w:sz w:val="24"/>
              </w:rPr>
              <w:t>在上一份整改通知书的基础上，加倍罚款</w:t>
            </w:r>
          </w:p>
        </w:tc>
      </w:tr>
    </w:tbl>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宋体" w:hAnsi="宋体" w:cs="宋体"/>
          <w:b/>
          <w:color w:val="auto"/>
          <w:kern w:val="32"/>
          <w:szCs w:val="21"/>
        </w:rPr>
      </w:pPr>
    </w:p>
    <w:p>
      <w:pPr>
        <w:textAlignment w:val="baseline"/>
        <w:rPr>
          <w:rFonts w:ascii="仿宋" w:hAnsi="仿宋" w:eastAsia="仿宋" w:cs="仿宋"/>
          <w:bCs/>
          <w:color w:val="auto"/>
          <w:sz w:val="30"/>
          <w:szCs w:val="30"/>
        </w:rPr>
      </w:pPr>
    </w:p>
    <w:p>
      <w:pPr>
        <w:textAlignment w:val="baseline"/>
        <w:rPr>
          <w:rFonts w:ascii="仿宋" w:hAnsi="仿宋" w:eastAsia="仿宋" w:cs="仿宋"/>
          <w:bCs/>
          <w:color w:val="auto"/>
          <w:sz w:val="30"/>
          <w:szCs w:val="30"/>
        </w:rPr>
      </w:pPr>
    </w:p>
    <w:p>
      <w:pPr>
        <w:textAlignment w:val="baseline"/>
        <w:rPr>
          <w:rFonts w:hint="eastAsia" w:ascii="仿宋" w:hAnsi="仿宋" w:eastAsia="仿宋" w:cs="仿宋"/>
          <w:bCs/>
          <w:color w:val="auto"/>
          <w:sz w:val="30"/>
          <w:szCs w:val="30"/>
        </w:rPr>
      </w:pPr>
    </w:p>
    <w:p>
      <w:pPr>
        <w:rPr>
          <w:rFonts w:hint="eastAsia" w:ascii="仿宋" w:hAnsi="仿宋" w:eastAsia="仿宋" w:cs="仿宋"/>
          <w:bCs/>
          <w:color w:val="auto"/>
          <w:sz w:val="30"/>
          <w:szCs w:val="30"/>
        </w:rPr>
      </w:pPr>
      <w:r>
        <w:rPr>
          <w:rFonts w:hint="eastAsia" w:ascii="仿宋" w:hAnsi="仿宋" w:eastAsia="仿宋" w:cs="仿宋"/>
          <w:bCs/>
          <w:color w:val="auto"/>
          <w:sz w:val="30"/>
          <w:szCs w:val="30"/>
        </w:rPr>
        <w:br w:type="page"/>
      </w:r>
    </w:p>
    <w:p>
      <w:pPr>
        <w:textAlignment w:val="baseline"/>
        <w:rPr>
          <w:rFonts w:ascii="仿宋" w:hAnsi="仿宋" w:eastAsia="仿宋" w:cs="仿宋"/>
          <w:bCs/>
          <w:color w:val="auto"/>
          <w:sz w:val="30"/>
          <w:szCs w:val="30"/>
        </w:rPr>
      </w:pPr>
      <w:r>
        <w:rPr>
          <w:rFonts w:hint="eastAsia" w:ascii="仿宋" w:hAnsi="仿宋" w:eastAsia="仿宋" w:cs="仿宋"/>
          <w:bCs/>
          <w:color w:val="auto"/>
          <w:sz w:val="30"/>
          <w:szCs w:val="30"/>
        </w:rPr>
        <w:t>附件</w:t>
      </w:r>
      <w:r>
        <w:rPr>
          <w:rFonts w:ascii="仿宋" w:hAnsi="仿宋" w:eastAsia="仿宋" w:cs="仿宋"/>
          <w:bCs/>
          <w:color w:val="auto"/>
          <w:sz w:val="30"/>
          <w:szCs w:val="30"/>
        </w:rPr>
        <w:t>2</w:t>
      </w:r>
    </w:p>
    <w:p>
      <w:pPr>
        <w:jc w:val="center"/>
        <w:textAlignment w:val="baseline"/>
        <w:rPr>
          <w:color w:val="auto"/>
          <w:sz w:val="28"/>
          <w:szCs w:val="28"/>
        </w:rPr>
      </w:pPr>
      <w:r>
        <w:rPr>
          <w:rFonts w:hint="eastAsia" w:ascii="宋体" w:hAnsi="宋体" w:cs="宋体"/>
          <w:b/>
          <w:color w:val="auto"/>
          <w:sz w:val="36"/>
          <w:szCs w:val="36"/>
        </w:rPr>
        <w:t>整改（考核）通知书</w:t>
      </w:r>
      <w:r>
        <w:rPr>
          <w:rFonts w:hint="eastAsia"/>
          <w:color w:val="auto"/>
          <w:sz w:val="28"/>
          <w:szCs w:val="28"/>
        </w:rPr>
        <w:t xml:space="preserve">                               </w:t>
      </w:r>
    </w:p>
    <w:tbl>
      <w:tblPr>
        <w:tblStyle w:val="34"/>
        <w:tblW w:w="88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2892"/>
        <w:gridCol w:w="1538"/>
        <w:gridCol w:w="3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Align w:val="center"/>
          </w:tcPr>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下达单位</w:t>
            </w:r>
          </w:p>
        </w:tc>
        <w:tc>
          <w:tcPr>
            <w:tcW w:w="2892" w:type="dxa"/>
            <w:vAlign w:val="center"/>
          </w:tcPr>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tc>
        <w:tc>
          <w:tcPr>
            <w:tcW w:w="1538" w:type="dxa"/>
            <w:vAlign w:val="center"/>
          </w:tcPr>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下达时间</w:t>
            </w:r>
          </w:p>
        </w:tc>
        <w:tc>
          <w:tcPr>
            <w:tcW w:w="3010" w:type="dxa"/>
            <w:vAlign w:val="center"/>
          </w:tcPr>
          <w:p>
            <w:pPr>
              <w:jc w:val="center"/>
              <w:textAlignment w:val="baseline"/>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13" w:type="dxa"/>
            <w:vAlign w:val="center"/>
          </w:tcPr>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受检单位</w:t>
            </w:r>
          </w:p>
        </w:tc>
        <w:tc>
          <w:tcPr>
            <w:tcW w:w="2892" w:type="dxa"/>
            <w:vAlign w:val="center"/>
          </w:tcPr>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tc>
        <w:tc>
          <w:tcPr>
            <w:tcW w:w="1538" w:type="dxa"/>
            <w:vAlign w:val="center"/>
          </w:tcPr>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检查时间</w:t>
            </w:r>
          </w:p>
        </w:tc>
        <w:tc>
          <w:tcPr>
            <w:tcW w:w="3010" w:type="dxa"/>
            <w:vAlign w:val="center"/>
          </w:tcPr>
          <w:p>
            <w:pPr>
              <w:jc w:val="center"/>
              <w:textAlignment w:val="baseline"/>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4" w:hRule="atLeast"/>
          <w:jc w:val="center"/>
        </w:trPr>
        <w:tc>
          <w:tcPr>
            <w:tcW w:w="8853" w:type="dxa"/>
            <w:gridSpan w:val="4"/>
            <w:vAlign w:val="center"/>
          </w:tcPr>
          <w:p>
            <w:pP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检查情况:</w:t>
            </w: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ind w:firstLine="630"/>
              <w:jc w:val="center"/>
              <w:textAlignment w:val="baseline"/>
              <w:rPr>
                <w:rFonts w:ascii="仿宋_GB2312" w:hAnsi="仿宋_GB2312" w:eastAsia="仿宋_GB2312" w:cs="仿宋_GB2312"/>
                <w:color w:val="auto"/>
                <w:kern w:val="0"/>
                <w:sz w:val="24"/>
              </w:rPr>
            </w:pPr>
          </w:p>
          <w:p>
            <w:pPr>
              <w:ind w:firstLine="630"/>
              <w:jc w:val="center"/>
              <w:textAlignment w:val="baseline"/>
              <w:rPr>
                <w:rFonts w:ascii="仿宋_GB2312" w:hAnsi="仿宋_GB2312" w:eastAsia="仿宋_GB2312" w:cs="仿宋_GB2312"/>
                <w:color w:val="auto"/>
                <w:kern w:val="0"/>
                <w:sz w:val="24"/>
              </w:rPr>
            </w:pPr>
          </w:p>
          <w:p>
            <w:pPr>
              <w:ind w:firstLine="630"/>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 xml:space="preserve"> </w:t>
            </w:r>
            <w:r>
              <w:rPr>
                <w:rFonts w:ascii="仿宋_GB2312" w:hAnsi="仿宋_GB2312" w:eastAsia="仿宋_GB2312" w:cs="仿宋_GB2312"/>
                <w:color w:val="auto"/>
                <w:kern w:val="0"/>
                <w:sz w:val="24"/>
              </w:rPr>
              <w:t xml:space="preserve">         </w:t>
            </w:r>
            <w:r>
              <w:rPr>
                <w:rFonts w:hint="eastAsia" w:ascii="仿宋_GB2312" w:hAnsi="仿宋_GB2312" w:eastAsia="仿宋_GB2312" w:cs="仿宋_GB2312"/>
                <w:color w:val="auto"/>
                <w:kern w:val="0"/>
                <w:sz w:val="24"/>
              </w:rPr>
              <w:t xml:space="preserve">检查人：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1413" w:type="dxa"/>
            <w:vAlign w:val="center"/>
          </w:tcPr>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整改期限</w:t>
            </w:r>
          </w:p>
        </w:tc>
        <w:tc>
          <w:tcPr>
            <w:tcW w:w="2892" w:type="dxa"/>
            <w:vAlign w:val="center"/>
          </w:tcPr>
          <w:p>
            <w:pPr>
              <w:jc w:val="center"/>
              <w:textAlignment w:val="baseline"/>
              <w:rPr>
                <w:rFonts w:ascii="仿宋_GB2312" w:hAnsi="仿宋_GB2312" w:eastAsia="仿宋_GB2312" w:cs="仿宋_GB2312"/>
                <w:color w:val="auto"/>
                <w:kern w:val="0"/>
                <w:sz w:val="24"/>
              </w:rPr>
            </w:pPr>
          </w:p>
        </w:tc>
        <w:tc>
          <w:tcPr>
            <w:tcW w:w="1538" w:type="dxa"/>
            <w:vAlign w:val="center"/>
          </w:tcPr>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责任人签认</w:t>
            </w:r>
          </w:p>
        </w:tc>
        <w:tc>
          <w:tcPr>
            <w:tcW w:w="3010" w:type="dxa"/>
            <w:vAlign w:val="center"/>
          </w:tcPr>
          <w:p>
            <w:pPr>
              <w:jc w:val="center"/>
              <w:textAlignment w:val="baseline"/>
              <w:rPr>
                <w:rFonts w:ascii="仿宋_GB2312" w:hAnsi="仿宋_GB2312" w:eastAsia="仿宋_GB2312" w:cs="仿宋_GB2312"/>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9" w:hRule="atLeast"/>
          <w:jc w:val="center"/>
        </w:trPr>
        <w:tc>
          <w:tcPr>
            <w:tcW w:w="8853" w:type="dxa"/>
            <w:gridSpan w:val="4"/>
            <w:vAlign w:val="center"/>
          </w:tcPr>
          <w:p>
            <w:pP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复查情况:</w:t>
            </w: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p>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 xml:space="preserve">     </w:t>
            </w:r>
          </w:p>
          <w:p>
            <w:pPr>
              <w:jc w:val="center"/>
              <w:textAlignment w:val="baseline"/>
              <w:rPr>
                <w:rFonts w:ascii="仿宋_GB2312" w:hAnsi="仿宋_GB2312" w:eastAsia="仿宋_GB2312" w:cs="仿宋_GB2312"/>
                <w:color w:val="auto"/>
                <w:kern w:val="0"/>
                <w:sz w:val="24"/>
              </w:rPr>
            </w:pPr>
            <w:r>
              <w:rPr>
                <w:rFonts w:hint="eastAsia" w:ascii="仿宋_GB2312" w:hAnsi="仿宋_GB2312" w:eastAsia="仿宋_GB2312" w:cs="仿宋_GB2312"/>
                <w:color w:val="auto"/>
                <w:kern w:val="0"/>
                <w:sz w:val="24"/>
              </w:rPr>
              <w:t xml:space="preserve">                           检查人:</w:t>
            </w:r>
          </w:p>
        </w:tc>
      </w:tr>
    </w:tbl>
    <w:p>
      <w:pPr>
        <w:rPr>
          <w:rFonts w:hint="eastAsia" w:ascii="宋体"/>
          <w:b/>
          <w:color w:val="auto"/>
          <w:sz w:val="32"/>
          <w:szCs w:val="32"/>
          <w:highlight w:val="none"/>
        </w:rPr>
      </w:pPr>
      <w:r>
        <w:rPr>
          <w:rFonts w:hint="eastAsia" w:ascii="宋体"/>
          <w:b/>
          <w:color w:val="auto"/>
          <w:sz w:val="32"/>
          <w:szCs w:val="32"/>
          <w:highlight w:val="none"/>
        </w:rPr>
        <w:br w:type="page"/>
      </w:r>
    </w:p>
    <w:p>
      <w:pPr>
        <w:numPr>
          <w:ilvl w:val="0"/>
          <w:numId w:val="0"/>
        </w:numPr>
        <w:spacing w:before="156" w:beforeLines="50" w:after="156" w:afterLines="50"/>
        <w:jc w:val="center"/>
        <w:outlineLvl w:val="0"/>
        <w:rPr>
          <w:rFonts w:hint="eastAsia" w:ascii="宋体"/>
          <w:b/>
          <w:color w:val="auto"/>
          <w:sz w:val="32"/>
          <w:szCs w:val="32"/>
          <w:highlight w:val="none"/>
          <w:lang w:val="en-US" w:eastAsia="zh-CN"/>
        </w:rPr>
      </w:pPr>
      <w:r>
        <w:rPr>
          <w:rFonts w:hint="eastAsia" w:ascii="宋体"/>
          <w:b/>
          <w:color w:val="auto"/>
          <w:sz w:val="32"/>
          <w:szCs w:val="32"/>
          <w:highlight w:val="none"/>
          <w:lang w:val="en-US" w:eastAsia="zh-CN"/>
        </w:rPr>
        <w:t xml:space="preserve">第五章  </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合同格式（参考）</w:t>
      </w:r>
    </w:p>
    <w:p>
      <w:pPr>
        <w:widowControl/>
        <w:spacing w:line="400" w:lineRule="exact"/>
        <w:ind w:left="360"/>
        <w:jc w:val="center"/>
        <w:textAlignment w:val="baseline"/>
        <w:outlineLvl w:val="1"/>
        <w:rPr>
          <w:rFonts w:hint="eastAsia" w:ascii="宋体"/>
          <w:b/>
          <w:color w:val="auto"/>
          <w:sz w:val="30"/>
          <w:szCs w:val="30"/>
          <w:highlight w:val="none"/>
        </w:rPr>
      </w:pPr>
    </w:p>
    <w:p>
      <w:pPr>
        <w:widowControl/>
        <w:spacing w:line="400" w:lineRule="exact"/>
        <w:ind w:left="360"/>
        <w:jc w:val="center"/>
        <w:textAlignment w:val="baseline"/>
        <w:outlineLvl w:val="1"/>
        <w:rPr>
          <w:rFonts w:hint="eastAsia" w:ascii="黑体" w:eastAsia="黑体"/>
          <w:b/>
          <w:color w:val="auto"/>
          <w:sz w:val="30"/>
          <w:szCs w:val="30"/>
          <w:highlight w:val="none"/>
        </w:rPr>
      </w:pPr>
      <w:r>
        <w:rPr>
          <w:rFonts w:hint="eastAsia" w:ascii="宋体"/>
          <w:b/>
          <w:color w:val="auto"/>
          <w:sz w:val="30"/>
          <w:szCs w:val="30"/>
          <w:highlight w:val="none"/>
        </w:rPr>
        <w:t>一</w:t>
      </w:r>
      <w:bookmarkStart w:id="114" w:name="_Toc449028946"/>
      <w:r>
        <w:rPr>
          <w:rFonts w:hint="eastAsia" w:ascii="宋体"/>
          <w:b/>
          <w:color w:val="auto"/>
          <w:sz w:val="30"/>
          <w:szCs w:val="30"/>
          <w:highlight w:val="none"/>
        </w:rPr>
        <w:t>、合同协议书（格式）</w:t>
      </w:r>
      <w:bookmarkEnd w:id="114"/>
    </w:p>
    <w:p>
      <w:pPr>
        <w:spacing w:before="120" w:line="480" w:lineRule="auto"/>
        <w:ind w:left="960"/>
        <w:rPr>
          <w:rFonts w:hint="eastAsia" w:ascii="宋体" w:hAnsi="宋体"/>
          <w:color w:val="auto"/>
          <w:sz w:val="24"/>
          <w:highlight w:val="none"/>
        </w:rPr>
      </w:pPr>
    </w:p>
    <w:p>
      <w:pPr>
        <w:spacing w:before="120" w:line="480" w:lineRule="auto"/>
        <w:ind w:left="960"/>
        <w:rPr>
          <w:rFonts w:hint="eastAsia" w:ascii="宋体" w:hAnsi="宋体"/>
          <w:color w:val="auto"/>
          <w:sz w:val="24"/>
          <w:highlight w:val="none"/>
        </w:rPr>
      </w:pPr>
    </w:p>
    <w:p>
      <w:pPr>
        <w:spacing w:before="120" w:line="480" w:lineRule="auto"/>
        <w:ind w:left="960"/>
        <w:rPr>
          <w:rFonts w:hint="eastAsia" w:ascii="宋体" w:hAnsi="宋体"/>
          <w:color w:val="auto"/>
          <w:sz w:val="24"/>
          <w:highlight w:val="none"/>
        </w:rPr>
      </w:pPr>
    </w:p>
    <w:p>
      <w:pPr>
        <w:spacing w:before="120" w:line="480" w:lineRule="auto"/>
        <w:ind w:left="960"/>
        <w:rPr>
          <w:rFonts w:hint="eastAsia" w:ascii="宋体" w:hAnsi="宋体"/>
          <w:color w:val="auto"/>
          <w:sz w:val="24"/>
          <w:highlight w:val="none"/>
        </w:rPr>
      </w:pPr>
    </w:p>
    <w:p>
      <w:pPr>
        <w:spacing w:before="120" w:line="480" w:lineRule="auto"/>
        <w:ind w:left="960"/>
        <w:rPr>
          <w:rFonts w:hint="eastAsia" w:ascii="宋体" w:hAnsi="宋体"/>
          <w:color w:val="auto"/>
          <w:sz w:val="24"/>
          <w:highlight w:val="none"/>
        </w:rPr>
      </w:pPr>
    </w:p>
    <w:p>
      <w:pPr>
        <w:spacing w:before="120" w:line="480" w:lineRule="auto"/>
        <w:ind w:left="960"/>
        <w:rPr>
          <w:rFonts w:hint="eastAsia" w:ascii="宋体" w:hAnsi="宋体"/>
          <w:color w:val="auto"/>
          <w:szCs w:val="21"/>
          <w:highlight w:val="none"/>
        </w:rPr>
      </w:pPr>
      <w:r>
        <w:rPr>
          <w:rFonts w:hint="eastAsia" w:ascii="宋体" w:hAnsi="宋体"/>
          <w:color w:val="auto"/>
          <w:szCs w:val="21"/>
          <w:highlight w:val="none"/>
        </w:rPr>
        <w:t xml:space="preserve">项目名称：    </w:t>
      </w:r>
    </w:p>
    <w:p>
      <w:pPr>
        <w:spacing w:before="120" w:line="480" w:lineRule="auto"/>
        <w:ind w:left="960"/>
        <w:rPr>
          <w:rFonts w:ascii="宋体" w:hAnsi="宋体"/>
          <w:color w:val="auto"/>
          <w:szCs w:val="21"/>
          <w:highlight w:val="none"/>
        </w:rPr>
      </w:pPr>
      <w:r>
        <w:rPr>
          <w:rFonts w:hint="eastAsia" w:ascii="宋体" w:hAnsi="宋体"/>
          <w:color w:val="auto"/>
          <w:szCs w:val="21"/>
          <w:highlight w:val="none"/>
        </w:rPr>
        <w:t>项目编号：</w:t>
      </w:r>
    </w:p>
    <w:p>
      <w:pPr>
        <w:spacing w:before="120" w:line="480" w:lineRule="auto"/>
        <w:ind w:left="960"/>
        <w:rPr>
          <w:rFonts w:ascii="宋体" w:hAnsi="宋体"/>
          <w:color w:val="auto"/>
          <w:szCs w:val="21"/>
          <w:highlight w:val="none"/>
          <w:u w:val="single"/>
        </w:rPr>
      </w:pPr>
      <w:r>
        <w:rPr>
          <w:rFonts w:hint="eastAsia" w:ascii="宋体" w:hAnsi="宋体"/>
          <w:color w:val="auto"/>
          <w:szCs w:val="21"/>
          <w:highlight w:val="none"/>
        </w:rPr>
        <w:t>甲方（</w:t>
      </w:r>
      <w:r>
        <w:rPr>
          <w:rFonts w:hint="eastAsia" w:ascii="宋体" w:hAnsi="宋体"/>
          <w:color w:val="auto"/>
          <w:szCs w:val="21"/>
          <w:highlight w:val="none"/>
          <w:lang w:val="en-US" w:eastAsia="zh-CN"/>
        </w:rPr>
        <w:t>招标</w:t>
      </w:r>
      <w:r>
        <w:rPr>
          <w:rFonts w:hint="eastAsia" w:ascii="宋体" w:hAnsi="宋体"/>
          <w:color w:val="auto"/>
          <w:szCs w:val="21"/>
          <w:highlight w:val="none"/>
        </w:rPr>
        <w:t>人）：</w:t>
      </w:r>
      <w:r>
        <w:rPr>
          <w:rFonts w:hint="eastAsia" w:ascii="宋体" w:hAnsi="宋体"/>
          <w:color w:val="auto"/>
          <w:szCs w:val="21"/>
          <w:highlight w:val="none"/>
          <w:u w:val="single"/>
        </w:rPr>
        <w:t xml:space="preserve">                              </w:t>
      </w:r>
    </w:p>
    <w:p>
      <w:pPr>
        <w:spacing w:before="120" w:line="480" w:lineRule="auto"/>
        <w:ind w:left="960"/>
        <w:rPr>
          <w:rFonts w:ascii="宋体" w:hAnsi="宋体"/>
          <w:color w:val="auto"/>
          <w:szCs w:val="21"/>
          <w:highlight w:val="none"/>
          <w:u w:val="single"/>
        </w:rPr>
      </w:pPr>
      <w:r>
        <w:rPr>
          <w:rFonts w:hint="eastAsia" w:ascii="宋体" w:hAnsi="宋体"/>
          <w:color w:val="auto"/>
          <w:szCs w:val="21"/>
          <w:highlight w:val="none"/>
        </w:rPr>
        <w:t>乙方（中标人）：</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r>
        <w:rPr>
          <w:rFonts w:ascii="宋体" w:hAnsi="宋体"/>
          <w:color w:val="auto"/>
          <w:szCs w:val="21"/>
          <w:highlight w:val="none"/>
          <w:u w:val="single"/>
        </w:rPr>
        <w:t xml:space="preserve">   </w:t>
      </w:r>
      <w:r>
        <w:rPr>
          <w:rFonts w:hint="eastAsia" w:ascii="宋体" w:hAnsi="宋体"/>
          <w:color w:val="auto"/>
          <w:szCs w:val="21"/>
          <w:highlight w:val="none"/>
          <w:u w:val="single"/>
        </w:rPr>
        <w:t xml:space="preserve">                  </w:t>
      </w:r>
    </w:p>
    <w:p>
      <w:pPr>
        <w:spacing w:before="120" w:line="480" w:lineRule="auto"/>
        <w:ind w:firstLine="840" w:firstLineChars="400"/>
        <w:rPr>
          <w:rFonts w:ascii="宋体" w:hAnsi="宋体"/>
          <w:color w:val="auto"/>
          <w:szCs w:val="21"/>
          <w:highlight w:val="none"/>
          <w:u w:val="single"/>
        </w:rPr>
      </w:pPr>
      <w:r>
        <w:rPr>
          <w:rFonts w:hint="eastAsia" w:ascii="宋体" w:hAnsi="宋体"/>
          <w:color w:val="auto"/>
          <w:szCs w:val="21"/>
          <w:highlight w:val="none"/>
        </w:rPr>
        <w:t>签订地：</w:t>
      </w:r>
      <w:r>
        <w:rPr>
          <w:rFonts w:hint="eastAsia" w:ascii="宋体" w:hAnsi="宋体"/>
          <w:color w:val="auto"/>
          <w:szCs w:val="21"/>
          <w:highlight w:val="none"/>
          <w:u w:val="single"/>
        </w:rPr>
        <w:t xml:space="preserve">                                     </w:t>
      </w:r>
    </w:p>
    <w:p>
      <w:pPr>
        <w:spacing w:before="120" w:line="480" w:lineRule="auto"/>
        <w:ind w:firstLine="840" w:firstLineChars="400"/>
        <w:rPr>
          <w:rFonts w:ascii="宋体" w:hAnsi="宋体"/>
          <w:color w:val="auto"/>
          <w:szCs w:val="21"/>
          <w:highlight w:val="none"/>
        </w:rPr>
      </w:pPr>
      <w:r>
        <w:rPr>
          <w:rFonts w:hint="eastAsia" w:ascii="宋体" w:hAnsi="宋体"/>
          <w:color w:val="auto"/>
          <w:szCs w:val="21"/>
          <w:highlight w:val="none"/>
        </w:rPr>
        <w:t>签订日期：</w:t>
      </w:r>
      <w:r>
        <w:rPr>
          <w:rFonts w:hint="eastAsia" w:ascii="宋体" w:hAnsi="宋体"/>
          <w:color w:val="auto"/>
          <w:szCs w:val="21"/>
          <w:highlight w:val="none"/>
          <w:u w:val="single"/>
        </w:rPr>
        <w:t xml:space="preserve">               </w:t>
      </w:r>
      <w:r>
        <w:rPr>
          <w:rFonts w:hint="eastAsia" w:ascii="宋体" w:hAnsi="宋体"/>
          <w:color w:val="auto"/>
          <w:szCs w:val="21"/>
          <w:highlight w:val="none"/>
        </w:rPr>
        <w:t>年</w:t>
      </w:r>
      <w:r>
        <w:rPr>
          <w:rFonts w:hint="eastAsia" w:ascii="宋体" w:hAnsi="宋体"/>
          <w:color w:val="auto"/>
          <w:szCs w:val="21"/>
          <w:highlight w:val="none"/>
          <w:u w:val="single"/>
        </w:rPr>
        <w:t xml:space="preserve">       </w:t>
      </w:r>
      <w:r>
        <w:rPr>
          <w:rFonts w:hint="eastAsia" w:ascii="宋体" w:hAnsi="宋体"/>
          <w:color w:val="auto"/>
          <w:szCs w:val="21"/>
          <w:highlight w:val="none"/>
        </w:rPr>
        <w:t>月</w:t>
      </w:r>
      <w:r>
        <w:rPr>
          <w:rFonts w:hint="eastAsia" w:ascii="宋体" w:hAnsi="宋体"/>
          <w:color w:val="auto"/>
          <w:szCs w:val="21"/>
          <w:highlight w:val="none"/>
          <w:u w:val="single"/>
        </w:rPr>
        <w:t xml:space="preserve">       </w:t>
      </w:r>
      <w:r>
        <w:rPr>
          <w:rFonts w:hint="eastAsia" w:ascii="宋体" w:hAnsi="宋体"/>
          <w:color w:val="auto"/>
          <w:szCs w:val="21"/>
          <w:highlight w:val="none"/>
        </w:rPr>
        <w:t>日</w:t>
      </w:r>
    </w:p>
    <w:p>
      <w:pPr>
        <w:widowControl/>
        <w:jc w:val="left"/>
        <w:rPr>
          <w:rFonts w:ascii="宋体" w:hAnsi="宋体"/>
          <w:color w:val="auto"/>
          <w:szCs w:val="21"/>
          <w:highlight w:val="none"/>
        </w:rPr>
      </w:pPr>
      <w:r>
        <w:rPr>
          <w:rFonts w:ascii="宋体" w:hAnsi="宋体"/>
          <w:color w:val="auto"/>
          <w:szCs w:val="21"/>
          <w:highlight w:val="none"/>
        </w:rPr>
        <w:br w:type="page"/>
      </w:r>
    </w:p>
    <w:p>
      <w:pPr>
        <w:spacing w:line="360" w:lineRule="auto"/>
        <w:ind w:firstLine="435"/>
        <w:rPr>
          <w:rFonts w:ascii="宋体" w:hAnsi="宋体"/>
          <w:color w:val="auto"/>
          <w:szCs w:val="21"/>
          <w:highlight w:val="none"/>
        </w:rPr>
      </w:pPr>
      <w:r>
        <w:rPr>
          <w:rFonts w:hint="eastAsia" w:ascii="宋体" w:hAnsi="宋体"/>
          <w:i/>
          <w:iCs/>
          <w:color w:val="auto"/>
          <w:szCs w:val="21"/>
          <w:highlight w:val="none"/>
          <w:u w:val="single"/>
        </w:rPr>
        <w:t>（</w:t>
      </w:r>
      <w:r>
        <w:rPr>
          <w:rFonts w:hint="eastAsia" w:ascii="宋体" w:hAnsi="宋体"/>
          <w:i/>
          <w:iCs/>
          <w:color w:val="auto"/>
          <w:szCs w:val="21"/>
          <w:highlight w:val="none"/>
          <w:u w:val="single"/>
          <w:lang w:val="en-US" w:eastAsia="zh-CN"/>
        </w:rPr>
        <w:t>招标</w:t>
      </w:r>
      <w:r>
        <w:rPr>
          <w:rFonts w:hint="eastAsia" w:ascii="宋体" w:hAnsi="宋体"/>
          <w:i/>
          <w:iCs/>
          <w:color w:val="auto"/>
          <w:szCs w:val="21"/>
          <w:highlight w:val="none"/>
          <w:u w:val="single"/>
        </w:rPr>
        <w:t>人名称）</w:t>
      </w:r>
      <w:r>
        <w:rPr>
          <w:rFonts w:hint="eastAsia" w:ascii="宋体" w:hAnsi="宋体"/>
          <w:color w:val="auto"/>
          <w:szCs w:val="21"/>
          <w:highlight w:val="none"/>
        </w:rPr>
        <w:t>（</w:t>
      </w:r>
      <w:r>
        <w:rPr>
          <w:rFonts w:hint="eastAsia" w:ascii="宋体" w:hAnsi="宋体"/>
          <w:color w:val="auto"/>
          <w:szCs w:val="21"/>
          <w:highlight w:val="none"/>
          <w:lang w:val="zh-CN"/>
        </w:rPr>
        <w:t>以下简称：甲方</w:t>
      </w:r>
      <w:r>
        <w:rPr>
          <w:rFonts w:hint="eastAsia" w:ascii="宋体" w:hAnsi="宋体"/>
          <w:color w:val="auto"/>
          <w:szCs w:val="21"/>
          <w:highlight w:val="none"/>
        </w:rPr>
        <w:t>）通过公开招标，经评标委员会评定，确定</w:t>
      </w:r>
      <w:r>
        <w:rPr>
          <w:rFonts w:hint="eastAsia" w:ascii="宋体" w:hAnsi="宋体"/>
          <w:i/>
          <w:iCs/>
          <w:color w:val="auto"/>
          <w:szCs w:val="21"/>
          <w:highlight w:val="none"/>
          <w:u w:val="single"/>
        </w:rPr>
        <w:t>（中标人名称）</w:t>
      </w:r>
      <w:r>
        <w:rPr>
          <w:rFonts w:hint="eastAsia" w:ascii="宋体" w:hAnsi="宋体"/>
          <w:color w:val="auto"/>
          <w:szCs w:val="21"/>
          <w:highlight w:val="none"/>
        </w:rPr>
        <w:t>（</w:t>
      </w:r>
      <w:r>
        <w:rPr>
          <w:rFonts w:hint="eastAsia" w:ascii="宋体" w:hAnsi="宋体"/>
          <w:color w:val="auto"/>
          <w:szCs w:val="21"/>
          <w:highlight w:val="none"/>
          <w:lang w:val="zh-CN"/>
        </w:rPr>
        <w:t>以下简称：乙方</w:t>
      </w:r>
      <w:r>
        <w:rPr>
          <w:rFonts w:hint="eastAsia" w:ascii="宋体" w:hAnsi="宋体"/>
          <w:color w:val="auto"/>
          <w:szCs w:val="21"/>
          <w:highlight w:val="none"/>
        </w:rPr>
        <w:t>）为本项目中标人，现按照采购文件确定的事项签订本合同。</w:t>
      </w:r>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rPr>
        <w:t>根据《中华人民共和国民法典》、《中华人民共和国</w:t>
      </w:r>
      <w:r>
        <w:rPr>
          <w:rFonts w:hint="eastAsia" w:ascii="宋体" w:hAnsi="宋体"/>
          <w:color w:val="auto"/>
          <w:szCs w:val="21"/>
          <w:highlight w:val="none"/>
          <w:lang w:val="en-US" w:eastAsia="zh-CN"/>
        </w:rPr>
        <w:t>招标投标法</w:t>
      </w:r>
      <w:r>
        <w:rPr>
          <w:rFonts w:hint="eastAsia" w:ascii="宋体" w:hAnsi="宋体"/>
          <w:color w:val="auto"/>
          <w:szCs w:val="21"/>
          <w:highlight w:val="none"/>
        </w:rPr>
        <w:t>》等相关法律法规之规定，按照平等、自愿、公平和诚实信用的原则，经甲方和乙方协商一致，约定以下合同条款，以兹共同遵守、全面履行。</w:t>
      </w:r>
    </w:p>
    <w:p>
      <w:pPr>
        <w:spacing w:line="360" w:lineRule="auto"/>
        <w:ind w:firstLine="437"/>
        <w:outlineLvl w:val="3"/>
        <w:rPr>
          <w:rFonts w:ascii="宋体" w:hAnsi="宋体"/>
          <w:b/>
          <w:bCs/>
          <w:color w:val="auto"/>
          <w:szCs w:val="21"/>
          <w:highlight w:val="none"/>
          <w:lang w:val="zh-CN"/>
        </w:rPr>
      </w:pPr>
      <w:bookmarkStart w:id="115" w:name="_Toc3029"/>
      <w:bookmarkStart w:id="116" w:name="_Toc24059"/>
      <w:bookmarkStart w:id="117" w:name="_Toc2232"/>
      <w:r>
        <w:rPr>
          <w:rFonts w:hint="eastAsia" w:ascii="宋体" w:hAnsi="宋体"/>
          <w:b/>
          <w:bCs/>
          <w:color w:val="auto"/>
          <w:szCs w:val="21"/>
          <w:highlight w:val="none"/>
          <w:lang w:val="zh-CN"/>
        </w:rPr>
        <w:t>1.1</w:t>
      </w:r>
      <w:r>
        <w:rPr>
          <w:rFonts w:ascii="宋体" w:hAnsi="宋体"/>
          <w:b/>
          <w:bCs/>
          <w:color w:val="auto"/>
          <w:szCs w:val="21"/>
          <w:highlight w:val="none"/>
          <w:lang w:val="zh-CN"/>
        </w:rPr>
        <w:t xml:space="preserve"> </w:t>
      </w:r>
      <w:r>
        <w:rPr>
          <w:rFonts w:hint="eastAsia" w:ascii="宋体" w:hAnsi="宋体"/>
          <w:b/>
          <w:bCs/>
          <w:color w:val="auto"/>
          <w:szCs w:val="21"/>
          <w:highlight w:val="none"/>
          <w:lang w:val="zh-CN"/>
        </w:rPr>
        <w:t>合同组成部分</w:t>
      </w:r>
      <w:bookmarkEnd w:id="115"/>
      <w:bookmarkEnd w:id="116"/>
      <w:bookmarkEnd w:id="117"/>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下列文件为本合同的组成部分，并构成一个整体，需综合解释、相互补充。如果下列文件内容出现不一致的情形，那么在保证按照采购文件确定的事项前提下，组成本合同的多个文件的优先适用顺序如下：</w:t>
      </w:r>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1.1.1本合同及其补充合同、变更协议；</w:t>
      </w:r>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1.1.2中标通知书；</w:t>
      </w:r>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1.1.3投标文件（含澄清或者说明文件）；</w:t>
      </w:r>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1.1.4招标文件（含澄清或者修改文件）；</w:t>
      </w:r>
    </w:p>
    <w:p>
      <w:pPr>
        <w:spacing w:line="360" w:lineRule="auto"/>
        <w:ind w:firstLine="435"/>
        <w:rPr>
          <w:rFonts w:ascii="宋体" w:hAnsi="宋体"/>
          <w:color w:val="auto"/>
          <w:szCs w:val="21"/>
          <w:highlight w:val="none"/>
          <w:lang w:val="zh-CN"/>
        </w:rPr>
      </w:pPr>
      <w:r>
        <w:rPr>
          <w:rFonts w:hint="eastAsia" w:ascii="宋体" w:hAnsi="宋体"/>
          <w:color w:val="auto"/>
          <w:szCs w:val="21"/>
          <w:highlight w:val="none"/>
          <w:lang w:val="zh-CN"/>
        </w:rPr>
        <w:t>1.1.5其他相关采购文件。</w:t>
      </w:r>
    </w:p>
    <w:p>
      <w:pPr>
        <w:spacing w:line="360" w:lineRule="auto"/>
        <w:ind w:firstLine="437"/>
        <w:outlineLvl w:val="3"/>
        <w:rPr>
          <w:rFonts w:ascii="宋体" w:hAnsi="宋体"/>
          <w:b/>
          <w:bCs/>
          <w:color w:val="auto"/>
          <w:szCs w:val="21"/>
          <w:highlight w:val="none"/>
          <w:lang w:val="zh-CN"/>
        </w:rPr>
      </w:pPr>
      <w:bookmarkStart w:id="118" w:name="_Toc6773"/>
      <w:bookmarkStart w:id="119" w:name="_Toc6311"/>
      <w:bookmarkStart w:id="120" w:name="_Toc2918"/>
      <w:bookmarkStart w:id="121" w:name="_Toc22185"/>
      <w:bookmarkStart w:id="122" w:name="_Toc18585"/>
      <w:r>
        <w:rPr>
          <w:rFonts w:hint="eastAsia" w:ascii="宋体" w:hAnsi="宋体"/>
          <w:b/>
          <w:bCs/>
          <w:color w:val="auto"/>
          <w:szCs w:val="21"/>
          <w:highlight w:val="none"/>
          <w:lang w:val="zh-CN"/>
        </w:rPr>
        <w:t xml:space="preserve">1.2 </w:t>
      </w:r>
      <w:bookmarkEnd w:id="118"/>
      <w:bookmarkEnd w:id="119"/>
      <w:bookmarkEnd w:id="120"/>
      <w:bookmarkEnd w:id="121"/>
      <w:bookmarkEnd w:id="122"/>
      <w:r>
        <w:rPr>
          <w:rFonts w:hint="eastAsia" w:ascii="宋体" w:hAnsi="宋体"/>
          <w:b/>
          <w:bCs/>
          <w:color w:val="auto"/>
          <w:szCs w:val="21"/>
          <w:highlight w:val="none"/>
          <w:lang w:val="zh-CN"/>
        </w:rPr>
        <w:t>服务</w:t>
      </w:r>
    </w:p>
    <w:p>
      <w:pPr>
        <w:spacing w:line="360" w:lineRule="auto"/>
        <w:ind w:firstLine="435"/>
        <w:rPr>
          <w:rFonts w:ascii="宋体" w:hAnsi="宋体"/>
          <w:color w:val="auto"/>
          <w:szCs w:val="21"/>
          <w:highlight w:val="none"/>
          <w:u w:val="single"/>
        </w:rPr>
      </w:pPr>
      <w:r>
        <w:rPr>
          <w:rFonts w:hint="eastAsia" w:ascii="宋体" w:hAnsi="宋体"/>
          <w:color w:val="auto"/>
          <w:szCs w:val="21"/>
          <w:highlight w:val="none"/>
        </w:rPr>
        <w:t>1.2.1服务</w:t>
      </w:r>
      <w:r>
        <w:rPr>
          <w:rFonts w:ascii="宋体" w:hAnsi="宋体"/>
          <w:color w:val="auto"/>
          <w:szCs w:val="21"/>
          <w:highlight w:val="none"/>
        </w:rPr>
        <w:t>名称：</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5"/>
        <w:rPr>
          <w:rFonts w:ascii="宋体" w:hAnsi="宋体"/>
          <w:color w:val="auto"/>
          <w:szCs w:val="21"/>
          <w:highlight w:val="none"/>
          <w:u w:val="single"/>
        </w:rPr>
      </w:pPr>
      <w:r>
        <w:rPr>
          <w:rFonts w:hint="eastAsia" w:ascii="宋体" w:hAnsi="宋体"/>
          <w:color w:val="auto"/>
          <w:szCs w:val="21"/>
          <w:highlight w:val="none"/>
        </w:rPr>
        <w:t>1.2.2服务内容</w:t>
      </w:r>
      <w:r>
        <w:rPr>
          <w:rFonts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1.2.3服务质量：</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123" w:name="_Toc21551"/>
      <w:bookmarkStart w:id="124" w:name="_Toc23292"/>
      <w:bookmarkStart w:id="125" w:name="_Toc21631"/>
      <w:r>
        <w:rPr>
          <w:rFonts w:hint="eastAsia" w:ascii="宋体" w:hAnsi="宋体"/>
          <w:b/>
          <w:bCs/>
          <w:color w:val="auto"/>
          <w:szCs w:val="21"/>
          <w:highlight w:val="none"/>
          <w:lang w:val="zh-CN"/>
        </w:rPr>
        <w:t>1.</w:t>
      </w:r>
      <w:r>
        <w:rPr>
          <w:rFonts w:ascii="宋体" w:hAnsi="宋体"/>
          <w:b/>
          <w:bCs/>
          <w:color w:val="auto"/>
          <w:szCs w:val="21"/>
          <w:highlight w:val="none"/>
          <w:lang w:val="zh-CN"/>
        </w:rPr>
        <w:t xml:space="preserve">3 </w:t>
      </w:r>
      <w:r>
        <w:rPr>
          <w:rFonts w:hint="eastAsia" w:ascii="宋体" w:hAnsi="宋体"/>
          <w:b/>
          <w:bCs/>
          <w:color w:val="auto"/>
          <w:szCs w:val="21"/>
          <w:highlight w:val="none"/>
          <w:lang w:val="zh-CN"/>
        </w:rPr>
        <w:t>价款</w:t>
      </w:r>
      <w:bookmarkEnd w:id="123"/>
      <w:bookmarkEnd w:id="124"/>
      <w:bookmarkEnd w:id="125"/>
    </w:p>
    <w:p>
      <w:pPr>
        <w:spacing w:line="360" w:lineRule="auto"/>
        <w:ind w:firstLine="435"/>
        <w:rPr>
          <w:rFonts w:ascii="宋体" w:hAnsi="宋体"/>
          <w:color w:val="auto"/>
          <w:szCs w:val="21"/>
          <w:highlight w:val="none"/>
        </w:rPr>
      </w:pPr>
      <w:r>
        <w:rPr>
          <w:rFonts w:ascii="宋体" w:hAnsi="宋体"/>
          <w:color w:val="auto"/>
          <w:szCs w:val="21"/>
          <w:highlight w:val="none"/>
        </w:rPr>
        <w:t>本合同总价为</w:t>
      </w:r>
      <w:r>
        <w:rPr>
          <w:rFonts w:hint="eastAsia" w:ascii="宋体" w:hAnsi="宋体"/>
          <w:color w:val="auto"/>
          <w:szCs w:val="21"/>
          <w:highlight w:val="none"/>
        </w:rPr>
        <w:t>：￥</w:t>
      </w:r>
      <w:r>
        <w:rPr>
          <w:rFonts w:hint="eastAsia" w:ascii="宋体" w:hAnsi="宋体"/>
          <w:color w:val="auto"/>
          <w:szCs w:val="21"/>
          <w:highlight w:val="none"/>
          <w:u w:val="single"/>
        </w:rPr>
        <w:t xml:space="preserve">           </w:t>
      </w:r>
      <w:r>
        <w:rPr>
          <w:rFonts w:ascii="宋体" w:hAnsi="宋体"/>
          <w:color w:val="auto"/>
          <w:szCs w:val="21"/>
          <w:highlight w:val="none"/>
        </w:rPr>
        <w:t>元</w:t>
      </w:r>
      <w:r>
        <w:rPr>
          <w:rFonts w:hint="eastAsia" w:ascii="宋体" w:hAnsi="宋体"/>
          <w:color w:val="auto"/>
          <w:szCs w:val="21"/>
          <w:highlight w:val="none"/>
        </w:rPr>
        <w:t>（大写：人民币</w:t>
      </w:r>
      <w:r>
        <w:rPr>
          <w:rFonts w:hint="eastAsia" w:ascii="宋体" w:hAnsi="宋体"/>
          <w:color w:val="auto"/>
          <w:szCs w:val="21"/>
          <w:highlight w:val="none"/>
          <w:u w:val="single"/>
        </w:rPr>
        <w:t xml:space="preserve">                 </w:t>
      </w:r>
      <w:r>
        <w:rPr>
          <w:rFonts w:hint="eastAsia" w:ascii="宋体" w:hAnsi="宋体"/>
          <w:color w:val="auto"/>
          <w:szCs w:val="21"/>
          <w:highlight w:val="none"/>
        </w:rPr>
        <w:t>元）</w:t>
      </w:r>
      <w:r>
        <w:rPr>
          <w:rFonts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126" w:name="_Toc1814"/>
      <w:bookmarkStart w:id="127" w:name="_Toc10340"/>
      <w:bookmarkStart w:id="128" w:name="_Toc22618"/>
      <w:r>
        <w:rPr>
          <w:rFonts w:hint="eastAsia" w:ascii="宋体" w:hAnsi="宋体"/>
          <w:b/>
          <w:bCs/>
          <w:color w:val="auto"/>
          <w:szCs w:val="21"/>
          <w:highlight w:val="none"/>
          <w:lang w:val="zh-CN"/>
        </w:rPr>
        <w:t>1.</w:t>
      </w:r>
      <w:r>
        <w:rPr>
          <w:rFonts w:ascii="宋体" w:hAnsi="宋体"/>
          <w:b/>
          <w:bCs/>
          <w:color w:val="auto"/>
          <w:szCs w:val="21"/>
          <w:highlight w:val="none"/>
          <w:lang w:val="zh-CN"/>
        </w:rPr>
        <w:t>4 付款方式和发票开具方式</w:t>
      </w:r>
      <w:bookmarkEnd w:id="126"/>
      <w:bookmarkEnd w:id="127"/>
      <w:bookmarkEnd w:id="128"/>
    </w:p>
    <w:p>
      <w:pPr>
        <w:pStyle w:val="100"/>
        <w:spacing w:before="0" w:beforeAutospacing="0" w:after="0" w:afterAutospacing="0" w:line="580" w:lineRule="exact"/>
        <w:ind w:firstLine="420" w:firstLineChars="200"/>
        <w:jc w:val="both"/>
        <w:rPr>
          <w:rFonts w:hint="eastAsia" w:cs="Times New Roman"/>
          <w:color w:val="auto"/>
          <w:sz w:val="21"/>
          <w:szCs w:val="21"/>
          <w:highlight w:val="none"/>
          <w:u w:val="single"/>
        </w:rPr>
      </w:pPr>
      <w:r>
        <w:rPr>
          <w:rFonts w:hint="eastAsia" w:cs="Times New Roman"/>
          <w:color w:val="auto"/>
          <w:sz w:val="21"/>
          <w:szCs w:val="21"/>
          <w:highlight w:val="none"/>
        </w:rPr>
        <w:t>1.4.1</w:t>
      </w:r>
      <w:r>
        <w:rPr>
          <w:rFonts w:cs="Times New Roman"/>
          <w:color w:val="auto"/>
          <w:sz w:val="21"/>
          <w:szCs w:val="21"/>
          <w:highlight w:val="none"/>
        </w:rPr>
        <w:t>付款方式：</w:t>
      </w:r>
      <w:r>
        <w:rPr>
          <w:rFonts w:hint="eastAsia" w:cs="Times New Roman"/>
          <w:b/>
          <w:bCs/>
          <w:color w:val="auto"/>
          <w:sz w:val="21"/>
          <w:szCs w:val="21"/>
          <w:highlight w:val="none"/>
          <w:u w:val="single"/>
          <w:lang w:val="en-US" w:eastAsia="zh-CN"/>
        </w:rPr>
        <w:t>根据考核结果按月支付服务费用，服务费用为中标总价/12-考核扣款金额。</w:t>
      </w:r>
    </w:p>
    <w:p>
      <w:pPr>
        <w:spacing w:line="360" w:lineRule="auto"/>
        <w:ind w:firstLine="435"/>
        <w:rPr>
          <w:rFonts w:ascii="宋体" w:hAnsi="宋体"/>
          <w:color w:val="auto"/>
          <w:szCs w:val="21"/>
          <w:highlight w:val="none"/>
        </w:rPr>
      </w:pPr>
      <w:r>
        <w:rPr>
          <w:rFonts w:hint="eastAsia" w:ascii="宋体" w:hAnsi="宋体"/>
          <w:color w:val="auto"/>
          <w:szCs w:val="21"/>
          <w:highlight w:val="none"/>
        </w:rPr>
        <w:t>1.4.2发票开具方式：</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129" w:name="_Toc2846"/>
      <w:bookmarkStart w:id="130" w:name="_Toc19304"/>
      <w:bookmarkStart w:id="131" w:name="_Toc32071"/>
      <w:r>
        <w:rPr>
          <w:rFonts w:hint="eastAsia" w:ascii="宋体" w:hAnsi="宋体"/>
          <w:b/>
          <w:bCs/>
          <w:color w:val="auto"/>
          <w:szCs w:val="21"/>
          <w:highlight w:val="none"/>
          <w:lang w:val="zh-CN"/>
        </w:rPr>
        <w:t>1.</w:t>
      </w:r>
      <w:r>
        <w:rPr>
          <w:rFonts w:ascii="宋体" w:hAnsi="宋体"/>
          <w:b/>
          <w:bCs/>
          <w:color w:val="auto"/>
          <w:szCs w:val="21"/>
          <w:highlight w:val="none"/>
          <w:lang w:val="zh-CN"/>
        </w:rPr>
        <w:t xml:space="preserve">5 </w:t>
      </w:r>
      <w:r>
        <w:rPr>
          <w:rFonts w:hint="eastAsia" w:ascii="宋体" w:hAnsi="宋体"/>
          <w:b/>
          <w:bCs/>
          <w:color w:val="auto"/>
          <w:szCs w:val="21"/>
          <w:highlight w:val="none"/>
          <w:lang w:val="zh-CN"/>
        </w:rPr>
        <w:t>服务</w:t>
      </w:r>
      <w:r>
        <w:rPr>
          <w:rFonts w:ascii="宋体" w:hAnsi="宋体"/>
          <w:b/>
          <w:bCs/>
          <w:color w:val="auto"/>
          <w:szCs w:val="21"/>
          <w:highlight w:val="none"/>
          <w:lang w:val="zh-CN"/>
        </w:rPr>
        <w:t>期限</w:t>
      </w:r>
      <w:r>
        <w:rPr>
          <w:rFonts w:hint="eastAsia" w:ascii="宋体" w:hAnsi="宋体"/>
          <w:b/>
          <w:bCs/>
          <w:color w:val="auto"/>
          <w:szCs w:val="21"/>
          <w:highlight w:val="none"/>
          <w:lang w:val="zh-CN"/>
        </w:rPr>
        <w:t>、地点和方式</w:t>
      </w:r>
      <w:bookmarkEnd w:id="129"/>
      <w:bookmarkEnd w:id="130"/>
      <w:bookmarkEnd w:id="131"/>
    </w:p>
    <w:p>
      <w:pPr>
        <w:spacing w:line="360" w:lineRule="auto"/>
        <w:ind w:firstLine="435"/>
        <w:rPr>
          <w:rFonts w:ascii="宋体" w:hAnsi="宋体"/>
          <w:color w:val="auto"/>
          <w:szCs w:val="21"/>
          <w:highlight w:val="none"/>
          <w:u w:val="single"/>
        </w:rPr>
      </w:pPr>
      <w:r>
        <w:rPr>
          <w:rFonts w:hint="eastAsia" w:ascii="宋体" w:hAnsi="宋体"/>
          <w:color w:val="auto"/>
          <w:szCs w:val="21"/>
          <w:highlight w:val="none"/>
        </w:rPr>
        <w:t>1.5.1服务期限</w:t>
      </w:r>
      <w:r>
        <w:rPr>
          <w:rFonts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1.5.2服务地点</w:t>
      </w:r>
      <w:r>
        <w:rPr>
          <w:rFonts w:ascii="宋体" w:hAnsi="宋体"/>
          <w:color w:val="auto"/>
          <w:szCs w:val="21"/>
          <w:highlight w:val="none"/>
        </w:rPr>
        <w:t>：</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1.5.3服务方式：</w:t>
      </w:r>
      <w:r>
        <w:rPr>
          <w:rFonts w:hint="eastAsia" w:ascii="宋体" w:hAnsi="宋体"/>
          <w:color w:val="auto"/>
          <w:szCs w:val="21"/>
          <w:highlight w:val="none"/>
          <w:u w:val="single"/>
        </w:rPr>
        <w:t xml:space="preserve">                                                </w:t>
      </w:r>
      <w:r>
        <w:rPr>
          <w:rFonts w:hint="eastAsia"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132" w:name="_Toc21423"/>
      <w:bookmarkStart w:id="133" w:name="_Toc19554"/>
      <w:bookmarkStart w:id="134" w:name="_Toc27250"/>
      <w:r>
        <w:rPr>
          <w:rFonts w:hint="eastAsia" w:ascii="宋体" w:hAnsi="宋体"/>
          <w:b/>
          <w:bCs/>
          <w:color w:val="auto"/>
          <w:szCs w:val="21"/>
          <w:highlight w:val="none"/>
          <w:lang w:val="zh-CN"/>
        </w:rPr>
        <w:t>1.6 违约责任</w:t>
      </w:r>
      <w:bookmarkEnd w:id="132"/>
      <w:bookmarkEnd w:id="133"/>
      <w:bookmarkEnd w:id="134"/>
    </w:p>
    <w:p>
      <w:pPr>
        <w:spacing w:line="360" w:lineRule="auto"/>
        <w:ind w:firstLine="435"/>
        <w:rPr>
          <w:rFonts w:ascii="宋体" w:hAnsi="宋体"/>
          <w:color w:val="auto"/>
          <w:szCs w:val="21"/>
          <w:highlight w:val="none"/>
        </w:rPr>
      </w:pPr>
      <w:r>
        <w:rPr>
          <w:rFonts w:hint="eastAsia" w:ascii="宋体" w:hAnsi="宋体"/>
          <w:color w:val="auto"/>
          <w:szCs w:val="21"/>
          <w:highlight w:val="none"/>
        </w:rPr>
        <w:t>1.6.1</w:t>
      </w:r>
      <w:r>
        <w:rPr>
          <w:rFonts w:ascii="宋体" w:hAnsi="宋体"/>
          <w:color w:val="auto"/>
          <w:szCs w:val="21"/>
          <w:highlight w:val="none"/>
        </w:rPr>
        <w:t>除不可抗力外，如果乙方没有按照本合同约定的期限</w:t>
      </w:r>
      <w:r>
        <w:rPr>
          <w:rFonts w:hint="eastAsia" w:ascii="宋体" w:hAnsi="宋体"/>
          <w:color w:val="auto"/>
          <w:szCs w:val="21"/>
          <w:highlight w:val="none"/>
        </w:rPr>
        <w:t>、</w:t>
      </w:r>
      <w:r>
        <w:rPr>
          <w:rFonts w:ascii="宋体" w:hAnsi="宋体"/>
          <w:color w:val="auto"/>
          <w:szCs w:val="21"/>
          <w:highlight w:val="none"/>
        </w:rPr>
        <w:t>地点和方式</w:t>
      </w:r>
      <w:r>
        <w:rPr>
          <w:rFonts w:hint="eastAsia" w:ascii="宋体" w:hAnsi="宋体"/>
          <w:color w:val="auto"/>
          <w:szCs w:val="21"/>
          <w:highlight w:val="none"/>
        </w:rPr>
        <w:t>履行</w:t>
      </w:r>
      <w:r>
        <w:rPr>
          <w:rFonts w:ascii="宋体" w:hAnsi="宋体"/>
          <w:color w:val="auto"/>
          <w:szCs w:val="21"/>
          <w:highlight w:val="none"/>
        </w:rPr>
        <w:t>，那么甲方可要求乙方支付违约金</w:t>
      </w:r>
      <w:r>
        <w:rPr>
          <w:rFonts w:hint="eastAsia" w:ascii="宋体" w:hAnsi="宋体"/>
          <w:color w:val="auto"/>
          <w:szCs w:val="21"/>
          <w:highlight w:val="none"/>
        </w:rPr>
        <w:t>，</w:t>
      </w:r>
      <w:r>
        <w:rPr>
          <w:rFonts w:ascii="宋体" w:hAnsi="宋体"/>
          <w:color w:val="auto"/>
          <w:szCs w:val="21"/>
          <w:highlight w:val="none"/>
        </w:rPr>
        <w:t>违约金按每迟延</w:t>
      </w:r>
      <w:r>
        <w:rPr>
          <w:rFonts w:hint="eastAsia" w:ascii="宋体" w:hAnsi="宋体"/>
          <w:color w:val="auto"/>
          <w:szCs w:val="21"/>
          <w:highlight w:val="none"/>
        </w:rPr>
        <w:t>履行</w:t>
      </w:r>
      <w:r>
        <w:rPr>
          <w:rFonts w:ascii="宋体" w:hAnsi="宋体"/>
          <w:color w:val="auto"/>
          <w:szCs w:val="21"/>
          <w:highlight w:val="none"/>
        </w:rPr>
        <w:t>一日的应提供而未</w:t>
      </w:r>
      <w:r>
        <w:rPr>
          <w:rFonts w:hint="eastAsia" w:ascii="宋体" w:hAnsi="宋体"/>
          <w:color w:val="auto"/>
          <w:szCs w:val="21"/>
          <w:highlight w:val="none"/>
        </w:rPr>
        <w:t>提供</w:t>
      </w:r>
      <w:r>
        <w:rPr>
          <w:rFonts w:ascii="宋体" w:hAnsi="宋体"/>
          <w:color w:val="auto"/>
          <w:szCs w:val="21"/>
          <w:highlight w:val="none"/>
        </w:rPr>
        <w:t>服务价格的</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ascii="宋体" w:hAnsi="宋体"/>
          <w:color w:val="auto"/>
          <w:szCs w:val="21"/>
          <w:highlight w:val="none"/>
        </w:rPr>
        <w:t>%计算</w:t>
      </w:r>
      <w:r>
        <w:rPr>
          <w:rFonts w:hint="eastAsia" w:ascii="宋体" w:hAnsi="宋体"/>
          <w:color w:val="auto"/>
          <w:szCs w:val="21"/>
          <w:highlight w:val="none"/>
        </w:rPr>
        <w:t>，</w:t>
      </w:r>
      <w:r>
        <w:rPr>
          <w:rFonts w:ascii="宋体" w:hAnsi="宋体"/>
          <w:color w:val="auto"/>
          <w:szCs w:val="21"/>
          <w:highlight w:val="none"/>
        </w:rPr>
        <w:t>最高限额为</w:t>
      </w:r>
      <w:r>
        <w:rPr>
          <w:rFonts w:hint="eastAsia" w:ascii="宋体" w:hAnsi="宋体"/>
          <w:color w:val="auto"/>
          <w:szCs w:val="21"/>
          <w:highlight w:val="none"/>
        </w:rPr>
        <w:t>本</w:t>
      </w:r>
      <w:r>
        <w:rPr>
          <w:rFonts w:ascii="宋体" w:hAnsi="宋体"/>
          <w:color w:val="auto"/>
          <w:szCs w:val="21"/>
          <w:highlight w:val="none"/>
        </w:rPr>
        <w:t>合同总价的</w:t>
      </w:r>
      <w:r>
        <w:rPr>
          <w:rFonts w:hint="eastAsia" w:ascii="宋体" w:hAnsi="宋体"/>
          <w:color w:val="auto"/>
          <w:szCs w:val="21"/>
          <w:highlight w:val="none"/>
          <w:u w:val="single"/>
        </w:rPr>
        <w:t xml:space="preserve"> </w:t>
      </w:r>
      <w:r>
        <w:rPr>
          <w:rFonts w:hint="eastAsia" w:ascii="宋体" w:hAnsi="宋体"/>
          <w:color w:val="auto"/>
          <w:szCs w:val="21"/>
          <w:highlight w:val="none"/>
          <w:u w:val="single"/>
          <w:lang w:val="en-US" w:eastAsia="zh-CN"/>
        </w:rPr>
        <w:t xml:space="preserve">  </w:t>
      </w:r>
      <w:r>
        <w:rPr>
          <w:rFonts w:hint="eastAsia" w:ascii="宋体" w:hAnsi="宋体"/>
          <w:color w:val="auto"/>
          <w:szCs w:val="21"/>
          <w:highlight w:val="none"/>
          <w:u w:val="single"/>
        </w:rPr>
        <w:t xml:space="preserve"> </w:t>
      </w:r>
      <w:r>
        <w:rPr>
          <w:rFonts w:ascii="宋体" w:hAnsi="宋体"/>
          <w:color w:val="auto"/>
          <w:szCs w:val="21"/>
          <w:highlight w:val="none"/>
        </w:rPr>
        <w:t>%</w:t>
      </w:r>
      <w:r>
        <w:rPr>
          <w:rFonts w:hint="eastAsia" w:ascii="宋体" w:hAnsi="宋体"/>
          <w:color w:val="auto"/>
          <w:szCs w:val="21"/>
          <w:highlight w:val="none"/>
        </w:rPr>
        <w:t>；</w:t>
      </w:r>
      <w:r>
        <w:rPr>
          <w:rFonts w:ascii="宋体" w:hAnsi="宋体"/>
          <w:color w:val="auto"/>
          <w:szCs w:val="21"/>
          <w:highlight w:val="none"/>
        </w:rPr>
        <w:t>迟延</w:t>
      </w:r>
      <w:r>
        <w:rPr>
          <w:rFonts w:hint="eastAsia" w:ascii="宋体" w:hAnsi="宋体"/>
          <w:color w:val="auto"/>
          <w:szCs w:val="21"/>
          <w:highlight w:val="none"/>
        </w:rPr>
        <w:t>履行</w:t>
      </w:r>
      <w:r>
        <w:rPr>
          <w:rFonts w:ascii="宋体" w:hAnsi="宋体"/>
          <w:color w:val="auto"/>
          <w:szCs w:val="21"/>
          <w:highlight w:val="none"/>
        </w:rPr>
        <w:t>的违约金计算数额达到前述最高限额之日起</w:t>
      </w:r>
      <w:r>
        <w:rPr>
          <w:rFonts w:hint="eastAsia" w:ascii="宋体" w:hAnsi="宋体"/>
          <w:color w:val="auto"/>
          <w:szCs w:val="21"/>
          <w:highlight w:val="none"/>
        </w:rPr>
        <w:t>，</w:t>
      </w:r>
      <w:r>
        <w:rPr>
          <w:rFonts w:ascii="宋体" w:hAnsi="宋体"/>
          <w:color w:val="auto"/>
          <w:szCs w:val="21"/>
          <w:highlight w:val="none"/>
        </w:rPr>
        <w:t>甲方有权在要求乙方支付违约金的同时</w:t>
      </w:r>
      <w:r>
        <w:rPr>
          <w:rFonts w:hint="eastAsia" w:ascii="宋体" w:hAnsi="宋体"/>
          <w:color w:val="auto"/>
          <w:szCs w:val="21"/>
          <w:highlight w:val="none"/>
        </w:rPr>
        <w:t>，书面通知乙方</w:t>
      </w:r>
      <w:r>
        <w:rPr>
          <w:rFonts w:ascii="宋体" w:hAnsi="宋体"/>
          <w:color w:val="auto"/>
          <w:szCs w:val="21"/>
          <w:highlight w:val="none"/>
        </w:rPr>
        <w:t>解除本合同</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1.6.2</w:t>
      </w:r>
      <w:r>
        <w:rPr>
          <w:rFonts w:ascii="宋体" w:hAnsi="宋体"/>
          <w:color w:val="auto"/>
          <w:szCs w:val="21"/>
          <w:highlight w:val="none"/>
        </w:rPr>
        <w:t>除不可抗力外，如果甲方没有按照本合同约定的付款方式付款，那么乙方可要求甲方支付违约金</w:t>
      </w:r>
      <w:r>
        <w:rPr>
          <w:rFonts w:hint="eastAsia" w:ascii="宋体" w:hAnsi="宋体"/>
          <w:color w:val="auto"/>
          <w:szCs w:val="21"/>
          <w:highlight w:val="none"/>
        </w:rPr>
        <w:t>，</w:t>
      </w:r>
      <w:r>
        <w:rPr>
          <w:rFonts w:ascii="宋体" w:hAnsi="宋体"/>
          <w:color w:val="auto"/>
          <w:szCs w:val="21"/>
          <w:highlight w:val="none"/>
        </w:rPr>
        <w:t>违约金按每迟延</w:t>
      </w:r>
      <w:r>
        <w:rPr>
          <w:rFonts w:hint="eastAsia" w:ascii="宋体" w:hAnsi="宋体"/>
          <w:color w:val="auto"/>
          <w:szCs w:val="21"/>
          <w:highlight w:val="none"/>
        </w:rPr>
        <w:t>付款</w:t>
      </w:r>
      <w:r>
        <w:rPr>
          <w:rFonts w:ascii="宋体" w:hAnsi="宋体"/>
          <w:color w:val="auto"/>
          <w:szCs w:val="21"/>
          <w:highlight w:val="none"/>
        </w:rPr>
        <w:t>一日的应付而未付款的</w:t>
      </w:r>
      <w:r>
        <w:rPr>
          <w:rFonts w:hint="eastAsia" w:ascii="宋体" w:hAnsi="宋体"/>
          <w:color w:val="auto"/>
          <w:szCs w:val="21"/>
          <w:highlight w:val="none"/>
          <w:u w:val="single"/>
        </w:rPr>
        <w:t xml:space="preserve">  /  </w:t>
      </w:r>
      <w:r>
        <w:rPr>
          <w:rFonts w:ascii="宋体" w:hAnsi="宋体"/>
          <w:color w:val="auto"/>
          <w:szCs w:val="21"/>
          <w:highlight w:val="none"/>
        </w:rPr>
        <w:t>%计算</w:t>
      </w:r>
      <w:r>
        <w:rPr>
          <w:rFonts w:hint="eastAsia" w:ascii="宋体" w:hAnsi="宋体"/>
          <w:color w:val="auto"/>
          <w:szCs w:val="21"/>
          <w:highlight w:val="none"/>
        </w:rPr>
        <w:t>，</w:t>
      </w:r>
      <w:r>
        <w:rPr>
          <w:rFonts w:ascii="宋体" w:hAnsi="宋体"/>
          <w:color w:val="auto"/>
          <w:szCs w:val="21"/>
          <w:highlight w:val="none"/>
        </w:rPr>
        <w:t>最高限额为</w:t>
      </w:r>
      <w:r>
        <w:rPr>
          <w:rFonts w:hint="eastAsia" w:ascii="宋体" w:hAnsi="宋体"/>
          <w:color w:val="auto"/>
          <w:szCs w:val="21"/>
          <w:highlight w:val="none"/>
        </w:rPr>
        <w:t>本</w:t>
      </w:r>
      <w:r>
        <w:rPr>
          <w:rFonts w:ascii="宋体" w:hAnsi="宋体"/>
          <w:color w:val="auto"/>
          <w:szCs w:val="21"/>
          <w:highlight w:val="none"/>
        </w:rPr>
        <w:t>合同总价的</w:t>
      </w:r>
      <w:r>
        <w:rPr>
          <w:rFonts w:hint="eastAsia" w:ascii="宋体" w:hAnsi="宋体"/>
          <w:color w:val="auto"/>
          <w:szCs w:val="21"/>
          <w:highlight w:val="none"/>
          <w:u w:val="single"/>
        </w:rPr>
        <w:t xml:space="preserve"> / </w:t>
      </w:r>
      <w:r>
        <w:rPr>
          <w:rFonts w:ascii="宋体" w:hAnsi="宋体"/>
          <w:color w:val="auto"/>
          <w:szCs w:val="21"/>
          <w:highlight w:val="none"/>
        </w:rPr>
        <w:t>%</w:t>
      </w:r>
      <w:r>
        <w:rPr>
          <w:rFonts w:hint="eastAsia" w:ascii="宋体" w:hAnsi="宋体"/>
          <w:color w:val="auto"/>
          <w:szCs w:val="21"/>
          <w:highlight w:val="none"/>
        </w:rPr>
        <w:t>；</w:t>
      </w:r>
      <w:r>
        <w:rPr>
          <w:rFonts w:ascii="宋体" w:hAnsi="宋体"/>
          <w:color w:val="auto"/>
          <w:szCs w:val="21"/>
          <w:highlight w:val="none"/>
        </w:rPr>
        <w:t>迟延</w:t>
      </w:r>
      <w:r>
        <w:rPr>
          <w:rFonts w:hint="eastAsia" w:ascii="宋体" w:hAnsi="宋体"/>
          <w:color w:val="auto"/>
          <w:szCs w:val="21"/>
          <w:highlight w:val="none"/>
        </w:rPr>
        <w:t>付款</w:t>
      </w:r>
      <w:r>
        <w:rPr>
          <w:rFonts w:ascii="宋体" w:hAnsi="宋体"/>
          <w:color w:val="auto"/>
          <w:szCs w:val="21"/>
          <w:highlight w:val="none"/>
        </w:rPr>
        <w:t>的违约金计算数额达到前述最高限额之日起</w:t>
      </w:r>
      <w:r>
        <w:rPr>
          <w:rFonts w:hint="eastAsia" w:ascii="宋体" w:hAnsi="宋体"/>
          <w:color w:val="auto"/>
          <w:szCs w:val="21"/>
          <w:highlight w:val="none"/>
        </w:rPr>
        <w:t>，乙</w:t>
      </w:r>
      <w:r>
        <w:rPr>
          <w:rFonts w:ascii="宋体" w:hAnsi="宋体"/>
          <w:color w:val="auto"/>
          <w:szCs w:val="21"/>
          <w:highlight w:val="none"/>
        </w:rPr>
        <w:t>方有权在要求甲方支付违约金的同时</w:t>
      </w:r>
      <w:r>
        <w:rPr>
          <w:rFonts w:hint="eastAsia" w:ascii="宋体" w:hAnsi="宋体"/>
          <w:color w:val="auto"/>
          <w:szCs w:val="21"/>
          <w:highlight w:val="none"/>
        </w:rPr>
        <w:t>，书面通知甲方</w:t>
      </w:r>
      <w:r>
        <w:rPr>
          <w:rFonts w:ascii="宋体" w:hAnsi="宋体"/>
          <w:color w:val="auto"/>
          <w:szCs w:val="21"/>
          <w:highlight w:val="none"/>
        </w:rPr>
        <w:t>解除本合同</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1.6.3除不可抗力外，任何一方未能履行本合同约定的其他主要义务，经催告后在合理期限内仍未履行的，或者任何一方有其他违约行为致使不能实现合同目的的，或者任何一方有腐败行为（即：提供或给予或接受或索取任何财物或其他好处或者采取其他不正当手段影响对方当事人在合同签订、履行过程中的行为）或者欺诈行为（即：以谎报事实或者隐瞒真相的方法来影响对方当事人在合同签订、履行过程中的行为）的，对方当事人可以书面通知违约方解除本合同；</w:t>
      </w:r>
    </w:p>
    <w:p>
      <w:pPr>
        <w:spacing w:line="360" w:lineRule="auto"/>
        <w:ind w:firstLine="435"/>
        <w:rPr>
          <w:rFonts w:ascii="宋体" w:hAnsi="宋体"/>
          <w:color w:val="auto"/>
          <w:szCs w:val="21"/>
          <w:highlight w:val="none"/>
        </w:rPr>
      </w:pPr>
      <w:r>
        <w:rPr>
          <w:rFonts w:hint="eastAsia" w:ascii="宋体" w:hAnsi="宋体"/>
          <w:color w:val="auto"/>
          <w:szCs w:val="21"/>
          <w:highlight w:val="none"/>
        </w:rPr>
        <w:t>1.6.4任何一方按照前述约定要求违约方支付违约金的同时，仍有权要求违约方继续履行合同、采取补救措施，并有权按照己方实际损失情况要求违约方赔偿损失；任何一方按照前述约定要求解除本合同的同时，仍有权要求违约方支付违约金和按照己方实际损失情况要求违约方赔偿损失；且守约方行使的任何权利救济方式均不视为其放弃了其他法定或者约定的权利救济方式；</w:t>
      </w:r>
    </w:p>
    <w:p>
      <w:pPr>
        <w:spacing w:line="360" w:lineRule="auto"/>
        <w:ind w:firstLine="435"/>
        <w:rPr>
          <w:rFonts w:ascii="宋体" w:hAnsi="宋体"/>
          <w:color w:val="auto"/>
          <w:szCs w:val="21"/>
          <w:highlight w:val="none"/>
        </w:rPr>
      </w:pPr>
      <w:r>
        <w:rPr>
          <w:rFonts w:hint="eastAsia" w:ascii="宋体" w:hAnsi="宋体"/>
          <w:color w:val="auto"/>
          <w:szCs w:val="21"/>
          <w:highlight w:val="none"/>
        </w:rPr>
        <w:t>1.6.5除前述约定外，除不可抗力外，任何一方未能履行本合同约定的义务，对方当事人均有权要求继续履行、采取补救措施或者赔偿损失等，且对方当事人行使的任何权利救济方式均不视为其放弃了其他法定或者约定的权利救济方式；</w:t>
      </w:r>
    </w:p>
    <w:p>
      <w:pPr>
        <w:spacing w:line="360" w:lineRule="auto"/>
        <w:ind w:firstLine="435"/>
        <w:rPr>
          <w:rFonts w:ascii="宋体" w:hAnsi="宋体"/>
          <w:color w:val="auto"/>
          <w:szCs w:val="21"/>
          <w:highlight w:val="none"/>
        </w:rPr>
      </w:pPr>
      <w:r>
        <w:rPr>
          <w:rFonts w:hint="eastAsia" w:ascii="宋体" w:hAnsi="宋体"/>
          <w:color w:val="auto"/>
          <w:szCs w:val="21"/>
          <w:highlight w:val="none"/>
        </w:rPr>
        <w:t>1.6.6如果出现政府采购监督管理部门在处理投诉事项期间，书面通知甲方暂停采购活动的情形，或者询问或质疑事项可能影响中标结果的，导致甲方中止履行合同的情形，均不视为甲方违约。</w:t>
      </w:r>
    </w:p>
    <w:p>
      <w:pPr>
        <w:spacing w:line="360" w:lineRule="auto"/>
        <w:ind w:firstLine="437"/>
        <w:outlineLvl w:val="3"/>
        <w:rPr>
          <w:rFonts w:ascii="宋体" w:hAnsi="宋体"/>
          <w:b/>
          <w:bCs/>
          <w:color w:val="auto"/>
          <w:szCs w:val="21"/>
          <w:highlight w:val="none"/>
          <w:lang w:val="zh-CN"/>
        </w:rPr>
      </w:pPr>
      <w:bookmarkStart w:id="135" w:name="_Toc28375"/>
      <w:bookmarkStart w:id="136" w:name="_Toc16021"/>
      <w:bookmarkStart w:id="137" w:name="_Toc15583"/>
      <w:r>
        <w:rPr>
          <w:rFonts w:hint="eastAsia" w:ascii="宋体" w:hAnsi="宋体"/>
          <w:b/>
          <w:bCs/>
          <w:color w:val="auto"/>
          <w:szCs w:val="21"/>
          <w:highlight w:val="none"/>
          <w:lang w:val="zh-CN"/>
        </w:rPr>
        <w:t>1.7</w:t>
      </w:r>
      <w:r>
        <w:rPr>
          <w:rFonts w:ascii="宋体" w:hAnsi="宋体"/>
          <w:b/>
          <w:bCs/>
          <w:color w:val="auto"/>
          <w:szCs w:val="21"/>
          <w:highlight w:val="none"/>
          <w:lang w:val="zh-CN"/>
        </w:rPr>
        <w:t xml:space="preserve"> </w:t>
      </w:r>
      <w:r>
        <w:rPr>
          <w:rFonts w:hint="eastAsia" w:ascii="宋体" w:hAnsi="宋体"/>
          <w:b/>
          <w:bCs/>
          <w:color w:val="auto"/>
          <w:szCs w:val="21"/>
          <w:highlight w:val="none"/>
          <w:lang w:val="zh-CN"/>
        </w:rPr>
        <w:t>合同</w:t>
      </w:r>
      <w:r>
        <w:rPr>
          <w:rFonts w:ascii="宋体" w:hAnsi="宋体"/>
          <w:b/>
          <w:bCs/>
          <w:color w:val="auto"/>
          <w:szCs w:val="21"/>
          <w:highlight w:val="none"/>
          <w:lang w:val="zh-CN"/>
        </w:rPr>
        <w:t>争议的解决</w:t>
      </w:r>
      <w:bookmarkEnd w:id="135"/>
      <w:bookmarkEnd w:id="136"/>
      <w:bookmarkEnd w:id="137"/>
    </w:p>
    <w:p>
      <w:pPr>
        <w:spacing w:line="360" w:lineRule="auto"/>
        <w:ind w:firstLine="435"/>
        <w:rPr>
          <w:rFonts w:ascii="宋体" w:hAnsi="宋体"/>
          <w:color w:val="auto"/>
          <w:szCs w:val="21"/>
          <w:highlight w:val="none"/>
        </w:rPr>
      </w:pPr>
      <w:r>
        <w:rPr>
          <w:rFonts w:hint="eastAsia" w:ascii="宋体" w:hAnsi="宋体"/>
          <w:color w:val="auto"/>
          <w:szCs w:val="21"/>
          <w:highlight w:val="none"/>
        </w:rPr>
        <w:t>本合</w:t>
      </w:r>
      <w:r>
        <w:rPr>
          <w:rFonts w:ascii="宋体" w:hAnsi="宋体"/>
          <w:color w:val="auto"/>
          <w:szCs w:val="21"/>
          <w:highlight w:val="none"/>
        </w:rPr>
        <w:t>同履行过程中发生的任何争议，双方当事人均可</w:t>
      </w:r>
      <w:r>
        <w:rPr>
          <w:rFonts w:hint="eastAsia" w:ascii="宋体" w:hAnsi="宋体"/>
          <w:color w:val="auto"/>
          <w:szCs w:val="21"/>
          <w:highlight w:val="none"/>
        </w:rPr>
        <w:t>通过和解或者调解解决；不愿和解、调解或者和解、调解不成的，可以选择下列第</w:t>
      </w:r>
      <w:r>
        <w:rPr>
          <w:rFonts w:hint="eastAsia" w:ascii="宋体" w:hAnsi="宋体"/>
          <w:color w:val="auto"/>
          <w:szCs w:val="21"/>
          <w:highlight w:val="none"/>
          <w:u w:val="single"/>
        </w:rPr>
        <w:t xml:space="preserve">    </w:t>
      </w:r>
      <w:r>
        <w:rPr>
          <w:rFonts w:hint="eastAsia" w:ascii="宋体" w:hAnsi="宋体"/>
          <w:color w:val="auto"/>
          <w:szCs w:val="21"/>
          <w:highlight w:val="none"/>
        </w:rPr>
        <w:t>种方式解决：</w:t>
      </w:r>
    </w:p>
    <w:p>
      <w:pPr>
        <w:spacing w:line="360" w:lineRule="auto"/>
        <w:ind w:firstLine="435"/>
        <w:rPr>
          <w:rFonts w:ascii="宋体" w:hAnsi="宋体"/>
          <w:color w:val="auto"/>
          <w:szCs w:val="21"/>
          <w:highlight w:val="none"/>
        </w:rPr>
      </w:pPr>
      <w:r>
        <w:rPr>
          <w:rFonts w:hint="eastAsia" w:ascii="宋体" w:hAnsi="宋体"/>
          <w:color w:val="auto"/>
          <w:szCs w:val="21"/>
          <w:highlight w:val="none"/>
        </w:rPr>
        <w:t>1.7.1将争议提交滁州仲裁委员会依申请仲裁时其现行有效的仲裁规则裁决；</w:t>
      </w:r>
    </w:p>
    <w:p>
      <w:pPr>
        <w:spacing w:line="360" w:lineRule="auto"/>
        <w:ind w:firstLine="435"/>
        <w:rPr>
          <w:rFonts w:ascii="宋体" w:hAnsi="宋体"/>
          <w:color w:val="auto"/>
          <w:szCs w:val="21"/>
          <w:highlight w:val="none"/>
        </w:rPr>
      </w:pPr>
      <w:r>
        <w:rPr>
          <w:rFonts w:hint="eastAsia" w:ascii="宋体" w:hAnsi="宋体"/>
          <w:color w:val="auto"/>
          <w:szCs w:val="21"/>
          <w:highlight w:val="none"/>
        </w:rPr>
        <w:t>1.7.2向甲方（采购人）</w:t>
      </w:r>
      <w:r>
        <w:rPr>
          <w:rFonts w:hint="eastAsia" w:ascii="宋体" w:cs="宋体"/>
          <w:color w:val="auto"/>
          <w:szCs w:val="21"/>
          <w:highlight w:val="none"/>
          <w:u w:val="none" w:color="000000"/>
        </w:rPr>
        <w:t>所在地</w:t>
      </w:r>
      <w:r>
        <w:rPr>
          <w:rFonts w:hint="eastAsia" w:ascii="宋体" w:hAnsi="宋体"/>
          <w:color w:val="auto"/>
          <w:szCs w:val="21"/>
          <w:highlight w:val="none"/>
        </w:rPr>
        <w:t>人民法院起诉。</w:t>
      </w:r>
    </w:p>
    <w:p>
      <w:pPr>
        <w:spacing w:line="360" w:lineRule="auto"/>
        <w:ind w:firstLine="437"/>
        <w:outlineLvl w:val="3"/>
        <w:rPr>
          <w:rFonts w:ascii="宋体" w:hAnsi="宋体"/>
          <w:b/>
          <w:bCs/>
          <w:color w:val="auto"/>
          <w:szCs w:val="21"/>
          <w:highlight w:val="none"/>
          <w:lang w:val="zh-CN"/>
        </w:rPr>
      </w:pPr>
      <w:bookmarkStart w:id="138" w:name="_Toc11173"/>
      <w:bookmarkStart w:id="139" w:name="_Toc7245"/>
      <w:bookmarkStart w:id="140" w:name="_Toc15322"/>
      <w:r>
        <w:rPr>
          <w:rFonts w:hint="eastAsia" w:ascii="宋体" w:hAnsi="宋体"/>
          <w:b/>
          <w:bCs/>
          <w:color w:val="auto"/>
          <w:szCs w:val="21"/>
          <w:highlight w:val="none"/>
          <w:lang w:val="zh-CN"/>
        </w:rPr>
        <w:t>1.8</w:t>
      </w:r>
      <w:r>
        <w:rPr>
          <w:rFonts w:ascii="宋体" w:hAnsi="宋体"/>
          <w:b/>
          <w:bCs/>
          <w:color w:val="auto"/>
          <w:szCs w:val="21"/>
          <w:highlight w:val="none"/>
          <w:lang w:val="zh-CN"/>
        </w:rPr>
        <w:t xml:space="preserve"> 合同生效</w:t>
      </w:r>
      <w:bookmarkEnd w:id="138"/>
      <w:bookmarkEnd w:id="139"/>
      <w:bookmarkEnd w:id="140"/>
    </w:p>
    <w:p>
      <w:pPr>
        <w:spacing w:line="360" w:lineRule="auto"/>
        <w:ind w:firstLine="435"/>
        <w:rPr>
          <w:rFonts w:ascii="宋体" w:hAnsi="宋体"/>
          <w:color w:val="auto"/>
          <w:szCs w:val="21"/>
          <w:highlight w:val="none"/>
        </w:rPr>
      </w:pPr>
      <w:r>
        <w:rPr>
          <w:rFonts w:ascii="宋体" w:hAnsi="宋体"/>
          <w:color w:val="auto"/>
          <w:szCs w:val="21"/>
          <w:highlight w:val="none"/>
        </w:rPr>
        <w:t>本合同自</w:t>
      </w:r>
      <w:r>
        <w:rPr>
          <w:rFonts w:hint="eastAsia" w:ascii="宋体" w:hAnsi="宋体"/>
          <w:color w:val="auto"/>
          <w:szCs w:val="21"/>
          <w:highlight w:val="none"/>
        </w:rPr>
        <w:t>双方当事人盖章时</w:t>
      </w:r>
      <w:r>
        <w:rPr>
          <w:rFonts w:ascii="宋体" w:hAnsi="宋体"/>
          <w:color w:val="auto"/>
          <w:szCs w:val="21"/>
          <w:highlight w:val="none"/>
        </w:rPr>
        <w:t>生效。</w:t>
      </w:r>
    </w:p>
    <w:p>
      <w:pPr>
        <w:autoSpaceDE w:val="0"/>
        <w:autoSpaceDN w:val="0"/>
        <w:adjustRightInd w:val="0"/>
        <w:spacing w:line="560" w:lineRule="exact"/>
        <w:rPr>
          <w:rFonts w:ascii="宋体" w:hAnsi="宋体"/>
          <w:color w:val="auto"/>
          <w:szCs w:val="21"/>
          <w:highlight w:val="none"/>
          <w:lang w:val="zh-CN"/>
        </w:rPr>
      </w:pPr>
    </w:p>
    <w:p>
      <w:pPr>
        <w:autoSpaceDE w:val="0"/>
        <w:autoSpaceDN w:val="0"/>
        <w:adjustRightInd w:val="0"/>
        <w:spacing w:line="560" w:lineRule="exact"/>
        <w:rPr>
          <w:rFonts w:ascii="宋体" w:hAnsi="宋体"/>
          <w:color w:val="auto"/>
          <w:szCs w:val="21"/>
          <w:highlight w:val="none"/>
          <w:lang w:val="zh-CN"/>
        </w:rPr>
      </w:pPr>
    </w:p>
    <w:p>
      <w:pPr>
        <w:autoSpaceDE w:val="0"/>
        <w:autoSpaceDN w:val="0"/>
        <w:adjustRightInd w:val="0"/>
        <w:spacing w:line="560" w:lineRule="exact"/>
        <w:rPr>
          <w:rFonts w:ascii="宋体" w:hAnsi="宋体"/>
          <w:bCs/>
          <w:color w:val="auto"/>
          <w:szCs w:val="21"/>
          <w:highlight w:val="none"/>
          <w:lang w:val="zh-CN"/>
        </w:rPr>
      </w:pPr>
      <w:r>
        <w:rPr>
          <w:rFonts w:hint="eastAsia" w:ascii="宋体" w:hAnsi="宋体"/>
          <w:bCs/>
          <w:color w:val="auto"/>
          <w:szCs w:val="21"/>
          <w:highlight w:val="none"/>
          <w:lang w:val="zh-CN"/>
        </w:rPr>
        <w:t xml:space="preserve">甲 </w:t>
      </w:r>
      <w:r>
        <w:rPr>
          <w:rFonts w:ascii="宋体" w:hAnsi="宋体"/>
          <w:bCs/>
          <w:color w:val="auto"/>
          <w:szCs w:val="21"/>
          <w:highlight w:val="none"/>
          <w:lang w:val="zh-CN"/>
        </w:rPr>
        <w:t xml:space="preserve">   </w:t>
      </w:r>
      <w:r>
        <w:rPr>
          <w:rFonts w:hint="eastAsia" w:ascii="宋体" w:hAnsi="宋体"/>
          <w:bCs/>
          <w:color w:val="auto"/>
          <w:szCs w:val="21"/>
          <w:highlight w:val="none"/>
          <w:lang w:val="zh-CN"/>
        </w:rPr>
        <w:t>方：</w:t>
      </w:r>
      <w:r>
        <w:rPr>
          <w:rFonts w:hint="eastAsia" w:ascii="宋体" w:hAnsi="宋体"/>
          <w:bCs/>
          <w:color w:val="auto"/>
          <w:szCs w:val="21"/>
          <w:highlight w:val="none"/>
          <w:u w:val="single"/>
          <w:lang w:val="zh-CN"/>
        </w:rPr>
        <w:t xml:space="preserve">    （单位盖章）     </w:t>
      </w:r>
      <w:r>
        <w:rPr>
          <w:rFonts w:hint="eastAsia" w:ascii="宋体" w:hAnsi="宋体"/>
          <w:bCs/>
          <w:color w:val="auto"/>
          <w:szCs w:val="21"/>
          <w:highlight w:val="none"/>
          <w:lang w:val="zh-CN"/>
        </w:rPr>
        <w:t xml:space="preserve">          乙</w:t>
      </w:r>
      <w:r>
        <w:rPr>
          <w:rFonts w:hint="eastAsia" w:ascii="宋体" w:hAnsi="宋体"/>
          <w:bCs/>
          <w:color w:val="auto"/>
          <w:szCs w:val="21"/>
          <w:highlight w:val="none"/>
        </w:rPr>
        <w:t xml:space="preserve">    </w:t>
      </w:r>
      <w:r>
        <w:rPr>
          <w:rFonts w:hint="eastAsia" w:ascii="宋体" w:hAnsi="宋体"/>
          <w:bCs/>
          <w:color w:val="auto"/>
          <w:szCs w:val="21"/>
          <w:highlight w:val="none"/>
          <w:lang w:val="zh-CN"/>
        </w:rPr>
        <w:t>方：</w:t>
      </w:r>
      <w:r>
        <w:rPr>
          <w:rFonts w:hint="eastAsia" w:ascii="宋体" w:hAnsi="宋体"/>
          <w:bCs/>
          <w:color w:val="auto"/>
          <w:szCs w:val="21"/>
          <w:highlight w:val="none"/>
          <w:u w:val="single"/>
          <w:lang w:val="zh-CN"/>
        </w:rPr>
        <w:t xml:space="preserve">    （单位盖章）     </w:t>
      </w:r>
    </w:p>
    <w:p>
      <w:pPr>
        <w:autoSpaceDE w:val="0"/>
        <w:autoSpaceDN w:val="0"/>
        <w:adjustRightInd w:val="0"/>
        <w:spacing w:line="560" w:lineRule="exact"/>
        <w:rPr>
          <w:rFonts w:ascii="宋体" w:hAnsi="宋体"/>
          <w:color w:val="auto"/>
          <w:szCs w:val="21"/>
          <w:highlight w:val="none"/>
          <w:lang w:val="zh-CN"/>
        </w:rPr>
      </w:pPr>
      <w:r>
        <w:rPr>
          <w:rFonts w:hint="eastAsia" w:ascii="宋体" w:hAnsi="宋体"/>
          <w:color w:val="auto"/>
          <w:szCs w:val="21"/>
          <w:highlight w:val="none"/>
          <w:lang w:val="zh-CN"/>
        </w:rPr>
        <w:t xml:space="preserve">法定代表人                             </w:t>
      </w:r>
      <w:r>
        <w:rPr>
          <w:rFonts w:ascii="宋体" w:hAnsi="宋体"/>
          <w:color w:val="auto"/>
          <w:szCs w:val="21"/>
          <w:highlight w:val="none"/>
          <w:lang w:val="zh-CN"/>
        </w:rPr>
        <w:t xml:space="preserve">  </w:t>
      </w:r>
      <w:r>
        <w:rPr>
          <w:rFonts w:hint="eastAsia" w:ascii="宋体" w:hAnsi="宋体"/>
          <w:color w:val="auto"/>
          <w:szCs w:val="21"/>
          <w:highlight w:val="none"/>
          <w:lang w:val="zh-CN"/>
        </w:rPr>
        <w:t>法定代表人</w:t>
      </w:r>
    </w:p>
    <w:p>
      <w:pPr>
        <w:autoSpaceDE w:val="0"/>
        <w:autoSpaceDN w:val="0"/>
        <w:adjustRightInd w:val="0"/>
        <w:spacing w:line="560" w:lineRule="exact"/>
        <w:rPr>
          <w:rFonts w:ascii="宋体" w:hAnsi="宋体"/>
          <w:color w:val="auto"/>
          <w:szCs w:val="21"/>
          <w:highlight w:val="none"/>
          <w:lang w:val="zh-CN"/>
        </w:rPr>
      </w:pPr>
      <w:r>
        <w:rPr>
          <w:rFonts w:hint="eastAsia" w:ascii="宋体" w:hAnsi="宋体"/>
          <w:color w:val="auto"/>
          <w:szCs w:val="21"/>
          <w:highlight w:val="none"/>
          <w:lang w:val="zh-CN"/>
        </w:rPr>
        <w:t>或授权代表（签字）：                     或授权代表（签字）：</w:t>
      </w:r>
    </w:p>
    <w:p>
      <w:pPr>
        <w:widowControl/>
        <w:spacing w:line="560" w:lineRule="exact"/>
        <w:jc w:val="left"/>
        <w:rPr>
          <w:rFonts w:ascii="宋体" w:hAnsi="宋体"/>
          <w:bCs/>
          <w:color w:val="auto"/>
          <w:szCs w:val="21"/>
          <w:highlight w:val="none"/>
        </w:rPr>
      </w:pPr>
      <w:bookmarkStart w:id="141" w:name="_Toc331685783"/>
      <w:r>
        <w:rPr>
          <w:rFonts w:hint="eastAsia" w:ascii="宋体" w:hAnsi="宋体"/>
          <w:bCs/>
          <w:color w:val="auto"/>
          <w:szCs w:val="21"/>
          <w:highlight w:val="none"/>
        </w:rPr>
        <w:t>时间：</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年</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月</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               时间：</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年</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月</w:t>
      </w:r>
      <w:r>
        <w:rPr>
          <w:rFonts w:hint="eastAsia" w:ascii="宋体" w:hAnsi="宋体"/>
          <w:bCs/>
          <w:color w:val="auto"/>
          <w:szCs w:val="21"/>
          <w:highlight w:val="none"/>
          <w:u w:val="single"/>
        </w:rPr>
        <w:t xml:space="preserve"> </w:t>
      </w:r>
      <w:r>
        <w:rPr>
          <w:rFonts w:ascii="宋体" w:hAnsi="宋体"/>
          <w:bCs/>
          <w:color w:val="auto"/>
          <w:szCs w:val="21"/>
          <w:highlight w:val="none"/>
          <w:u w:val="single"/>
        </w:rPr>
        <w:t xml:space="preserve"> </w:t>
      </w:r>
      <w:r>
        <w:rPr>
          <w:rFonts w:hint="eastAsia" w:ascii="宋体" w:hAnsi="宋体"/>
          <w:bCs/>
          <w:color w:val="auto"/>
          <w:szCs w:val="21"/>
          <w:highlight w:val="none"/>
          <w:u w:val="single"/>
        </w:rPr>
        <w:t xml:space="preserve">  </w:t>
      </w:r>
      <w:r>
        <w:rPr>
          <w:rFonts w:hint="eastAsia" w:ascii="宋体" w:hAnsi="宋体"/>
          <w:bCs/>
          <w:color w:val="auto"/>
          <w:szCs w:val="21"/>
          <w:highlight w:val="none"/>
        </w:rPr>
        <w:t>日</w:t>
      </w:r>
    </w:p>
    <w:p>
      <w:pPr>
        <w:widowControl/>
        <w:jc w:val="left"/>
        <w:rPr>
          <w:rFonts w:ascii="宋体" w:hAnsi="宋体"/>
          <w:b/>
          <w:color w:val="auto"/>
          <w:szCs w:val="21"/>
          <w:highlight w:val="none"/>
        </w:rPr>
      </w:pPr>
      <w:r>
        <w:rPr>
          <w:rFonts w:ascii="宋体" w:hAnsi="宋体"/>
          <w:b/>
          <w:color w:val="auto"/>
          <w:szCs w:val="21"/>
          <w:highlight w:val="none"/>
        </w:rPr>
        <w:br w:type="page"/>
      </w:r>
    </w:p>
    <w:p>
      <w:pPr>
        <w:spacing w:line="360" w:lineRule="auto"/>
        <w:jc w:val="center"/>
        <w:outlineLvl w:val="2"/>
        <w:rPr>
          <w:rFonts w:ascii="宋体" w:hAnsi="宋体"/>
          <w:b/>
          <w:color w:val="auto"/>
          <w:szCs w:val="21"/>
          <w:highlight w:val="none"/>
        </w:rPr>
      </w:pPr>
      <w:r>
        <w:rPr>
          <w:rFonts w:hint="eastAsia" w:ascii="宋体" w:hAnsi="宋体"/>
          <w:b/>
          <w:color w:val="auto"/>
          <w:szCs w:val="21"/>
          <w:highlight w:val="none"/>
        </w:rPr>
        <w:t>第二部分</w:t>
      </w:r>
      <w:r>
        <w:rPr>
          <w:rFonts w:ascii="宋体" w:hAnsi="宋体"/>
          <w:b/>
          <w:color w:val="auto"/>
          <w:szCs w:val="21"/>
          <w:highlight w:val="none"/>
        </w:rPr>
        <w:t xml:space="preserve"> </w:t>
      </w:r>
      <w:r>
        <w:rPr>
          <w:rFonts w:hint="eastAsia" w:ascii="宋体" w:hAnsi="宋体"/>
          <w:b/>
          <w:color w:val="auto"/>
          <w:szCs w:val="21"/>
          <w:highlight w:val="none"/>
        </w:rPr>
        <w:t>合同一般条款</w:t>
      </w:r>
      <w:bookmarkEnd w:id="141"/>
    </w:p>
    <w:p>
      <w:pPr>
        <w:spacing w:line="360" w:lineRule="auto"/>
        <w:ind w:firstLine="437"/>
        <w:outlineLvl w:val="3"/>
        <w:rPr>
          <w:rFonts w:ascii="宋体" w:hAnsi="宋体"/>
          <w:b/>
          <w:bCs/>
          <w:color w:val="auto"/>
          <w:szCs w:val="21"/>
          <w:highlight w:val="none"/>
          <w:lang w:val="zh-CN"/>
        </w:rPr>
      </w:pPr>
      <w:bookmarkStart w:id="142" w:name="_Ref467379109"/>
      <w:bookmarkStart w:id="143" w:name="_Toc279701240"/>
      <w:bookmarkStart w:id="144" w:name="_Ref467379225"/>
      <w:bookmarkStart w:id="145" w:name="_Ref467379101"/>
      <w:bookmarkStart w:id="146" w:name="_Toc16917"/>
      <w:bookmarkStart w:id="147" w:name="_Ref467379205"/>
      <w:bookmarkStart w:id="148" w:name="_Toc19614"/>
      <w:bookmarkStart w:id="149" w:name="_Ref467378463"/>
      <w:bookmarkStart w:id="150" w:name="_Toc28763"/>
      <w:bookmarkStart w:id="151" w:name="_Toc259093669"/>
      <w:bookmarkStart w:id="152" w:name="_Ref467379214"/>
      <w:bookmarkStart w:id="153" w:name="_Ref467378404"/>
      <w:bookmarkStart w:id="154" w:name="_Ref467379195"/>
      <w:bookmarkStart w:id="155" w:name="_Toc487900349"/>
      <w:bookmarkStart w:id="156" w:name="_Ref467379094"/>
      <w:bookmarkStart w:id="157" w:name="_Ref467378499"/>
      <w:r>
        <w:rPr>
          <w:rFonts w:hint="eastAsia" w:ascii="宋体" w:hAnsi="宋体"/>
          <w:b/>
          <w:bCs/>
          <w:color w:val="auto"/>
          <w:szCs w:val="21"/>
          <w:highlight w:val="none"/>
          <w:lang w:val="zh-CN"/>
        </w:rPr>
        <w:t>2.1</w:t>
      </w:r>
      <w:r>
        <w:rPr>
          <w:rFonts w:ascii="宋体" w:hAnsi="宋体"/>
          <w:b/>
          <w:bCs/>
          <w:color w:val="auto"/>
          <w:szCs w:val="21"/>
          <w:highlight w:val="none"/>
          <w:lang w:val="zh-CN"/>
        </w:rPr>
        <w:t xml:space="preserve"> 定义</w:t>
      </w:r>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p>
    <w:p>
      <w:pPr>
        <w:spacing w:line="360" w:lineRule="auto"/>
        <w:ind w:firstLine="435"/>
        <w:rPr>
          <w:rFonts w:ascii="宋体" w:hAnsi="宋体"/>
          <w:color w:val="auto"/>
          <w:szCs w:val="21"/>
          <w:highlight w:val="none"/>
        </w:rPr>
      </w:pPr>
      <w:r>
        <w:rPr>
          <w:rFonts w:ascii="宋体" w:hAnsi="宋体"/>
          <w:color w:val="auto"/>
          <w:szCs w:val="21"/>
          <w:highlight w:val="none"/>
        </w:rPr>
        <w:t>本合同中的下列</w:t>
      </w:r>
      <w:r>
        <w:rPr>
          <w:rFonts w:hint="eastAsia" w:ascii="宋体" w:hAnsi="宋体"/>
          <w:color w:val="auto"/>
          <w:szCs w:val="21"/>
          <w:highlight w:val="none"/>
        </w:rPr>
        <w:t>词</w:t>
      </w:r>
      <w:r>
        <w:rPr>
          <w:rFonts w:ascii="宋体" w:hAnsi="宋体"/>
          <w:color w:val="auto"/>
          <w:szCs w:val="21"/>
          <w:highlight w:val="none"/>
        </w:rPr>
        <w:t>语应</w:t>
      </w:r>
      <w:r>
        <w:rPr>
          <w:rFonts w:hint="eastAsia" w:ascii="宋体" w:hAnsi="宋体"/>
          <w:color w:val="auto"/>
          <w:szCs w:val="21"/>
          <w:highlight w:val="none"/>
        </w:rPr>
        <w:t>按以下内容进行</w:t>
      </w:r>
      <w:r>
        <w:rPr>
          <w:rFonts w:ascii="宋体" w:hAnsi="宋体"/>
          <w:color w:val="auto"/>
          <w:szCs w:val="21"/>
          <w:highlight w:val="none"/>
        </w:rPr>
        <w:t>解释：</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.1</w:t>
      </w:r>
      <w:r>
        <w:rPr>
          <w:rFonts w:ascii="宋体" w:hAnsi="宋体"/>
          <w:color w:val="auto"/>
          <w:szCs w:val="21"/>
          <w:highlight w:val="none"/>
        </w:rPr>
        <w:t>“合同”系指采购人和中标</w:t>
      </w:r>
      <w:r>
        <w:rPr>
          <w:rFonts w:hint="eastAsia" w:ascii="宋体" w:hAnsi="宋体"/>
          <w:color w:val="auto"/>
          <w:szCs w:val="21"/>
          <w:highlight w:val="none"/>
        </w:rPr>
        <w:t>人</w:t>
      </w:r>
      <w:r>
        <w:rPr>
          <w:rFonts w:ascii="宋体" w:hAnsi="宋体"/>
          <w:color w:val="auto"/>
          <w:szCs w:val="21"/>
          <w:highlight w:val="none"/>
        </w:rPr>
        <w:t>签订的载明双方当事人所达成的协议，并包括所有的附件、附录和构成合同的其他文件。</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1.2“合同价”系指根据合同约定，中标</w:t>
      </w:r>
      <w:r>
        <w:rPr>
          <w:rFonts w:hint="eastAsia" w:ascii="宋体" w:hAnsi="宋体"/>
          <w:color w:val="auto"/>
          <w:szCs w:val="21"/>
          <w:highlight w:val="none"/>
        </w:rPr>
        <w:t>人</w:t>
      </w:r>
      <w:r>
        <w:rPr>
          <w:rFonts w:ascii="宋体" w:hAnsi="宋体"/>
          <w:color w:val="auto"/>
          <w:szCs w:val="21"/>
          <w:highlight w:val="none"/>
        </w:rPr>
        <w:t>在完全履行合同义务后</w:t>
      </w:r>
      <w:r>
        <w:rPr>
          <w:rFonts w:hint="eastAsia" w:ascii="宋体" w:hAnsi="宋体"/>
          <w:color w:val="auto"/>
          <w:szCs w:val="21"/>
          <w:highlight w:val="none"/>
        </w:rPr>
        <w:t>，</w:t>
      </w:r>
      <w:r>
        <w:rPr>
          <w:rFonts w:ascii="宋体" w:hAnsi="宋体"/>
          <w:color w:val="auto"/>
          <w:szCs w:val="21"/>
          <w:highlight w:val="none"/>
        </w:rPr>
        <w:t>采购人应支付给中标人的价格。</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1.3“</w:t>
      </w:r>
      <w:r>
        <w:rPr>
          <w:rFonts w:hint="eastAsia" w:ascii="宋体" w:hAnsi="宋体"/>
          <w:color w:val="auto"/>
          <w:szCs w:val="21"/>
          <w:highlight w:val="none"/>
        </w:rPr>
        <w:t>服务</w:t>
      </w:r>
      <w:r>
        <w:rPr>
          <w:rFonts w:ascii="宋体" w:hAnsi="宋体"/>
          <w:color w:val="auto"/>
          <w:szCs w:val="21"/>
          <w:highlight w:val="none"/>
        </w:rPr>
        <w:t>”系指</w:t>
      </w:r>
      <w:r>
        <w:rPr>
          <w:rFonts w:hint="eastAsia" w:ascii="宋体" w:hAnsi="宋体"/>
          <w:color w:val="auto"/>
          <w:szCs w:val="21"/>
          <w:highlight w:val="none"/>
        </w:rPr>
        <w:t>中标人</w:t>
      </w:r>
      <w:r>
        <w:rPr>
          <w:rFonts w:ascii="宋体" w:hAnsi="宋体"/>
          <w:color w:val="auto"/>
          <w:szCs w:val="21"/>
          <w:highlight w:val="none"/>
        </w:rPr>
        <w:t>根据合同约定应向采购人</w:t>
      </w:r>
      <w:r>
        <w:rPr>
          <w:rFonts w:hint="eastAsia" w:ascii="宋体" w:hAnsi="宋体"/>
          <w:color w:val="auto"/>
          <w:szCs w:val="21"/>
          <w:highlight w:val="none"/>
        </w:rPr>
        <w:t>履行</w:t>
      </w:r>
      <w:r>
        <w:rPr>
          <w:rFonts w:ascii="宋体" w:hAnsi="宋体"/>
          <w:color w:val="auto"/>
          <w:szCs w:val="21"/>
          <w:highlight w:val="none"/>
        </w:rPr>
        <w:t>的</w:t>
      </w:r>
      <w:r>
        <w:rPr>
          <w:rFonts w:hint="eastAsia" w:ascii="宋体" w:hAnsi="宋体"/>
          <w:color w:val="auto"/>
          <w:szCs w:val="21"/>
          <w:highlight w:val="none"/>
        </w:rPr>
        <w:t>除货物和工程以外的其他政府采购对象，包括采购人自身需要的服务和向社会公众提供的公共服务。</w:t>
      </w:r>
    </w:p>
    <w:p>
      <w:pPr>
        <w:spacing w:line="360" w:lineRule="auto"/>
        <w:ind w:firstLine="435"/>
        <w:rPr>
          <w:rFonts w:ascii="宋体" w:hAnsi="宋体"/>
          <w:color w:val="auto"/>
          <w:szCs w:val="21"/>
          <w:highlight w:val="none"/>
        </w:rPr>
      </w:pPr>
      <w:bookmarkStart w:id="158" w:name="_Ref467378840"/>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4</w:t>
      </w:r>
      <w:r>
        <w:rPr>
          <w:rFonts w:ascii="宋体" w:hAnsi="宋体"/>
          <w:color w:val="auto"/>
          <w:szCs w:val="21"/>
          <w:highlight w:val="none"/>
        </w:rPr>
        <w:t>“</w:t>
      </w:r>
      <w:r>
        <w:rPr>
          <w:rFonts w:hint="eastAsia" w:ascii="宋体" w:hAnsi="宋体"/>
          <w:color w:val="auto"/>
          <w:szCs w:val="21"/>
          <w:highlight w:val="none"/>
        </w:rPr>
        <w:t>甲方</w:t>
      </w:r>
      <w:r>
        <w:rPr>
          <w:rFonts w:ascii="宋体" w:hAnsi="宋体"/>
          <w:color w:val="auto"/>
          <w:szCs w:val="21"/>
          <w:highlight w:val="none"/>
        </w:rPr>
        <w:t>”系指与</w:t>
      </w:r>
      <w:r>
        <w:rPr>
          <w:rFonts w:hint="eastAsia" w:ascii="宋体" w:hAnsi="宋体"/>
          <w:color w:val="auto"/>
          <w:szCs w:val="21"/>
          <w:highlight w:val="none"/>
        </w:rPr>
        <w:t>中标人</w:t>
      </w:r>
      <w:r>
        <w:rPr>
          <w:rFonts w:ascii="宋体" w:hAnsi="宋体"/>
          <w:color w:val="auto"/>
          <w:szCs w:val="21"/>
          <w:highlight w:val="none"/>
        </w:rPr>
        <w:t>签署合同的采购人</w:t>
      </w:r>
      <w:bookmarkEnd w:id="158"/>
      <w:r>
        <w:rPr>
          <w:rFonts w:hint="eastAsia" w:ascii="宋体" w:hAnsi="宋体"/>
          <w:color w:val="auto"/>
          <w:szCs w:val="21"/>
          <w:highlight w:val="none"/>
        </w:rPr>
        <w:t>；采购人委托采购代理机构代表其与乙方签订合同的，采购人的授权委托书作为合同附件。</w:t>
      </w:r>
    </w:p>
    <w:p>
      <w:pPr>
        <w:spacing w:line="360" w:lineRule="auto"/>
        <w:ind w:firstLine="435"/>
        <w:rPr>
          <w:rFonts w:ascii="宋体" w:hAnsi="宋体"/>
          <w:color w:val="auto"/>
          <w:szCs w:val="21"/>
          <w:highlight w:val="none"/>
        </w:rPr>
      </w:pPr>
      <w:bookmarkStart w:id="159" w:name="_Ref467379400"/>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5</w:t>
      </w:r>
      <w:r>
        <w:rPr>
          <w:rFonts w:ascii="宋体" w:hAnsi="宋体"/>
          <w:color w:val="auto"/>
          <w:szCs w:val="21"/>
          <w:highlight w:val="none"/>
        </w:rPr>
        <w:t>“乙方”系指根据合同约定</w:t>
      </w:r>
      <w:r>
        <w:rPr>
          <w:rFonts w:hint="eastAsia" w:ascii="宋体" w:hAnsi="宋体"/>
          <w:color w:val="auto"/>
          <w:szCs w:val="21"/>
          <w:highlight w:val="none"/>
        </w:rPr>
        <w:t>提供服务</w:t>
      </w:r>
      <w:r>
        <w:rPr>
          <w:rFonts w:ascii="宋体" w:hAnsi="宋体"/>
          <w:color w:val="auto"/>
          <w:szCs w:val="21"/>
          <w:highlight w:val="none"/>
        </w:rPr>
        <w:t>的中标人</w:t>
      </w:r>
      <w:bookmarkEnd w:id="159"/>
      <w:r>
        <w:rPr>
          <w:rFonts w:hint="eastAsia" w:ascii="宋体" w:hAnsi="宋体"/>
          <w:color w:val="auto"/>
          <w:szCs w:val="21"/>
          <w:highlight w:val="none"/>
        </w:rPr>
        <w:t>；两个以上的自然人、法人或者其他组织组成一个联合体，以一个供应商的身份共同参加政府采购的，联合体各方均应为乙方或者与乙方相同地位的合同当事人，并就合同约定的事项对甲方承担连带责任。</w:t>
      </w:r>
    </w:p>
    <w:p>
      <w:pPr>
        <w:spacing w:line="360" w:lineRule="auto"/>
        <w:ind w:firstLine="435"/>
        <w:rPr>
          <w:rFonts w:ascii="宋体" w:hAnsi="宋体"/>
          <w:color w:val="auto"/>
          <w:szCs w:val="21"/>
          <w:highlight w:val="none"/>
        </w:rPr>
      </w:pPr>
      <w:bookmarkStart w:id="160" w:name="_Ref467379436"/>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6</w:t>
      </w:r>
      <w:r>
        <w:rPr>
          <w:rFonts w:ascii="宋体" w:hAnsi="宋体"/>
          <w:color w:val="auto"/>
          <w:szCs w:val="21"/>
          <w:highlight w:val="none"/>
        </w:rPr>
        <w:t>“现场”系指合同约定</w:t>
      </w:r>
      <w:r>
        <w:rPr>
          <w:rFonts w:hint="eastAsia" w:ascii="宋体" w:hAnsi="宋体"/>
          <w:color w:val="auto"/>
          <w:szCs w:val="21"/>
          <w:highlight w:val="none"/>
        </w:rPr>
        <w:t>提供服务</w:t>
      </w:r>
      <w:r>
        <w:rPr>
          <w:rFonts w:ascii="宋体" w:hAnsi="宋体"/>
          <w:color w:val="auto"/>
          <w:szCs w:val="21"/>
          <w:highlight w:val="none"/>
        </w:rPr>
        <w:t>的地点。</w:t>
      </w:r>
      <w:bookmarkEnd w:id="160"/>
    </w:p>
    <w:p>
      <w:pPr>
        <w:spacing w:line="360" w:lineRule="auto"/>
        <w:ind w:firstLine="437"/>
        <w:outlineLvl w:val="3"/>
        <w:rPr>
          <w:rFonts w:ascii="宋体" w:hAnsi="宋体"/>
          <w:b/>
          <w:bCs/>
          <w:color w:val="auto"/>
          <w:szCs w:val="21"/>
          <w:highlight w:val="none"/>
          <w:lang w:val="zh-CN"/>
        </w:rPr>
      </w:pPr>
      <w:bookmarkStart w:id="161" w:name="_Toc32504"/>
      <w:bookmarkStart w:id="162" w:name="_Toc279701241"/>
      <w:bookmarkStart w:id="163" w:name="_Toc487900350"/>
      <w:bookmarkStart w:id="164" w:name="_Toc13336"/>
      <w:bookmarkStart w:id="165" w:name="_Toc259093670"/>
      <w:bookmarkStart w:id="166" w:name="_Toc27635"/>
      <w:r>
        <w:rPr>
          <w:rFonts w:hint="eastAsia" w:ascii="宋体" w:hAnsi="宋体"/>
          <w:b/>
          <w:bCs/>
          <w:color w:val="auto"/>
          <w:szCs w:val="21"/>
          <w:highlight w:val="none"/>
          <w:lang w:val="zh-CN"/>
        </w:rPr>
        <w:t>2.</w:t>
      </w:r>
      <w:r>
        <w:rPr>
          <w:rFonts w:ascii="宋体" w:hAnsi="宋体"/>
          <w:b/>
          <w:bCs/>
          <w:color w:val="auto"/>
          <w:szCs w:val="21"/>
          <w:highlight w:val="none"/>
          <w:lang w:val="zh-CN"/>
        </w:rPr>
        <w:t>2 技术规范</w:t>
      </w:r>
      <w:bookmarkEnd w:id="161"/>
      <w:bookmarkEnd w:id="162"/>
      <w:bookmarkEnd w:id="163"/>
      <w:bookmarkEnd w:id="164"/>
      <w:bookmarkEnd w:id="165"/>
      <w:bookmarkEnd w:id="166"/>
    </w:p>
    <w:p>
      <w:pPr>
        <w:spacing w:line="360" w:lineRule="auto"/>
        <w:ind w:firstLine="435"/>
        <w:rPr>
          <w:rFonts w:ascii="宋体" w:hAnsi="宋体"/>
          <w:color w:val="auto"/>
          <w:szCs w:val="21"/>
          <w:highlight w:val="none"/>
        </w:rPr>
      </w:pPr>
      <w:r>
        <w:rPr>
          <w:rFonts w:ascii="宋体" w:hAnsi="宋体"/>
          <w:color w:val="auto"/>
          <w:szCs w:val="21"/>
          <w:highlight w:val="none"/>
        </w:rPr>
        <w:t>货物所应遵守的技术规范应与采购文件规定的技术规范和技术规范附件(如果有的话)及其技术规范偏差表(如果被甲方接受的话)相一致</w:t>
      </w:r>
      <w:r>
        <w:rPr>
          <w:rFonts w:hint="eastAsia" w:ascii="宋体" w:hAnsi="宋体"/>
          <w:color w:val="auto"/>
          <w:szCs w:val="21"/>
          <w:highlight w:val="none"/>
        </w:rPr>
        <w:t>；</w:t>
      </w:r>
      <w:r>
        <w:rPr>
          <w:rFonts w:ascii="宋体" w:hAnsi="宋体"/>
          <w:color w:val="auto"/>
          <w:szCs w:val="21"/>
          <w:highlight w:val="none"/>
        </w:rPr>
        <w:t>如果采购文件中没有技术规范的相应说明，那么应以国家有关部门最新颁布的相应标准</w:t>
      </w:r>
      <w:r>
        <w:rPr>
          <w:rFonts w:hint="eastAsia" w:ascii="宋体" w:hAnsi="宋体"/>
          <w:color w:val="auto"/>
          <w:szCs w:val="21"/>
          <w:highlight w:val="none"/>
        </w:rPr>
        <w:t>和</w:t>
      </w:r>
      <w:r>
        <w:rPr>
          <w:rFonts w:ascii="宋体" w:hAnsi="宋体"/>
          <w:color w:val="auto"/>
          <w:szCs w:val="21"/>
          <w:highlight w:val="none"/>
        </w:rPr>
        <w:t>规范为准。</w:t>
      </w:r>
    </w:p>
    <w:p>
      <w:pPr>
        <w:spacing w:line="360" w:lineRule="auto"/>
        <w:ind w:firstLine="437"/>
        <w:outlineLvl w:val="3"/>
        <w:rPr>
          <w:rFonts w:ascii="宋体" w:hAnsi="宋体"/>
          <w:b/>
          <w:bCs/>
          <w:color w:val="auto"/>
          <w:szCs w:val="21"/>
          <w:highlight w:val="none"/>
          <w:lang w:val="zh-CN"/>
        </w:rPr>
      </w:pPr>
      <w:bookmarkStart w:id="167" w:name="_Toc259093671"/>
      <w:bookmarkStart w:id="168" w:name="_Toc31634"/>
      <w:bookmarkStart w:id="169" w:name="_Toc279701242"/>
      <w:bookmarkStart w:id="170" w:name="_Toc27853"/>
      <w:bookmarkStart w:id="171" w:name="_Toc487900351"/>
      <w:bookmarkStart w:id="172" w:name="_Toc9829"/>
      <w:r>
        <w:rPr>
          <w:rFonts w:hint="eastAsia" w:ascii="宋体" w:hAnsi="宋体"/>
          <w:b/>
          <w:bCs/>
          <w:color w:val="auto"/>
          <w:szCs w:val="21"/>
          <w:highlight w:val="none"/>
          <w:lang w:val="zh-CN"/>
        </w:rPr>
        <w:t>2.</w:t>
      </w:r>
      <w:r>
        <w:rPr>
          <w:rFonts w:ascii="宋体" w:hAnsi="宋体"/>
          <w:b/>
          <w:bCs/>
          <w:color w:val="auto"/>
          <w:szCs w:val="21"/>
          <w:highlight w:val="none"/>
          <w:lang w:val="zh-CN"/>
        </w:rPr>
        <w:t>3 知识产权</w:t>
      </w:r>
      <w:bookmarkEnd w:id="167"/>
      <w:bookmarkEnd w:id="168"/>
      <w:bookmarkEnd w:id="169"/>
      <w:bookmarkEnd w:id="170"/>
      <w:bookmarkEnd w:id="171"/>
      <w:bookmarkEnd w:id="172"/>
    </w:p>
    <w:p>
      <w:pPr>
        <w:spacing w:line="360" w:lineRule="auto"/>
        <w:ind w:firstLine="435"/>
        <w:rPr>
          <w:rFonts w:ascii="宋体" w:hAnsi="宋体"/>
          <w:color w:val="auto"/>
          <w:szCs w:val="21"/>
          <w:highlight w:val="none"/>
        </w:rPr>
      </w:pPr>
      <w:r>
        <w:rPr>
          <w:rFonts w:hint="eastAsia" w:ascii="宋体" w:hAnsi="宋体"/>
          <w:color w:val="auto"/>
          <w:szCs w:val="21"/>
          <w:highlight w:val="none"/>
        </w:rPr>
        <w:t>2.3.1乙</w:t>
      </w:r>
      <w:r>
        <w:rPr>
          <w:rFonts w:ascii="宋体" w:hAnsi="宋体"/>
          <w:color w:val="auto"/>
          <w:szCs w:val="21"/>
          <w:highlight w:val="none"/>
        </w:rPr>
        <w:t>方应保证</w:t>
      </w:r>
      <w:r>
        <w:rPr>
          <w:rFonts w:hint="eastAsia" w:ascii="宋体" w:hAnsi="宋体"/>
          <w:color w:val="auto"/>
          <w:szCs w:val="21"/>
          <w:highlight w:val="none"/>
        </w:rPr>
        <w:t>其提供的服务</w:t>
      </w:r>
      <w:r>
        <w:rPr>
          <w:rFonts w:ascii="宋体" w:hAnsi="宋体"/>
          <w:color w:val="auto"/>
          <w:szCs w:val="21"/>
          <w:highlight w:val="none"/>
        </w:rPr>
        <w:t>不受任何第三方提出的侵犯其著作权、商标权、专利权等知识产权方面的起诉</w:t>
      </w:r>
      <w:r>
        <w:rPr>
          <w:rFonts w:hint="eastAsia" w:ascii="宋体" w:hAnsi="宋体"/>
          <w:color w:val="auto"/>
          <w:szCs w:val="21"/>
          <w:highlight w:val="none"/>
        </w:rPr>
        <w:t>；</w:t>
      </w:r>
      <w:r>
        <w:rPr>
          <w:rFonts w:ascii="宋体" w:hAnsi="宋体"/>
          <w:color w:val="auto"/>
          <w:szCs w:val="21"/>
          <w:highlight w:val="none"/>
        </w:rPr>
        <w:t>如果任何第三方提出侵权</w:t>
      </w:r>
      <w:r>
        <w:rPr>
          <w:rFonts w:hint="eastAsia" w:ascii="宋体" w:hAnsi="宋体"/>
          <w:color w:val="auto"/>
          <w:szCs w:val="21"/>
          <w:highlight w:val="none"/>
        </w:rPr>
        <w:t>指控</w:t>
      </w:r>
      <w:r>
        <w:rPr>
          <w:rFonts w:ascii="宋体" w:hAnsi="宋体"/>
          <w:color w:val="auto"/>
          <w:szCs w:val="21"/>
          <w:highlight w:val="none"/>
        </w:rPr>
        <w:t>，那么乙方须与该第三方交涉并承担由此发生的一切责任、费用和赔偿</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2.3.2具有知识产权的计算机软件等货物的知识产权归属，</w:t>
      </w:r>
      <w:r>
        <w:rPr>
          <w:rFonts w:ascii="宋体" w:hAnsi="宋体"/>
          <w:color w:val="auto"/>
          <w:szCs w:val="21"/>
          <w:highlight w:val="none"/>
        </w:rPr>
        <w:t>详见</w:t>
      </w:r>
      <w:r>
        <w:rPr>
          <w:rFonts w:ascii="宋体" w:hAnsi="宋体"/>
          <w:b/>
          <w:i/>
          <w:color w:val="auto"/>
          <w:szCs w:val="21"/>
          <w:highlight w:val="none"/>
          <w:u w:val="single"/>
        </w:rPr>
        <w:t>合同专用条款</w:t>
      </w:r>
      <w:r>
        <w:rPr>
          <w:rFonts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173" w:name="_Ref467379542"/>
      <w:bookmarkStart w:id="174" w:name="_Ref467379527"/>
      <w:bookmarkStart w:id="175" w:name="_Toc279701245"/>
      <w:bookmarkStart w:id="176" w:name="_Ref467379536"/>
      <w:bookmarkStart w:id="177" w:name="_Ref467378541"/>
      <w:bookmarkStart w:id="178" w:name="_Toc259093674"/>
      <w:bookmarkStart w:id="179" w:name="_Toc487900354"/>
      <w:bookmarkStart w:id="180" w:name="_Ref467378591"/>
      <w:bookmarkStart w:id="181" w:name="_Toc30272"/>
      <w:bookmarkStart w:id="182" w:name="_Toc19074"/>
      <w:bookmarkStart w:id="183" w:name="_Toc26182"/>
      <w:r>
        <w:rPr>
          <w:rFonts w:hint="eastAsia" w:ascii="宋体" w:hAnsi="宋体"/>
          <w:b/>
          <w:bCs/>
          <w:color w:val="auto"/>
          <w:szCs w:val="21"/>
          <w:highlight w:val="none"/>
          <w:lang w:val="zh-CN"/>
        </w:rPr>
        <w:t>2.</w:t>
      </w:r>
      <w:bookmarkEnd w:id="173"/>
      <w:bookmarkEnd w:id="174"/>
      <w:bookmarkEnd w:id="175"/>
      <w:bookmarkEnd w:id="176"/>
      <w:bookmarkEnd w:id="177"/>
      <w:bookmarkEnd w:id="178"/>
      <w:bookmarkEnd w:id="179"/>
      <w:bookmarkEnd w:id="180"/>
      <w:r>
        <w:rPr>
          <w:rFonts w:ascii="宋体" w:hAnsi="宋体"/>
          <w:b/>
          <w:bCs/>
          <w:color w:val="auto"/>
          <w:szCs w:val="21"/>
          <w:highlight w:val="none"/>
          <w:lang w:val="zh-CN"/>
        </w:rPr>
        <w:t xml:space="preserve">4 </w:t>
      </w:r>
      <w:r>
        <w:rPr>
          <w:rFonts w:hint="eastAsia" w:ascii="宋体" w:hAnsi="宋体"/>
          <w:b/>
          <w:bCs/>
          <w:color w:val="auto"/>
          <w:szCs w:val="21"/>
          <w:highlight w:val="none"/>
          <w:lang w:val="zh-CN"/>
        </w:rPr>
        <w:t>履约检查和问题反馈</w:t>
      </w:r>
      <w:bookmarkEnd w:id="181"/>
      <w:bookmarkEnd w:id="182"/>
      <w:bookmarkEnd w:id="183"/>
    </w:p>
    <w:p>
      <w:pPr>
        <w:spacing w:line="360" w:lineRule="auto"/>
        <w:ind w:firstLine="435"/>
        <w:rPr>
          <w:rFonts w:ascii="宋体" w:hAnsi="宋体"/>
          <w:color w:val="auto"/>
          <w:szCs w:val="21"/>
          <w:highlight w:val="none"/>
        </w:rPr>
      </w:pPr>
      <w:bookmarkStart w:id="184" w:name="_Toc186431854"/>
      <w:bookmarkStart w:id="185" w:name="_Toc487900357"/>
      <w:bookmarkStart w:id="186" w:name="_Ref467379807"/>
      <w:bookmarkStart w:id="187" w:name="_Ref467379793"/>
      <w:bookmarkStart w:id="188" w:name="_Toc279701247"/>
      <w:bookmarkStart w:id="189" w:name="_Toc259093676"/>
      <w:r>
        <w:rPr>
          <w:rFonts w:hint="eastAsia" w:ascii="宋体" w:hAnsi="宋体"/>
          <w:color w:val="auto"/>
          <w:szCs w:val="21"/>
          <w:highlight w:val="none"/>
        </w:rPr>
        <w:t>2.4</w:t>
      </w:r>
      <w:r>
        <w:rPr>
          <w:rFonts w:ascii="宋体" w:hAnsi="宋体"/>
          <w:color w:val="auto"/>
          <w:szCs w:val="21"/>
          <w:highlight w:val="none"/>
        </w:rPr>
        <w:t>.1甲方</w:t>
      </w:r>
      <w:r>
        <w:rPr>
          <w:rFonts w:hint="eastAsia" w:ascii="宋体" w:hAnsi="宋体"/>
          <w:color w:val="auto"/>
          <w:szCs w:val="21"/>
          <w:highlight w:val="none"/>
        </w:rPr>
        <w:t>有权</w:t>
      </w:r>
      <w:r>
        <w:rPr>
          <w:rFonts w:ascii="宋体" w:hAnsi="宋体"/>
          <w:color w:val="auto"/>
          <w:szCs w:val="21"/>
          <w:highlight w:val="none"/>
        </w:rPr>
        <w:t>在其认为必要时</w:t>
      </w:r>
      <w:r>
        <w:rPr>
          <w:rFonts w:hint="eastAsia" w:ascii="宋体" w:hAnsi="宋体"/>
          <w:color w:val="auto"/>
          <w:szCs w:val="21"/>
          <w:highlight w:val="none"/>
        </w:rPr>
        <w:t>，对乙方是否能够按照合同约定提供服务进行履约检查，以确保乙方所提供的服务能够依约满足甲方项目需求，但不得因履约检查妨碍乙方的正常工作，乙方应予积极配合；</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4</w:t>
      </w:r>
      <w:r>
        <w:rPr>
          <w:rFonts w:hint="eastAsia" w:ascii="宋体" w:hAnsi="宋体"/>
          <w:color w:val="auto"/>
          <w:szCs w:val="21"/>
          <w:highlight w:val="none"/>
        </w:rPr>
        <w:t>.2合同履行期间，甲方有权将履行过程中出现的问题反馈给乙方，双方当事人应以书面形式约定需要完善和改进的内容</w:t>
      </w:r>
      <w:bookmarkEnd w:id="184"/>
      <w:bookmarkStart w:id="190" w:name="_Toc186431855"/>
      <w:r>
        <w:rPr>
          <w:rFonts w:hint="eastAsia" w:ascii="宋体" w:hAnsi="宋体"/>
          <w:color w:val="auto"/>
          <w:szCs w:val="21"/>
          <w:highlight w:val="none"/>
        </w:rPr>
        <w:t>。</w:t>
      </w:r>
    </w:p>
    <w:bookmarkEnd w:id="190"/>
    <w:p>
      <w:pPr>
        <w:spacing w:line="360" w:lineRule="auto"/>
        <w:ind w:firstLine="437"/>
        <w:outlineLvl w:val="3"/>
        <w:rPr>
          <w:rFonts w:ascii="宋体" w:hAnsi="宋体"/>
          <w:b/>
          <w:bCs/>
          <w:color w:val="auto"/>
          <w:szCs w:val="21"/>
          <w:highlight w:val="none"/>
          <w:lang w:val="zh-CN"/>
        </w:rPr>
      </w:pPr>
      <w:bookmarkStart w:id="191" w:name="_Toc28451"/>
      <w:bookmarkStart w:id="192" w:name="_Toc19219"/>
      <w:bookmarkStart w:id="193" w:name="_Toc7836"/>
      <w:r>
        <w:rPr>
          <w:rFonts w:hint="eastAsia" w:ascii="宋体" w:hAnsi="宋体"/>
          <w:b/>
          <w:bCs/>
          <w:color w:val="auto"/>
          <w:szCs w:val="21"/>
          <w:highlight w:val="none"/>
          <w:lang w:val="zh-CN"/>
        </w:rPr>
        <w:t>2.</w:t>
      </w:r>
      <w:r>
        <w:rPr>
          <w:rFonts w:ascii="宋体" w:hAnsi="宋体"/>
          <w:b/>
          <w:bCs/>
          <w:color w:val="auto"/>
          <w:szCs w:val="21"/>
          <w:highlight w:val="none"/>
          <w:lang w:val="zh-CN"/>
        </w:rPr>
        <w:t>5</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结算方式和付款条件</w:t>
      </w:r>
      <w:bookmarkEnd w:id="185"/>
      <w:bookmarkEnd w:id="186"/>
      <w:bookmarkEnd w:id="187"/>
      <w:bookmarkEnd w:id="188"/>
      <w:bookmarkEnd w:id="189"/>
      <w:bookmarkEnd w:id="191"/>
      <w:bookmarkEnd w:id="192"/>
      <w:bookmarkEnd w:id="193"/>
    </w:p>
    <w:p>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本项目采用总价合同。</w:t>
      </w:r>
    </w:p>
    <w:p>
      <w:pPr>
        <w:spacing w:line="360" w:lineRule="auto"/>
        <w:ind w:firstLine="437"/>
        <w:outlineLvl w:val="3"/>
        <w:rPr>
          <w:rFonts w:ascii="宋体" w:hAnsi="宋体"/>
          <w:b/>
          <w:bCs/>
          <w:color w:val="auto"/>
          <w:szCs w:val="21"/>
          <w:highlight w:val="none"/>
          <w:lang w:val="zh-CN"/>
        </w:rPr>
      </w:pPr>
      <w:bookmarkStart w:id="194" w:name="_Ref467379863"/>
      <w:bookmarkStart w:id="195" w:name="_Toc279701248"/>
      <w:bookmarkStart w:id="196" w:name="_Toc487900358"/>
      <w:bookmarkStart w:id="197" w:name="_Toc259093677"/>
      <w:bookmarkStart w:id="198" w:name="_Ref467379852"/>
      <w:bookmarkStart w:id="199" w:name="_Ref467379923"/>
      <w:bookmarkStart w:id="200" w:name="_Toc774"/>
      <w:bookmarkStart w:id="201" w:name="_Toc16110"/>
      <w:bookmarkStart w:id="202" w:name="_Toc3225"/>
      <w:r>
        <w:rPr>
          <w:rFonts w:hint="eastAsia" w:ascii="宋体" w:hAnsi="宋体"/>
          <w:b/>
          <w:bCs/>
          <w:color w:val="auto"/>
          <w:szCs w:val="21"/>
          <w:highlight w:val="none"/>
          <w:lang w:val="zh-CN"/>
        </w:rPr>
        <w:t>2.</w:t>
      </w:r>
      <w:r>
        <w:rPr>
          <w:rFonts w:ascii="宋体" w:hAnsi="宋体"/>
          <w:b/>
          <w:bCs/>
          <w:color w:val="auto"/>
          <w:szCs w:val="21"/>
          <w:highlight w:val="none"/>
          <w:lang w:val="zh-CN"/>
        </w:rPr>
        <w:t>6</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技术资料</w:t>
      </w:r>
      <w:bookmarkEnd w:id="194"/>
      <w:bookmarkEnd w:id="195"/>
      <w:bookmarkEnd w:id="196"/>
      <w:bookmarkEnd w:id="197"/>
      <w:bookmarkEnd w:id="198"/>
      <w:bookmarkEnd w:id="199"/>
      <w:r>
        <w:rPr>
          <w:rFonts w:ascii="宋体" w:hAnsi="宋体"/>
          <w:b/>
          <w:bCs/>
          <w:color w:val="auto"/>
          <w:szCs w:val="21"/>
          <w:highlight w:val="none"/>
          <w:lang w:val="zh-CN"/>
        </w:rPr>
        <w:t>和保密义务</w:t>
      </w:r>
      <w:bookmarkEnd w:id="200"/>
      <w:bookmarkEnd w:id="201"/>
      <w:bookmarkEnd w:id="202"/>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6.1</w:t>
      </w:r>
      <w:r>
        <w:rPr>
          <w:rFonts w:hint="eastAsia" w:ascii="宋体" w:hAnsi="宋体"/>
          <w:color w:val="auto"/>
          <w:szCs w:val="21"/>
          <w:highlight w:val="none"/>
        </w:rPr>
        <w:t>乙方有权依据合同约定和项目需要，向甲方了解有关情况，调阅有关资料等，甲方应予积极配合；</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6</w:t>
      </w:r>
      <w:r>
        <w:rPr>
          <w:rFonts w:hint="eastAsia" w:ascii="宋体" w:hAnsi="宋体"/>
          <w:color w:val="auto"/>
          <w:szCs w:val="21"/>
          <w:highlight w:val="none"/>
        </w:rPr>
        <w:t>.2乙方有义务妥善保管和保护由甲方提供的前款信息和资料等；</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6.</w:t>
      </w:r>
      <w:r>
        <w:rPr>
          <w:rFonts w:hint="eastAsia" w:ascii="宋体" w:hAnsi="宋体"/>
          <w:color w:val="auto"/>
          <w:szCs w:val="21"/>
          <w:highlight w:val="none"/>
        </w:rPr>
        <w:t>3除非依照法律规定或者对方当事人的书面同意，任何一方均应保证不向任何第三方提供或披露有关合同的或者履行合同过程中知悉的对方当事人任何未公开的信息和资料，包括但不限于</w:t>
      </w:r>
      <w:r>
        <w:rPr>
          <w:rFonts w:ascii="宋体" w:hAnsi="宋体"/>
          <w:color w:val="auto"/>
          <w:szCs w:val="21"/>
          <w:highlight w:val="none"/>
        </w:rPr>
        <w:t>技术情报</w:t>
      </w:r>
      <w:r>
        <w:rPr>
          <w:rFonts w:hint="eastAsia" w:ascii="宋体" w:hAnsi="宋体"/>
          <w:color w:val="auto"/>
          <w:szCs w:val="21"/>
          <w:highlight w:val="none"/>
        </w:rPr>
        <w:t>、</w:t>
      </w:r>
      <w:r>
        <w:rPr>
          <w:rFonts w:ascii="宋体" w:hAnsi="宋体"/>
          <w:color w:val="auto"/>
          <w:szCs w:val="21"/>
          <w:highlight w:val="none"/>
        </w:rPr>
        <w:t>技术资料</w:t>
      </w:r>
      <w:r>
        <w:rPr>
          <w:rFonts w:hint="eastAsia" w:ascii="宋体" w:hAnsi="宋体"/>
          <w:color w:val="auto"/>
          <w:szCs w:val="21"/>
          <w:highlight w:val="none"/>
        </w:rPr>
        <w:t>、商业秘密和商业信息等，并采取一切合理和必要措施和方式防止任何第三方接触到对方当事人的上述保密信息和资料。</w:t>
      </w:r>
    </w:p>
    <w:p>
      <w:pPr>
        <w:spacing w:line="360" w:lineRule="auto"/>
        <w:ind w:firstLine="437"/>
        <w:outlineLvl w:val="3"/>
        <w:rPr>
          <w:rFonts w:ascii="宋体" w:hAnsi="宋体"/>
          <w:b/>
          <w:bCs/>
          <w:color w:val="auto"/>
          <w:szCs w:val="21"/>
          <w:highlight w:val="none"/>
          <w:lang w:val="zh-CN"/>
        </w:rPr>
      </w:pPr>
      <w:bookmarkStart w:id="203" w:name="_Toc7860"/>
      <w:r>
        <w:rPr>
          <w:rFonts w:ascii="宋体" w:hAnsi="宋体"/>
          <w:b/>
          <w:bCs/>
          <w:color w:val="auto"/>
          <w:szCs w:val="21"/>
          <w:highlight w:val="none"/>
          <w:lang w:val="zh-CN"/>
        </w:rPr>
        <w:t>2.7 质量保证</w:t>
      </w:r>
      <w:bookmarkEnd w:id="203"/>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7</w:t>
      </w:r>
      <w:r>
        <w:rPr>
          <w:rFonts w:hint="eastAsia" w:ascii="宋体" w:hAnsi="宋体"/>
          <w:color w:val="auto"/>
          <w:szCs w:val="21"/>
          <w:highlight w:val="none"/>
        </w:rPr>
        <w:t>.1乙方应建立和完善履行合同的内部质量保证体系，并提供相关内部规章制度给甲方，以便甲方进行监督检查；</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7</w:t>
      </w:r>
      <w:r>
        <w:rPr>
          <w:rFonts w:hint="eastAsia" w:ascii="宋体" w:hAnsi="宋体"/>
          <w:color w:val="auto"/>
          <w:szCs w:val="21"/>
          <w:highlight w:val="none"/>
        </w:rPr>
        <w:t>.2乙方应保证履行合同的人员数量和素质、软件和硬件设备的配置、场地、环境和设施等满足全面履行合同的要求，并应接受甲方的监督检查。</w:t>
      </w:r>
    </w:p>
    <w:p>
      <w:pPr>
        <w:spacing w:line="360" w:lineRule="auto"/>
        <w:ind w:firstLine="437"/>
        <w:outlineLvl w:val="3"/>
        <w:rPr>
          <w:rFonts w:ascii="宋体" w:hAnsi="宋体"/>
          <w:b/>
          <w:color w:val="auto"/>
          <w:szCs w:val="21"/>
          <w:highlight w:val="none"/>
        </w:rPr>
      </w:pPr>
      <w:bookmarkStart w:id="204" w:name="_Toc22267"/>
      <w:r>
        <w:rPr>
          <w:rFonts w:hint="eastAsia" w:ascii="宋体" w:hAnsi="宋体"/>
          <w:b/>
          <w:color w:val="auto"/>
          <w:szCs w:val="21"/>
          <w:highlight w:val="none"/>
        </w:rPr>
        <w:t>2.8 延迟履行</w:t>
      </w:r>
      <w:bookmarkEnd w:id="204"/>
    </w:p>
    <w:p>
      <w:pPr>
        <w:spacing w:line="360" w:lineRule="auto"/>
        <w:ind w:firstLine="435"/>
        <w:rPr>
          <w:rFonts w:ascii="宋体" w:hAnsi="宋体"/>
          <w:color w:val="auto"/>
          <w:szCs w:val="21"/>
          <w:highlight w:val="none"/>
        </w:rPr>
      </w:pPr>
      <w:r>
        <w:rPr>
          <w:rFonts w:ascii="宋体" w:hAnsi="宋体"/>
          <w:color w:val="auto"/>
          <w:szCs w:val="21"/>
          <w:highlight w:val="none"/>
        </w:rPr>
        <w:t>在合同履行过程中，如果乙方遇到不能按时</w:t>
      </w:r>
      <w:r>
        <w:rPr>
          <w:rFonts w:hint="eastAsia" w:ascii="宋体" w:hAnsi="宋体"/>
          <w:color w:val="auto"/>
          <w:szCs w:val="21"/>
          <w:highlight w:val="none"/>
        </w:rPr>
        <w:t>提供服务</w:t>
      </w:r>
      <w:r>
        <w:rPr>
          <w:rFonts w:ascii="宋体" w:hAnsi="宋体"/>
          <w:color w:val="auto"/>
          <w:szCs w:val="21"/>
          <w:highlight w:val="none"/>
        </w:rPr>
        <w:t>的情况，应及时以书面形式将不能按时</w:t>
      </w:r>
      <w:r>
        <w:rPr>
          <w:rFonts w:hint="eastAsia" w:ascii="宋体" w:hAnsi="宋体"/>
          <w:color w:val="auto"/>
          <w:szCs w:val="21"/>
          <w:highlight w:val="none"/>
        </w:rPr>
        <w:t>提供服务</w:t>
      </w:r>
      <w:r>
        <w:rPr>
          <w:rFonts w:ascii="宋体" w:hAnsi="宋体"/>
          <w:color w:val="auto"/>
          <w:szCs w:val="21"/>
          <w:highlight w:val="none"/>
        </w:rPr>
        <w:t>的理由、预期延误时间通知甲方</w:t>
      </w:r>
      <w:r>
        <w:rPr>
          <w:rFonts w:hint="eastAsia" w:ascii="宋体" w:hAnsi="宋体"/>
          <w:color w:val="auto"/>
          <w:szCs w:val="21"/>
          <w:highlight w:val="none"/>
        </w:rPr>
        <w:t>；甲</w:t>
      </w:r>
      <w:r>
        <w:rPr>
          <w:rFonts w:ascii="宋体" w:hAnsi="宋体"/>
          <w:color w:val="auto"/>
          <w:szCs w:val="21"/>
          <w:highlight w:val="none"/>
        </w:rPr>
        <w:t>方收到乙方通知后，认为其理由正当的，可以书面形式酌情同意乙方可以延长</w:t>
      </w:r>
      <w:r>
        <w:rPr>
          <w:rFonts w:hint="eastAsia" w:ascii="宋体" w:hAnsi="宋体"/>
          <w:color w:val="auto"/>
          <w:szCs w:val="21"/>
          <w:highlight w:val="none"/>
        </w:rPr>
        <w:t>履行</w:t>
      </w:r>
      <w:r>
        <w:rPr>
          <w:rFonts w:ascii="宋体" w:hAnsi="宋体"/>
          <w:color w:val="auto"/>
          <w:szCs w:val="21"/>
          <w:highlight w:val="none"/>
        </w:rPr>
        <w:t>的具体时间。</w:t>
      </w:r>
    </w:p>
    <w:p>
      <w:pPr>
        <w:spacing w:line="360" w:lineRule="auto"/>
        <w:ind w:firstLine="437"/>
        <w:outlineLvl w:val="3"/>
        <w:rPr>
          <w:rFonts w:ascii="宋体" w:hAnsi="宋体"/>
          <w:b/>
          <w:bCs/>
          <w:color w:val="auto"/>
          <w:szCs w:val="21"/>
          <w:highlight w:val="none"/>
          <w:lang w:val="zh-CN"/>
        </w:rPr>
      </w:pPr>
      <w:bookmarkStart w:id="205" w:name="_Toc7502"/>
      <w:bookmarkStart w:id="206" w:name="_Toc487900364"/>
      <w:bookmarkStart w:id="207" w:name="_Ref467378121"/>
      <w:bookmarkStart w:id="208" w:name="_Toc279701254"/>
      <w:bookmarkStart w:id="209" w:name="_Toc259093683"/>
      <w:r>
        <w:rPr>
          <w:rFonts w:ascii="宋体" w:hAnsi="宋体"/>
          <w:b/>
          <w:bCs/>
          <w:color w:val="auto"/>
          <w:szCs w:val="21"/>
          <w:highlight w:val="none"/>
          <w:lang w:val="zh-CN"/>
        </w:rPr>
        <w:t>2.9 合同变更</w:t>
      </w:r>
      <w:bookmarkEnd w:id="205"/>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9</w:t>
      </w:r>
      <w:r>
        <w:rPr>
          <w:rFonts w:hint="eastAsia" w:ascii="宋体" w:hAnsi="宋体"/>
          <w:color w:val="auto"/>
          <w:szCs w:val="21"/>
          <w:highlight w:val="none"/>
        </w:rPr>
        <w:t>.1双方当事人协商一致，可以签订书面补充合同的形式变更合同，但不得违背采购文件确定的事项；</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9</w:t>
      </w:r>
      <w:r>
        <w:rPr>
          <w:rFonts w:hint="eastAsia" w:ascii="宋体" w:hAnsi="宋体"/>
          <w:color w:val="auto"/>
          <w:szCs w:val="21"/>
          <w:highlight w:val="none"/>
        </w:rPr>
        <w:t>.2合同继续履行将损害国家利益和社会公共利益的，双方当事人应当以书面形式变更合同。有过错的一方应当承担赔偿责任，双方当事人都有过错的，各自承担相应的责任。</w:t>
      </w:r>
      <w:bookmarkStart w:id="210" w:name="_Toc279701259"/>
      <w:bookmarkStart w:id="211" w:name="_Toc487900369"/>
      <w:bookmarkStart w:id="212" w:name="_Toc259093688"/>
    </w:p>
    <w:p>
      <w:pPr>
        <w:spacing w:line="360" w:lineRule="auto"/>
        <w:ind w:firstLine="437"/>
        <w:outlineLvl w:val="3"/>
        <w:rPr>
          <w:rFonts w:ascii="宋体" w:hAnsi="宋体"/>
          <w:b/>
          <w:bCs/>
          <w:color w:val="auto"/>
          <w:szCs w:val="21"/>
          <w:highlight w:val="none"/>
          <w:lang w:val="zh-CN"/>
        </w:rPr>
      </w:pPr>
      <w:bookmarkStart w:id="213" w:name="_Toc15237"/>
      <w:bookmarkStart w:id="214" w:name="_Toc10366"/>
      <w:bookmarkStart w:id="215" w:name="_Toc22955"/>
      <w:r>
        <w:rPr>
          <w:rFonts w:hint="eastAsia" w:ascii="宋体" w:hAnsi="宋体"/>
          <w:b/>
          <w:bCs/>
          <w:color w:val="auto"/>
          <w:szCs w:val="21"/>
          <w:highlight w:val="none"/>
          <w:lang w:val="zh-CN"/>
        </w:rPr>
        <w:t>2.1</w:t>
      </w:r>
      <w:r>
        <w:rPr>
          <w:rFonts w:ascii="宋体" w:hAnsi="宋体"/>
          <w:b/>
          <w:bCs/>
          <w:color w:val="auto"/>
          <w:szCs w:val="21"/>
          <w:highlight w:val="none"/>
          <w:lang w:val="zh-CN"/>
        </w:rPr>
        <w:t>0</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合同转让</w:t>
      </w:r>
      <w:bookmarkEnd w:id="210"/>
      <w:bookmarkEnd w:id="211"/>
      <w:bookmarkEnd w:id="212"/>
      <w:r>
        <w:rPr>
          <w:rFonts w:ascii="宋体" w:hAnsi="宋体"/>
          <w:b/>
          <w:bCs/>
          <w:color w:val="auto"/>
          <w:szCs w:val="21"/>
          <w:highlight w:val="none"/>
          <w:lang w:val="zh-CN"/>
        </w:rPr>
        <w:t>和分包</w:t>
      </w:r>
      <w:bookmarkEnd w:id="213"/>
      <w:bookmarkEnd w:id="214"/>
      <w:bookmarkEnd w:id="215"/>
    </w:p>
    <w:p>
      <w:pPr>
        <w:spacing w:line="360" w:lineRule="auto"/>
        <w:ind w:firstLine="435"/>
        <w:rPr>
          <w:rFonts w:ascii="宋体" w:hAnsi="宋体"/>
          <w:color w:val="auto"/>
          <w:szCs w:val="21"/>
          <w:highlight w:val="none"/>
        </w:rPr>
      </w:pPr>
      <w:r>
        <w:rPr>
          <w:rFonts w:ascii="宋体" w:hAnsi="宋体"/>
          <w:color w:val="auto"/>
          <w:szCs w:val="21"/>
          <w:highlight w:val="none"/>
        </w:rPr>
        <w:t>合同的权利义务依法不</w:t>
      </w:r>
      <w:r>
        <w:rPr>
          <w:rFonts w:hint="eastAsia" w:ascii="宋体" w:hAnsi="宋体"/>
          <w:color w:val="auto"/>
          <w:szCs w:val="21"/>
          <w:highlight w:val="none"/>
        </w:rPr>
        <w:t>得</w:t>
      </w:r>
      <w:r>
        <w:rPr>
          <w:rFonts w:ascii="宋体" w:hAnsi="宋体"/>
          <w:color w:val="auto"/>
          <w:szCs w:val="21"/>
          <w:highlight w:val="none"/>
        </w:rPr>
        <w:t>转让</w:t>
      </w:r>
      <w:r>
        <w:rPr>
          <w:rFonts w:hint="eastAsia" w:ascii="宋体" w:hAnsi="宋体"/>
          <w:color w:val="auto"/>
          <w:szCs w:val="21"/>
          <w:highlight w:val="none"/>
        </w:rPr>
        <w:t>，</w:t>
      </w:r>
      <w:r>
        <w:rPr>
          <w:rFonts w:ascii="宋体" w:hAnsi="宋体"/>
          <w:color w:val="auto"/>
          <w:szCs w:val="21"/>
          <w:highlight w:val="none"/>
        </w:rPr>
        <w:t>但经甲方</w:t>
      </w:r>
      <w:r>
        <w:rPr>
          <w:rFonts w:hint="eastAsia" w:ascii="宋体" w:hAnsi="宋体"/>
          <w:color w:val="auto"/>
          <w:szCs w:val="21"/>
          <w:highlight w:val="none"/>
        </w:rPr>
        <w:t>同意，乙方可以依法采取分包方式履行合同，即：依法可以</w:t>
      </w:r>
      <w:r>
        <w:rPr>
          <w:rFonts w:ascii="宋体" w:hAnsi="宋体"/>
          <w:color w:val="auto"/>
          <w:szCs w:val="21"/>
          <w:highlight w:val="none"/>
        </w:rPr>
        <w:t>将合同项下的部分非主体、非关键性工作分包给他人完成</w:t>
      </w:r>
      <w:r>
        <w:rPr>
          <w:rFonts w:hint="eastAsia" w:ascii="宋体" w:hAnsi="宋体"/>
          <w:color w:val="auto"/>
          <w:szCs w:val="21"/>
          <w:highlight w:val="none"/>
        </w:rPr>
        <w:t>，</w:t>
      </w:r>
      <w:r>
        <w:rPr>
          <w:rFonts w:ascii="宋体" w:hAnsi="宋体"/>
          <w:color w:val="auto"/>
          <w:szCs w:val="21"/>
          <w:highlight w:val="none"/>
        </w:rPr>
        <w:t>接受分包的人应当具备相应的资格条件，并不得再次分包</w:t>
      </w:r>
      <w:r>
        <w:rPr>
          <w:rFonts w:hint="eastAsia" w:ascii="宋体" w:hAnsi="宋体"/>
          <w:color w:val="auto"/>
          <w:szCs w:val="21"/>
          <w:highlight w:val="none"/>
        </w:rPr>
        <w:t>，</w:t>
      </w:r>
      <w:r>
        <w:rPr>
          <w:rFonts w:ascii="宋体" w:hAnsi="宋体"/>
          <w:color w:val="auto"/>
          <w:szCs w:val="21"/>
          <w:highlight w:val="none"/>
        </w:rPr>
        <w:t>且乙方应就分包项目向甲方负责</w:t>
      </w:r>
      <w:r>
        <w:rPr>
          <w:rFonts w:hint="eastAsia" w:ascii="宋体" w:hAnsi="宋体"/>
          <w:color w:val="auto"/>
          <w:szCs w:val="21"/>
          <w:highlight w:val="none"/>
        </w:rPr>
        <w:t>，</w:t>
      </w:r>
      <w:r>
        <w:rPr>
          <w:rFonts w:ascii="宋体" w:hAnsi="宋体"/>
          <w:color w:val="auto"/>
          <w:szCs w:val="21"/>
          <w:highlight w:val="none"/>
        </w:rPr>
        <w:t>并</w:t>
      </w:r>
      <w:r>
        <w:rPr>
          <w:rFonts w:hint="eastAsia" w:ascii="宋体" w:hAnsi="宋体"/>
          <w:color w:val="auto"/>
          <w:szCs w:val="21"/>
          <w:highlight w:val="none"/>
        </w:rPr>
        <w:t>与分包供应商就分包项目向甲方承担连带责任。</w:t>
      </w:r>
    </w:p>
    <w:p>
      <w:pPr>
        <w:spacing w:line="360" w:lineRule="auto"/>
        <w:ind w:firstLine="437"/>
        <w:outlineLvl w:val="3"/>
        <w:rPr>
          <w:rFonts w:ascii="宋体" w:hAnsi="宋体"/>
          <w:b/>
          <w:bCs/>
          <w:color w:val="auto"/>
          <w:szCs w:val="21"/>
          <w:highlight w:val="none"/>
          <w:lang w:val="zh-CN"/>
        </w:rPr>
      </w:pPr>
      <w:bookmarkStart w:id="216" w:name="_Toc14066"/>
      <w:bookmarkStart w:id="217" w:name="_Toc13566"/>
      <w:bookmarkStart w:id="218" w:name="_Toc16508"/>
      <w:r>
        <w:rPr>
          <w:rFonts w:hint="eastAsia" w:ascii="宋体" w:hAnsi="宋体"/>
          <w:b/>
          <w:bCs/>
          <w:color w:val="auto"/>
          <w:szCs w:val="21"/>
          <w:highlight w:val="none"/>
          <w:lang w:val="zh-CN"/>
        </w:rPr>
        <w:t>2.1</w:t>
      </w:r>
      <w:r>
        <w:rPr>
          <w:rFonts w:ascii="宋体" w:hAnsi="宋体"/>
          <w:b/>
          <w:bCs/>
          <w:color w:val="auto"/>
          <w:szCs w:val="21"/>
          <w:highlight w:val="none"/>
          <w:lang w:val="zh-CN"/>
        </w:rPr>
        <w:t>1 不可抗力</w:t>
      </w:r>
      <w:bookmarkEnd w:id="216"/>
      <w:bookmarkEnd w:id="217"/>
      <w:bookmarkEnd w:id="218"/>
    </w:p>
    <w:p>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1.1如果任何一方遭遇法律规定的不可抗力，致使合同履行受阻时，履行合同的期限应予延长，延长的期限应相当于不可抗力所影响的时间</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1</w:t>
      </w:r>
      <w:r>
        <w:rPr>
          <w:rFonts w:hint="eastAsia" w:ascii="宋体" w:hAnsi="宋体"/>
          <w:color w:val="auto"/>
          <w:szCs w:val="21"/>
          <w:highlight w:val="none"/>
        </w:rPr>
        <w:t>.2因不可抗力致使不能实现合同目的的，当事人可以解除合同；</w:t>
      </w:r>
    </w:p>
    <w:p>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1</w:t>
      </w:r>
      <w:r>
        <w:rPr>
          <w:rFonts w:hint="eastAsia" w:ascii="宋体" w:hAnsi="宋体"/>
          <w:color w:val="auto"/>
          <w:szCs w:val="21"/>
          <w:highlight w:val="none"/>
        </w:rPr>
        <w:t>.3因</w:t>
      </w:r>
      <w:r>
        <w:rPr>
          <w:rFonts w:ascii="宋体" w:hAnsi="宋体"/>
          <w:color w:val="auto"/>
          <w:szCs w:val="21"/>
          <w:highlight w:val="none"/>
        </w:rPr>
        <w:t>不可抗力致使合同有变更必要的，双方当事人应在</w:t>
      </w:r>
      <w:r>
        <w:rPr>
          <w:rFonts w:ascii="宋体" w:hAnsi="宋体"/>
          <w:b/>
          <w:i/>
          <w:color w:val="auto"/>
          <w:szCs w:val="21"/>
          <w:highlight w:val="none"/>
          <w:u w:val="single"/>
        </w:rPr>
        <w:t>合同专用条款</w:t>
      </w:r>
      <w:r>
        <w:rPr>
          <w:rFonts w:ascii="宋体" w:hAnsi="宋体"/>
          <w:color w:val="auto"/>
          <w:szCs w:val="21"/>
          <w:highlight w:val="none"/>
        </w:rPr>
        <w:t>约定时间内以书面形式变更合同</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1.</w:t>
      </w:r>
      <w:r>
        <w:rPr>
          <w:rFonts w:hint="eastAsia" w:ascii="宋体" w:hAnsi="宋体"/>
          <w:color w:val="auto"/>
          <w:szCs w:val="21"/>
          <w:highlight w:val="none"/>
        </w:rPr>
        <w:t>4</w:t>
      </w:r>
      <w:r>
        <w:rPr>
          <w:rFonts w:ascii="宋体" w:hAnsi="宋体"/>
          <w:color w:val="auto"/>
          <w:szCs w:val="21"/>
          <w:highlight w:val="none"/>
        </w:rPr>
        <w:t>受</w:t>
      </w:r>
      <w:r>
        <w:rPr>
          <w:rFonts w:hint="eastAsia" w:ascii="宋体" w:hAnsi="宋体"/>
          <w:color w:val="auto"/>
          <w:szCs w:val="21"/>
          <w:highlight w:val="none"/>
        </w:rPr>
        <w:t>不可抗力</w:t>
      </w:r>
      <w:r>
        <w:rPr>
          <w:rFonts w:ascii="宋体" w:hAnsi="宋体"/>
          <w:color w:val="auto"/>
          <w:szCs w:val="21"/>
          <w:highlight w:val="none"/>
        </w:rPr>
        <w:t>影响的一方在不可抗力发生后</w:t>
      </w:r>
      <w:r>
        <w:rPr>
          <w:rFonts w:hint="eastAsia" w:ascii="宋体" w:hAnsi="宋体"/>
          <w:color w:val="auto"/>
          <w:szCs w:val="21"/>
          <w:highlight w:val="none"/>
        </w:rPr>
        <w:t>，</w:t>
      </w:r>
      <w:r>
        <w:rPr>
          <w:rFonts w:ascii="宋体" w:hAnsi="宋体"/>
          <w:color w:val="auto"/>
          <w:szCs w:val="21"/>
          <w:highlight w:val="none"/>
        </w:rPr>
        <w:t>应在</w:t>
      </w:r>
      <w:r>
        <w:rPr>
          <w:rFonts w:ascii="宋体" w:hAnsi="宋体"/>
          <w:b/>
          <w:i/>
          <w:color w:val="auto"/>
          <w:szCs w:val="21"/>
          <w:highlight w:val="none"/>
          <w:u w:val="single"/>
        </w:rPr>
        <w:t>合同专用条款</w:t>
      </w:r>
      <w:r>
        <w:rPr>
          <w:rFonts w:ascii="宋体" w:hAnsi="宋体"/>
          <w:color w:val="auto"/>
          <w:szCs w:val="21"/>
          <w:highlight w:val="none"/>
        </w:rPr>
        <w:t>约定时间内以书面形式通知</w:t>
      </w:r>
      <w:r>
        <w:rPr>
          <w:rFonts w:hint="eastAsia" w:ascii="宋体" w:hAnsi="宋体"/>
          <w:color w:val="auto"/>
          <w:szCs w:val="21"/>
          <w:highlight w:val="none"/>
        </w:rPr>
        <w:t>对</w:t>
      </w:r>
      <w:r>
        <w:rPr>
          <w:rFonts w:ascii="宋体" w:hAnsi="宋体"/>
          <w:color w:val="auto"/>
          <w:szCs w:val="21"/>
          <w:highlight w:val="none"/>
        </w:rPr>
        <w:t>方当事人，并在</w:t>
      </w:r>
      <w:r>
        <w:rPr>
          <w:rFonts w:ascii="宋体" w:hAnsi="宋体"/>
          <w:b/>
          <w:i/>
          <w:color w:val="auto"/>
          <w:szCs w:val="21"/>
          <w:highlight w:val="none"/>
          <w:u w:val="single"/>
        </w:rPr>
        <w:t>合同专用条款</w:t>
      </w:r>
      <w:r>
        <w:rPr>
          <w:rFonts w:ascii="宋体" w:hAnsi="宋体"/>
          <w:color w:val="auto"/>
          <w:szCs w:val="21"/>
          <w:highlight w:val="none"/>
        </w:rPr>
        <w:t>约定时间内，将有关部门出具的证明文件送达</w:t>
      </w:r>
      <w:r>
        <w:rPr>
          <w:rFonts w:hint="eastAsia" w:ascii="宋体" w:hAnsi="宋体"/>
          <w:color w:val="auto"/>
          <w:szCs w:val="21"/>
          <w:highlight w:val="none"/>
        </w:rPr>
        <w:t>对方当事人</w:t>
      </w:r>
      <w:r>
        <w:rPr>
          <w:rFonts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219" w:name="_Toc6969"/>
      <w:bookmarkStart w:id="220" w:name="_Toc279701255"/>
      <w:bookmarkStart w:id="221" w:name="_Toc30676"/>
      <w:bookmarkStart w:id="222" w:name="_Toc487900365"/>
      <w:bookmarkStart w:id="223" w:name="_Toc689"/>
      <w:bookmarkStart w:id="224" w:name="_Toc259093684"/>
      <w:r>
        <w:rPr>
          <w:rFonts w:hint="eastAsia" w:ascii="宋体" w:hAnsi="宋体"/>
          <w:b/>
          <w:bCs/>
          <w:color w:val="auto"/>
          <w:szCs w:val="21"/>
          <w:highlight w:val="none"/>
          <w:lang w:val="zh-CN"/>
        </w:rPr>
        <w:t>2.</w:t>
      </w:r>
      <w:r>
        <w:rPr>
          <w:rFonts w:ascii="宋体" w:hAnsi="宋体"/>
          <w:b/>
          <w:bCs/>
          <w:color w:val="auto"/>
          <w:szCs w:val="21"/>
          <w:highlight w:val="none"/>
          <w:lang w:val="zh-CN"/>
        </w:rPr>
        <w:t>12</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税费</w:t>
      </w:r>
      <w:bookmarkEnd w:id="219"/>
      <w:bookmarkEnd w:id="220"/>
      <w:bookmarkEnd w:id="221"/>
      <w:bookmarkEnd w:id="222"/>
      <w:bookmarkEnd w:id="223"/>
      <w:bookmarkEnd w:id="224"/>
    </w:p>
    <w:p>
      <w:pPr>
        <w:spacing w:line="360" w:lineRule="auto"/>
        <w:ind w:firstLine="435"/>
        <w:rPr>
          <w:rFonts w:ascii="宋体" w:hAnsi="宋体"/>
          <w:color w:val="auto"/>
          <w:szCs w:val="21"/>
          <w:highlight w:val="none"/>
        </w:rPr>
      </w:pPr>
      <w:r>
        <w:rPr>
          <w:rFonts w:ascii="宋体" w:hAnsi="宋体"/>
          <w:color w:val="auto"/>
          <w:szCs w:val="21"/>
          <w:highlight w:val="none"/>
        </w:rPr>
        <w:t>与合同有关的一切税费</w:t>
      </w:r>
      <w:r>
        <w:rPr>
          <w:rFonts w:hint="eastAsia" w:ascii="宋体" w:hAnsi="宋体"/>
          <w:color w:val="auto"/>
          <w:szCs w:val="21"/>
          <w:highlight w:val="none"/>
        </w:rPr>
        <w:t>，</w:t>
      </w:r>
      <w:r>
        <w:rPr>
          <w:rFonts w:ascii="宋体" w:hAnsi="宋体"/>
          <w:color w:val="auto"/>
          <w:szCs w:val="21"/>
          <w:highlight w:val="none"/>
        </w:rPr>
        <w:t>均按照中华人民共和国法律的相关规定</w:t>
      </w:r>
      <w:r>
        <w:rPr>
          <w:rFonts w:hint="eastAsia" w:ascii="宋体" w:hAnsi="宋体"/>
          <w:color w:val="auto"/>
          <w:szCs w:val="21"/>
          <w:highlight w:val="none"/>
        </w:rPr>
        <w:t>缴纳</w:t>
      </w:r>
      <w:r>
        <w:rPr>
          <w:rFonts w:ascii="宋体" w:hAnsi="宋体"/>
          <w:color w:val="auto"/>
          <w:szCs w:val="21"/>
          <w:highlight w:val="none"/>
        </w:rPr>
        <w:t>。</w:t>
      </w:r>
    </w:p>
    <w:p>
      <w:pPr>
        <w:spacing w:line="360" w:lineRule="auto"/>
        <w:ind w:firstLine="437"/>
        <w:outlineLvl w:val="3"/>
        <w:rPr>
          <w:rFonts w:ascii="宋体" w:hAnsi="宋体"/>
          <w:b/>
          <w:bCs/>
          <w:color w:val="auto"/>
          <w:szCs w:val="21"/>
          <w:highlight w:val="none"/>
          <w:lang w:val="zh-CN"/>
        </w:rPr>
      </w:pPr>
      <w:bookmarkStart w:id="225" w:name="_Toc8298"/>
      <w:bookmarkStart w:id="226" w:name="_Toc7102"/>
      <w:bookmarkStart w:id="227" w:name="_Toc16959"/>
      <w:bookmarkStart w:id="228" w:name="_Toc487900368"/>
      <w:bookmarkStart w:id="229" w:name="_Toc259093687"/>
      <w:bookmarkStart w:id="230" w:name="_Toc279701258"/>
      <w:r>
        <w:rPr>
          <w:rFonts w:hint="eastAsia" w:ascii="宋体" w:hAnsi="宋体"/>
          <w:b/>
          <w:bCs/>
          <w:color w:val="auto"/>
          <w:szCs w:val="21"/>
          <w:highlight w:val="none"/>
          <w:lang w:val="zh-CN"/>
        </w:rPr>
        <w:t>2.</w:t>
      </w:r>
      <w:r>
        <w:rPr>
          <w:rFonts w:ascii="宋体" w:hAnsi="宋体"/>
          <w:b/>
          <w:bCs/>
          <w:color w:val="auto"/>
          <w:szCs w:val="21"/>
          <w:highlight w:val="none"/>
          <w:lang w:val="zh-CN"/>
        </w:rPr>
        <w:t>13</w:t>
      </w:r>
      <w:r>
        <w:rPr>
          <w:rFonts w:hint="eastAsia" w:ascii="宋体" w:hAnsi="宋体"/>
          <w:b/>
          <w:bCs/>
          <w:color w:val="auto"/>
          <w:szCs w:val="21"/>
          <w:highlight w:val="none"/>
          <w:lang w:val="zh-CN"/>
        </w:rPr>
        <w:t xml:space="preserve"> </w:t>
      </w:r>
      <w:r>
        <w:rPr>
          <w:rFonts w:ascii="宋体" w:hAnsi="宋体"/>
          <w:b/>
          <w:bCs/>
          <w:color w:val="auto"/>
          <w:szCs w:val="21"/>
          <w:highlight w:val="none"/>
          <w:lang w:val="zh-CN"/>
        </w:rPr>
        <w:t>乙方破产</w:t>
      </w:r>
      <w:bookmarkEnd w:id="225"/>
      <w:bookmarkEnd w:id="226"/>
      <w:bookmarkEnd w:id="227"/>
      <w:bookmarkEnd w:id="228"/>
      <w:bookmarkEnd w:id="229"/>
      <w:bookmarkEnd w:id="230"/>
    </w:p>
    <w:p>
      <w:pPr>
        <w:spacing w:line="360" w:lineRule="auto"/>
        <w:ind w:firstLine="435"/>
        <w:rPr>
          <w:rFonts w:ascii="宋体" w:hAnsi="宋体"/>
          <w:color w:val="auto"/>
          <w:szCs w:val="21"/>
          <w:highlight w:val="none"/>
        </w:rPr>
      </w:pPr>
      <w:r>
        <w:rPr>
          <w:rFonts w:ascii="宋体" w:hAnsi="宋体"/>
          <w:color w:val="auto"/>
          <w:szCs w:val="21"/>
          <w:highlight w:val="none"/>
        </w:rPr>
        <w:t>如果乙方破产导致合同无法履行时，甲方可以书面形式通知乙方终止合同且不给予乙方任何补偿和赔偿</w:t>
      </w:r>
      <w:r>
        <w:rPr>
          <w:rFonts w:hint="eastAsia" w:ascii="宋体" w:hAnsi="宋体"/>
          <w:color w:val="auto"/>
          <w:szCs w:val="21"/>
          <w:highlight w:val="none"/>
        </w:rPr>
        <w:t>，但合同的</w:t>
      </w:r>
      <w:r>
        <w:rPr>
          <w:rFonts w:ascii="宋体" w:hAnsi="宋体"/>
          <w:color w:val="auto"/>
          <w:szCs w:val="21"/>
          <w:highlight w:val="none"/>
        </w:rPr>
        <w:t>终止不损害或不影响甲方已经采取或将要采取的任何要求乙方支付违约金</w:t>
      </w:r>
      <w:r>
        <w:rPr>
          <w:rFonts w:hint="eastAsia" w:ascii="宋体" w:hAnsi="宋体"/>
          <w:color w:val="auto"/>
          <w:szCs w:val="21"/>
          <w:highlight w:val="none"/>
        </w:rPr>
        <w:t>、</w:t>
      </w:r>
      <w:r>
        <w:rPr>
          <w:rFonts w:ascii="宋体" w:hAnsi="宋体"/>
          <w:color w:val="auto"/>
          <w:szCs w:val="21"/>
          <w:highlight w:val="none"/>
        </w:rPr>
        <w:t>赔偿损失等的行动或补救措施的权利</w:t>
      </w:r>
      <w:r>
        <w:rPr>
          <w:rFonts w:hint="eastAsia" w:ascii="宋体" w:hAnsi="宋体"/>
          <w:color w:val="auto"/>
          <w:szCs w:val="21"/>
          <w:highlight w:val="none"/>
        </w:rPr>
        <w:t>。</w:t>
      </w:r>
    </w:p>
    <w:p>
      <w:pPr>
        <w:spacing w:line="360" w:lineRule="auto"/>
        <w:ind w:firstLine="437"/>
        <w:outlineLvl w:val="3"/>
        <w:rPr>
          <w:rFonts w:ascii="宋体" w:hAnsi="宋体"/>
          <w:b/>
          <w:color w:val="auto"/>
          <w:szCs w:val="21"/>
          <w:highlight w:val="none"/>
        </w:rPr>
      </w:pPr>
      <w:bookmarkStart w:id="231" w:name="_Toc15387"/>
      <w:bookmarkStart w:id="232" w:name="_Toc6134"/>
      <w:bookmarkStart w:id="233" w:name="_Toc29333"/>
      <w:r>
        <w:rPr>
          <w:rFonts w:hint="eastAsia" w:ascii="宋体" w:hAnsi="宋体"/>
          <w:b/>
          <w:bCs/>
          <w:color w:val="auto"/>
          <w:szCs w:val="21"/>
          <w:highlight w:val="none"/>
          <w:lang w:val="zh-CN"/>
        </w:rPr>
        <w:t>2.1</w:t>
      </w:r>
      <w:r>
        <w:rPr>
          <w:rFonts w:ascii="宋体" w:hAnsi="宋体"/>
          <w:b/>
          <w:bCs/>
          <w:color w:val="auto"/>
          <w:szCs w:val="21"/>
          <w:highlight w:val="none"/>
          <w:lang w:val="zh-CN"/>
        </w:rPr>
        <w:t>4</w:t>
      </w:r>
      <w:r>
        <w:rPr>
          <w:rFonts w:hint="eastAsia" w:ascii="宋体" w:hAnsi="宋体"/>
          <w:b/>
          <w:bCs/>
          <w:color w:val="auto"/>
          <w:szCs w:val="21"/>
          <w:highlight w:val="none"/>
          <w:lang w:val="zh-CN"/>
        </w:rPr>
        <w:t xml:space="preserve"> 合同中止、终止</w:t>
      </w:r>
      <w:bookmarkEnd w:id="231"/>
      <w:bookmarkEnd w:id="232"/>
      <w:bookmarkEnd w:id="233"/>
    </w:p>
    <w:p>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4</w:t>
      </w:r>
      <w:r>
        <w:rPr>
          <w:rFonts w:hint="eastAsia" w:ascii="宋体" w:hAnsi="宋体"/>
          <w:color w:val="auto"/>
          <w:szCs w:val="21"/>
          <w:highlight w:val="none"/>
        </w:rPr>
        <w:t>.1双方当事人不得擅自中止或者终止合同；</w:t>
      </w:r>
    </w:p>
    <w:p>
      <w:pPr>
        <w:spacing w:line="360" w:lineRule="auto"/>
        <w:ind w:firstLine="435"/>
        <w:rPr>
          <w:rFonts w:ascii="宋体" w:hAnsi="宋体"/>
          <w:color w:val="auto"/>
          <w:szCs w:val="21"/>
          <w:highlight w:val="none"/>
        </w:rPr>
      </w:pPr>
      <w:r>
        <w:rPr>
          <w:rFonts w:hint="eastAsia" w:ascii="宋体" w:hAnsi="宋体"/>
          <w:color w:val="auto"/>
          <w:szCs w:val="21"/>
          <w:highlight w:val="none"/>
        </w:rPr>
        <w:t>2.1</w:t>
      </w:r>
      <w:r>
        <w:rPr>
          <w:rFonts w:ascii="宋体" w:hAnsi="宋体"/>
          <w:color w:val="auto"/>
          <w:szCs w:val="21"/>
          <w:highlight w:val="none"/>
        </w:rPr>
        <w:t>4</w:t>
      </w:r>
      <w:r>
        <w:rPr>
          <w:rFonts w:hint="eastAsia" w:ascii="宋体" w:hAnsi="宋体"/>
          <w:color w:val="auto"/>
          <w:szCs w:val="21"/>
          <w:highlight w:val="none"/>
        </w:rPr>
        <w:t>.2合同继续履行将损害国家利益和社会公共利益的，双方当事人应当中止或者终止合同。有过错的一方应当承担赔偿责任，双方当事人都有过错的，各自承担相应的责任。</w:t>
      </w:r>
    </w:p>
    <w:p>
      <w:pPr>
        <w:spacing w:line="360" w:lineRule="auto"/>
        <w:ind w:firstLine="437"/>
        <w:outlineLvl w:val="3"/>
        <w:rPr>
          <w:rFonts w:ascii="宋体" w:hAnsi="宋体"/>
          <w:b/>
          <w:bCs/>
          <w:color w:val="auto"/>
          <w:szCs w:val="21"/>
          <w:highlight w:val="none"/>
          <w:lang w:val="zh-CN"/>
        </w:rPr>
      </w:pPr>
      <w:bookmarkStart w:id="234" w:name="_Toc6596"/>
      <w:bookmarkStart w:id="235" w:name="_Toc1125"/>
      <w:bookmarkStart w:id="236" w:name="_Toc14563"/>
      <w:r>
        <w:rPr>
          <w:rFonts w:hint="eastAsia" w:ascii="宋体" w:hAnsi="宋体"/>
          <w:b/>
          <w:bCs/>
          <w:color w:val="auto"/>
          <w:szCs w:val="21"/>
          <w:highlight w:val="none"/>
          <w:lang w:val="zh-CN"/>
        </w:rPr>
        <w:t>2.1</w:t>
      </w:r>
      <w:r>
        <w:rPr>
          <w:rFonts w:ascii="宋体" w:hAnsi="宋体"/>
          <w:b/>
          <w:bCs/>
          <w:color w:val="auto"/>
          <w:szCs w:val="21"/>
          <w:highlight w:val="none"/>
          <w:lang w:val="zh-CN"/>
        </w:rPr>
        <w:t>5</w:t>
      </w:r>
      <w:r>
        <w:rPr>
          <w:rFonts w:hint="eastAsia" w:ascii="宋体" w:hAnsi="宋体"/>
          <w:b/>
          <w:bCs/>
          <w:color w:val="auto"/>
          <w:szCs w:val="21"/>
          <w:highlight w:val="none"/>
          <w:lang w:val="zh-CN"/>
        </w:rPr>
        <w:t xml:space="preserve"> 检验和验收</w:t>
      </w:r>
      <w:bookmarkEnd w:id="234"/>
      <w:bookmarkEnd w:id="235"/>
      <w:bookmarkEnd w:id="236"/>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w:t>
      </w:r>
      <w:r>
        <w:rPr>
          <w:rFonts w:hint="eastAsia" w:ascii="宋体" w:hAnsi="宋体"/>
          <w:color w:val="auto"/>
          <w:szCs w:val="21"/>
          <w:highlight w:val="none"/>
        </w:rPr>
        <w:t>5</w:t>
      </w:r>
      <w:r>
        <w:rPr>
          <w:rFonts w:ascii="宋体" w:hAnsi="宋体"/>
          <w:color w:val="auto"/>
          <w:szCs w:val="21"/>
          <w:highlight w:val="none"/>
        </w:rPr>
        <w:t>.</w:t>
      </w:r>
      <w:r>
        <w:rPr>
          <w:rFonts w:hint="eastAsia" w:ascii="宋体" w:hAnsi="宋体"/>
          <w:color w:val="auto"/>
          <w:szCs w:val="21"/>
          <w:highlight w:val="none"/>
        </w:rPr>
        <w:t>1乙方按照</w:t>
      </w:r>
      <w:r>
        <w:rPr>
          <w:rFonts w:ascii="宋体" w:hAnsi="宋体"/>
          <w:b/>
          <w:i/>
          <w:color w:val="auto"/>
          <w:szCs w:val="21"/>
          <w:highlight w:val="none"/>
          <w:u w:val="single"/>
        </w:rPr>
        <w:t>合同专用条款</w:t>
      </w:r>
      <w:r>
        <w:rPr>
          <w:rFonts w:ascii="宋体" w:hAnsi="宋体"/>
          <w:color w:val="auto"/>
          <w:szCs w:val="21"/>
          <w:highlight w:val="none"/>
        </w:rPr>
        <w:t>的约定</w:t>
      </w:r>
      <w:r>
        <w:rPr>
          <w:rFonts w:hint="eastAsia" w:ascii="宋体" w:hAnsi="宋体"/>
          <w:color w:val="auto"/>
          <w:szCs w:val="21"/>
          <w:highlight w:val="none"/>
        </w:rPr>
        <w:t>，</w:t>
      </w:r>
      <w:r>
        <w:rPr>
          <w:rFonts w:ascii="宋体" w:hAnsi="宋体"/>
          <w:color w:val="auto"/>
          <w:szCs w:val="21"/>
          <w:highlight w:val="none"/>
        </w:rPr>
        <w:t>定期提交服务报告</w:t>
      </w:r>
      <w:r>
        <w:rPr>
          <w:rFonts w:hint="eastAsia" w:ascii="宋体" w:hAnsi="宋体"/>
          <w:color w:val="auto"/>
          <w:szCs w:val="21"/>
          <w:highlight w:val="none"/>
        </w:rPr>
        <w:t>，甲方按照</w:t>
      </w:r>
      <w:r>
        <w:rPr>
          <w:rFonts w:ascii="宋体" w:hAnsi="宋体"/>
          <w:b/>
          <w:i/>
          <w:color w:val="auto"/>
          <w:szCs w:val="21"/>
          <w:highlight w:val="none"/>
          <w:u w:val="single"/>
        </w:rPr>
        <w:t>合同专用条款</w:t>
      </w:r>
      <w:r>
        <w:rPr>
          <w:rFonts w:ascii="宋体" w:hAnsi="宋体"/>
          <w:color w:val="auto"/>
          <w:szCs w:val="21"/>
          <w:highlight w:val="none"/>
        </w:rPr>
        <w:t>的约定进行定期验收</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2.15.2合同期满或者履行完毕后，甲方有权组织（包括依法邀请国家认可的质量检测机构参加）对乙方履约的验收，即：按照合同约定的标准，组织对乙方履约情况的验收，并出具验收书；向社会公众提供的公共服务项目，验收时应当邀请服务对象参与并出具意见，验收结果应当向社会公告；</w:t>
      </w:r>
    </w:p>
    <w:p>
      <w:pPr>
        <w:spacing w:line="360" w:lineRule="auto"/>
        <w:ind w:firstLine="435"/>
        <w:rPr>
          <w:rFonts w:ascii="宋体" w:hAnsi="宋体"/>
          <w:color w:val="auto"/>
          <w:szCs w:val="21"/>
          <w:highlight w:val="none"/>
        </w:rPr>
      </w:pPr>
      <w:r>
        <w:rPr>
          <w:rFonts w:hint="eastAsia" w:ascii="宋体" w:hAnsi="宋体"/>
          <w:color w:val="auto"/>
          <w:szCs w:val="21"/>
          <w:highlight w:val="none"/>
        </w:rPr>
        <w:t>2.15.3检验和验收标准、程序等具体内容以及前述验收书的效力详见</w:t>
      </w:r>
      <w:r>
        <w:rPr>
          <w:rFonts w:ascii="宋体" w:hAnsi="宋体"/>
          <w:b/>
          <w:i/>
          <w:color w:val="auto"/>
          <w:szCs w:val="21"/>
          <w:highlight w:val="none"/>
          <w:u w:val="single"/>
        </w:rPr>
        <w:t>合同专用条款</w:t>
      </w:r>
      <w:r>
        <w:rPr>
          <w:rFonts w:hint="eastAsia" w:ascii="宋体" w:hAnsi="宋体"/>
          <w:i/>
          <w:color w:val="auto"/>
          <w:szCs w:val="21"/>
          <w:highlight w:val="none"/>
        </w:rPr>
        <w:t>。</w:t>
      </w:r>
    </w:p>
    <w:bookmarkEnd w:id="206"/>
    <w:bookmarkEnd w:id="207"/>
    <w:bookmarkEnd w:id="208"/>
    <w:bookmarkEnd w:id="209"/>
    <w:p>
      <w:pPr>
        <w:spacing w:line="360" w:lineRule="auto"/>
        <w:ind w:firstLine="437"/>
        <w:outlineLvl w:val="3"/>
        <w:rPr>
          <w:rFonts w:ascii="宋体" w:hAnsi="宋体"/>
          <w:b/>
          <w:bCs/>
          <w:color w:val="auto"/>
          <w:szCs w:val="21"/>
          <w:highlight w:val="none"/>
        </w:rPr>
      </w:pPr>
      <w:bookmarkStart w:id="237" w:name="_Toc12773"/>
      <w:bookmarkStart w:id="238" w:name="_Toc487900373"/>
      <w:bookmarkStart w:id="239" w:name="_Toc259093692"/>
      <w:bookmarkStart w:id="240" w:name="_Toc10330"/>
      <w:bookmarkStart w:id="241" w:name="_Toc279701263"/>
      <w:bookmarkStart w:id="242" w:name="_Toc18567"/>
      <w:r>
        <w:rPr>
          <w:rFonts w:hint="eastAsia" w:ascii="宋体" w:hAnsi="宋体"/>
          <w:b/>
          <w:bCs/>
          <w:color w:val="auto"/>
          <w:szCs w:val="21"/>
          <w:highlight w:val="none"/>
        </w:rPr>
        <w:t>2.</w:t>
      </w:r>
      <w:r>
        <w:rPr>
          <w:rFonts w:ascii="宋体" w:hAnsi="宋体"/>
          <w:b/>
          <w:bCs/>
          <w:color w:val="auto"/>
          <w:szCs w:val="21"/>
          <w:highlight w:val="none"/>
        </w:rPr>
        <w:t>16</w:t>
      </w:r>
      <w:r>
        <w:rPr>
          <w:rFonts w:hint="eastAsia" w:ascii="宋体" w:hAnsi="宋体"/>
          <w:b/>
          <w:bCs/>
          <w:color w:val="auto"/>
          <w:szCs w:val="21"/>
          <w:highlight w:val="none"/>
        </w:rPr>
        <w:t xml:space="preserve"> </w:t>
      </w:r>
      <w:r>
        <w:rPr>
          <w:rFonts w:hint="eastAsia" w:ascii="宋体" w:hAnsi="宋体"/>
          <w:b/>
          <w:bCs/>
          <w:color w:val="auto"/>
          <w:szCs w:val="21"/>
          <w:highlight w:val="none"/>
          <w:lang w:val="zh-CN"/>
        </w:rPr>
        <w:t>合同使用的文字和</w:t>
      </w:r>
      <w:r>
        <w:rPr>
          <w:rFonts w:ascii="宋体" w:hAnsi="宋体"/>
          <w:b/>
          <w:bCs/>
          <w:color w:val="auto"/>
          <w:szCs w:val="21"/>
          <w:highlight w:val="none"/>
          <w:lang w:val="zh-CN"/>
        </w:rPr>
        <w:t>适用的法律</w:t>
      </w:r>
      <w:bookmarkEnd w:id="237"/>
      <w:bookmarkEnd w:id="238"/>
      <w:bookmarkEnd w:id="239"/>
      <w:bookmarkEnd w:id="240"/>
      <w:bookmarkEnd w:id="241"/>
      <w:bookmarkEnd w:id="242"/>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16.1合同使用汉语</w:t>
      </w:r>
      <w:r>
        <w:rPr>
          <w:rFonts w:hint="eastAsia" w:ascii="宋体" w:hAnsi="宋体"/>
          <w:color w:val="auto"/>
          <w:szCs w:val="21"/>
          <w:highlight w:val="none"/>
        </w:rPr>
        <w:t>进行</w:t>
      </w:r>
      <w:r>
        <w:rPr>
          <w:rFonts w:ascii="宋体" w:hAnsi="宋体"/>
          <w:color w:val="auto"/>
          <w:szCs w:val="21"/>
          <w:highlight w:val="none"/>
        </w:rPr>
        <w:t>书</w:t>
      </w:r>
      <w:r>
        <w:rPr>
          <w:rFonts w:hint="eastAsia" w:ascii="宋体" w:hAnsi="宋体"/>
          <w:color w:val="auto"/>
          <w:szCs w:val="21"/>
          <w:highlight w:val="none"/>
        </w:rPr>
        <w:t>写、</w:t>
      </w:r>
      <w:r>
        <w:rPr>
          <w:rFonts w:ascii="宋体" w:hAnsi="宋体"/>
          <w:color w:val="auto"/>
          <w:szCs w:val="21"/>
          <w:highlight w:val="none"/>
        </w:rPr>
        <w:t>变更和解释</w:t>
      </w:r>
      <w:r>
        <w:rPr>
          <w:rFonts w:hint="eastAsia" w:ascii="宋体" w:hAnsi="宋体"/>
          <w:color w:val="auto"/>
          <w:szCs w:val="21"/>
          <w:highlight w:val="none"/>
        </w:rPr>
        <w:t>；</w:t>
      </w:r>
    </w:p>
    <w:p>
      <w:pPr>
        <w:spacing w:line="360" w:lineRule="auto"/>
        <w:ind w:firstLine="435"/>
        <w:rPr>
          <w:rFonts w:ascii="宋体" w:hAnsi="宋体"/>
          <w:color w:val="auto"/>
          <w:szCs w:val="21"/>
          <w:highlight w:val="none"/>
        </w:rPr>
      </w:pPr>
      <w:r>
        <w:rPr>
          <w:rFonts w:hint="eastAsia" w:ascii="宋体" w:hAnsi="宋体"/>
          <w:color w:val="auto"/>
          <w:szCs w:val="21"/>
          <w:highlight w:val="none"/>
        </w:rPr>
        <w:t>2.</w:t>
      </w:r>
      <w:r>
        <w:rPr>
          <w:rFonts w:ascii="宋体" w:hAnsi="宋体"/>
          <w:color w:val="auto"/>
          <w:szCs w:val="21"/>
          <w:highlight w:val="none"/>
        </w:rPr>
        <w:t>16</w:t>
      </w:r>
      <w:r>
        <w:rPr>
          <w:rFonts w:hint="eastAsia" w:ascii="宋体" w:hAnsi="宋体"/>
          <w:color w:val="auto"/>
          <w:szCs w:val="21"/>
          <w:highlight w:val="none"/>
        </w:rPr>
        <w:t>.2合同适用</w:t>
      </w:r>
      <w:r>
        <w:rPr>
          <w:rFonts w:ascii="宋体" w:hAnsi="宋体"/>
          <w:color w:val="auto"/>
          <w:szCs w:val="21"/>
          <w:highlight w:val="none"/>
        </w:rPr>
        <w:t>中华人民共和国法律。</w:t>
      </w:r>
    </w:p>
    <w:p>
      <w:pPr>
        <w:spacing w:line="360" w:lineRule="auto"/>
        <w:ind w:firstLine="437"/>
        <w:outlineLvl w:val="3"/>
        <w:rPr>
          <w:rFonts w:ascii="宋体" w:hAnsi="宋体"/>
          <w:b/>
          <w:color w:val="auto"/>
          <w:szCs w:val="21"/>
          <w:highlight w:val="none"/>
        </w:rPr>
      </w:pPr>
      <w:bookmarkStart w:id="243" w:name="_Toc6885"/>
      <w:bookmarkStart w:id="244" w:name="_Toc14001"/>
      <w:bookmarkStart w:id="245" w:name="_Toc19890"/>
      <w:r>
        <w:rPr>
          <w:rFonts w:hint="eastAsia" w:ascii="宋体" w:hAnsi="宋体"/>
          <w:b/>
          <w:bCs/>
          <w:color w:val="auto"/>
          <w:szCs w:val="21"/>
          <w:highlight w:val="none"/>
          <w:lang w:val="zh-CN"/>
        </w:rPr>
        <w:t>2.</w:t>
      </w:r>
      <w:r>
        <w:rPr>
          <w:rFonts w:ascii="宋体" w:hAnsi="宋体"/>
          <w:b/>
          <w:bCs/>
          <w:color w:val="auto"/>
          <w:szCs w:val="21"/>
          <w:highlight w:val="none"/>
          <w:lang w:val="zh-CN"/>
        </w:rPr>
        <w:t>1</w:t>
      </w:r>
      <w:r>
        <w:rPr>
          <w:rFonts w:hint="eastAsia" w:ascii="宋体" w:hAnsi="宋体"/>
          <w:b/>
          <w:bCs/>
          <w:color w:val="auto"/>
          <w:szCs w:val="21"/>
          <w:highlight w:val="none"/>
        </w:rPr>
        <w:t>7</w:t>
      </w:r>
      <w:r>
        <w:rPr>
          <w:rFonts w:hint="eastAsia" w:ascii="宋体" w:hAnsi="宋体"/>
          <w:b/>
          <w:bCs/>
          <w:color w:val="auto"/>
          <w:szCs w:val="21"/>
          <w:highlight w:val="none"/>
          <w:lang w:val="zh-CN"/>
        </w:rPr>
        <w:t xml:space="preserve"> 合同份数</w:t>
      </w:r>
      <w:bookmarkEnd w:id="243"/>
      <w:bookmarkEnd w:id="244"/>
      <w:bookmarkEnd w:id="245"/>
    </w:p>
    <w:p>
      <w:pPr>
        <w:spacing w:line="360" w:lineRule="auto"/>
        <w:ind w:firstLine="435"/>
        <w:rPr>
          <w:rFonts w:ascii="宋体" w:hAnsi="宋体"/>
          <w:color w:val="auto"/>
          <w:szCs w:val="21"/>
          <w:highlight w:val="none"/>
        </w:rPr>
      </w:pPr>
      <w:r>
        <w:rPr>
          <w:rFonts w:ascii="宋体" w:hAnsi="宋体"/>
          <w:color w:val="auto"/>
          <w:szCs w:val="21"/>
          <w:highlight w:val="none"/>
        </w:rPr>
        <w:t>合同份数按</w:t>
      </w:r>
      <w:r>
        <w:rPr>
          <w:rFonts w:ascii="宋体" w:hAnsi="宋体"/>
          <w:b/>
          <w:i/>
          <w:color w:val="auto"/>
          <w:szCs w:val="21"/>
          <w:highlight w:val="none"/>
          <w:u w:val="single"/>
        </w:rPr>
        <w:t>合同专用条款</w:t>
      </w:r>
      <w:r>
        <w:rPr>
          <w:rFonts w:ascii="宋体" w:hAnsi="宋体"/>
          <w:color w:val="auto"/>
          <w:szCs w:val="21"/>
          <w:highlight w:val="none"/>
        </w:rPr>
        <w:t>规定</w:t>
      </w:r>
      <w:r>
        <w:rPr>
          <w:rFonts w:hint="eastAsia" w:ascii="宋体" w:hAnsi="宋体"/>
          <w:color w:val="auto"/>
          <w:szCs w:val="21"/>
          <w:highlight w:val="none"/>
        </w:rPr>
        <w:t>，</w:t>
      </w:r>
      <w:r>
        <w:rPr>
          <w:rFonts w:ascii="宋体" w:hAnsi="宋体"/>
          <w:color w:val="auto"/>
          <w:szCs w:val="21"/>
          <w:highlight w:val="none"/>
        </w:rPr>
        <w:t>每份均具有同等法律效力</w:t>
      </w:r>
      <w:r>
        <w:rPr>
          <w:rFonts w:hint="eastAsia" w:ascii="宋体" w:hAnsi="宋体"/>
          <w:color w:val="auto"/>
          <w:szCs w:val="21"/>
          <w:highlight w:val="none"/>
        </w:rPr>
        <w:t>。</w:t>
      </w:r>
    </w:p>
    <w:p>
      <w:pPr>
        <w:spacing w:line="360" w:lineRule="auto"/>
        <w:jc w:val="center"/>
        <w:outlineLvl w:val="2"/>
        <w:rPr>
          <w:rFonts w:hint="eastAsia" w:ascii="宋体" w:hAnsi="宋体"/>
          <w:b/>
          <w:color w:val="auto"/>
          <w:szCs w:val="21"/>
          <w:highlight w:val="none"/>
        </w:rPr>
      </w:pPr>
      <w:bookmarkStart w:id="246" w:name="_Toc331685784"/>
    </w:p>
    <w:p>
      <w:pPr>
        <w:spacing w:line="360" w:lineRule="auto"/>
        <w:jc w:val="center"/>
        <w:outlineLvl w:val="2"/>
        <w:rPr>
          <w:rFonts w:ascii="宋体" w:hAnsi="宋体"/>
          <w:b/>
          <w:color w:val="auto"/>
          <w:szCs w:val="21"/>
          <w:highlight w:val="none"/>
        </w:rPr>
      </w:pPr>
      <w:r>
        <w:rPr>
          <w:rFonts w:hint="eastAsia" w:ascii="宋体" w:hAnsi="宋体"/>
          <w:b/>
          <w:color w:val="auto"/>
          <w:szCs w:val="21"/>
          <w:highlight w:val="none"/>
        </w:rPr>
        <w:t>第三部分</w:t>
      </w:r>
      <w:r>
        <w:rPr>
          <w:rFonts w:ascii="宋体" w:hAnsi="宋体"/>
          <w:b/>
          <w:color w:val="auto"/>
          <w:szCs w:val="21"/>
          <w:highlight w:val="none"/>
        </w:rPr>
        <w:t xml:space="preserve"> </w:t>
      </w:r>
      <w:r>
        <w:rPr>
          <w:rFonts w:hint="eastAsia" w:ascii="宋体" w:hAnsi="宋体"/>
          <w:b/>
          <w:color w:val="auto"/>
          <w:szCs w:val="21"/>
          <w:highlight w:val="none"/>
        </w:rPr>
        <w:t>合同专用条款</w:t>
      </w:r>
    </w:p>
    <w:p>
      <w:pPr>
        <w:spacing w:line="360" w:lineRule="auto"/>
        <w:ind w:firstLine="435"/>
        <w:rPr>
          <w:rFonts w:ascii="宋体" w:hAnsi="宋体"/>
          <w:color w:val="auto"/>
          <w:szCs w:val="21"/>
          <w:highlight w:val="none"/>
        </w:rPr>
      </w:pPr>
      <w:r>
        <w:rPr>
          <w:rFonts w:hint="eastAsia" w:ascii="宋体" w:hAnsi="宋体"/>
          <w:color w:val="auto"/>
          <w:szCs w:val="21"/>
          <w:highlight w:val="none"/>
        </w:rPr>
        <w:t>本部分</w:t>
      </w:r>
      <w:r>
        <w:rPr>
          <w:rFonts w:ascii="宋体" w:hAnsi="宋体"/>
          <w:color w:val="auto"/>
          <w:szCs w:val="21"/>
          <w:highlight w:val="none"/>
        </w:rPr>
        <w:t>是对</w:t>
      </w:r>
      <w:r>
        <w:rPr>
          <w:rFonts w:hint="eastAsia" w:ascii="宋体" w:hAnsi="宋体"/>
          <w:color w:val="auto"/>
          <w:szCs w:val="21"/>
          <w:highlight w:val="none"/>
        </w:rPr>
        <w:t>前两</w:t>
      </w:r>
      <w:r>
        <w:rPr>
          <w:rFonts w:ascii="宋体" w:hAnsi="宋体"/>
          <w:color w:val="auto"/>
          <w:szCs w:val="21"/>
          <w:highlight w:val="none"/>
        </w:rPr>
        <w:t>部分的补充和修改</w:t>
      </w:r>
      <w:r>
        <w:rPr>
          <w:rFonts w:hint="eastAsia" w:ascii="宋体" w:hAnsi="宋体"/>
          <w:color w:val="auto"/>
          <w:szCs w:val="21"/>
          <w:highlight w:val="none"/>
        </w:rPr>
        <w:t>，</w:t>
      </w:r>
      <w:r>
        <w:rPr>
          <w:rFonts w:ascii="宋体" w:hAnsi="宋体"/>
          <w:color w:val="auto"/>
          <w:szCs w:val="21"/>
          <w:highlight w:val="none"/>
        </w:rPr>
        <w:t>如果</w:t>
      </w:r>
      <w:r>
        <w:rPr>
          <w:rFonts w:hint="eastAsia" w:ascii="宋体" w:hAnsi="宋体"/>
          <w:color w:val="auto"/>
          <w:szCs w:val="21"/>
          <w:highlight w:val="none"/>
        </w:rPr>
        <w:t>前两</w:t>
      </w:r>
      <w:r>
        <w:rPr>
          <w:rFonts w:ascii="宋体" w:hAnsi="宋体"/>
          <w:color w:val="auto"/>
          <w:szCs w:val="21"/>
          <w:highlight w:val="none"/>
        </w:rPr>
        <w:t>部分和本部分的约定不一致</w:t>
      </w:r>
      <w:r>
        <w:rPr>
          <w:rFonts w:hint="eastAsia" w:ascii="宋体" w:hAnsi="宋体"/>
          <w:color w:val="auto"/>
          <w:szCs w:val="21"/>
          <w:highlight w:val="none"/>
        </w:rPr>
        <w:t>，</w:t>
      </w:r>
      <w:r>
        <w:rPr>
          <w:rFonts w:ascii="宋体" w:hAnsi="宋体"/>
          <w:color w:val="auto"/>
          <w:szCs w:val="21"/>
          <w:highlight w:val="none"/>
        </w:rPr>
        <w:t>应以本部分的约定为准</w:t>
      </w:r>
      <w:r>
        <w:rPr>
          <w:rFonts w:hint="eastAsia" w:ascii="宋体" w:hAnsi="宋体"/>
          <w:color w:val="auto"/>
          <w:szCs w:val="21"/>
          <w:highlight w:val="none"/>
        </w:rPr>
        <w:t>。</w:t>
      </w:r>
      <w:r>
        <w:rPr>
          <w:rFonts w:ascii="宋体" w:hAnsi="宋体"/>
          <w:color w:val="auto"/>
          <w:szCs w:val="21"/>
          <w:highlight w:val="none"/>
        </w:rPr>
        <w:t>本部分的条款号应与</w:t>
      </w:r>
      <w:r>
        <w:rPr>
          <w:rFonts w:hint="eastAsia" w:ascii="宋体" w:hAnsi="宋体"/>
          <w:color w:val="auto"/>
          <w:szCs w:val="21"/>
          <w:highlight w:val="none"/>
        </w:rPr>
        <w:t>前两部分</w:t>
      </w:r>
      <w:r>
        <w:rPr>
          <w:rFonts w:ascii="宋体" w:hAnsi="宋体"/>
          <w:color w:val="auto"/>
          <w:szCs w:val="21"/>
          <w:highlight w:val="none"/>
        </w:rPr>
        <w:t>的条款号保持对应</w:t>
      </w:r>
      <w:r>
        <w:rPr>
          <w:rFonts w:hint="eastAsia" w:ascii="宋体" w:hAnsi="宋体"/>
          <w:color w:val="auto"/>
          <w:szCs w:val="21"/>
          <w:highlight w:val="none"/>
        </w:rPr>
        <w:t>；与前两部分</w:t>
      </w:r>
      <w:r>
        <w:rPr>
          <w:rFonts w:ascii="宋体" w:hAnsi="宋体"/>
          <w:color w:val="auto"/>
          <w:szCs w:val="21"/>
          <w:highlight w:val="none"/>
        </w:rPr>
        <w:t>无对应关系的内容可另行编制条款号</w:t>
      </w:r>
      <w:r>
        <w:rPr>
          <w:rFonts w:hint="eastAsia" w:ascii="宋体" w:hAnsi="宋体"/>
          <w:color w:val="auto"/>
          <w:szCs w:val="21"/>
          <w:highlight w:val="none"/>
        </w:rPr>
        <w:t>。</w:t>
      </w:r>
    </w:p>
    <w:tbl>
      <w:tblPr>
        <w:tblStyle w:val="34"/>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28" w:type="dxa"/>
          <w:bottom w:w="0" w:type="dxa"/>
          <w:right w:w="28" w:type="dxa"/>
        </w:tblCellMar>
      </w:tblPr>
      <w:tblGrid>
        <w:gridCol w:w="793"/>
        <w:gridCol w:w="7569"/>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91" w:hRule="atLeast"/>
          <w:jc w:val="center"/>
        </w:trPr>
        <w:tc>
          <w:tcPr>
            <w:tcW w:w="793" w:type="dxa"/>
            <w:tcBorders>
              <w:left w:val="single" w:color="auto" w:sz="4" w:space="0"/>
            </w:tcBorders>
            <w:noWrap w:val="0"/>
            <w:vAlign w:val="center"/>
          </w:tcPr>
          <w:p>
            <w:pPr>
              <w:jc w:val="center"/>
              <w:rPr>
                <w:rFonts w:ascii="宋体" w:hAnsi="宋体"/>
                <w:b/>
                <w:color w:val="auto"/>
                <w:szCs w:val="21"/>
                <w:highlight w:val="none"/>
              </w:rPr>
            </w:pPr>
            <w:r>
              <w:rPr>
                <w:rFonts w:ascii="宋体" w:hAnsi="宋体"/>
                <w:b/>
                <w:color w:val="auto"/>
                <w:szCs w:val="21"/>
                <w:highlight w:val="none"/>
              </w:rPr>
              <w:t>条款号</w:t>
            </w:r>
          </w:p>
        </w:tc>
        <w:tc>
          <w:tcPr>
            <w:tcW w:w="7569" w:type="dxa"/>
            <w:noWrap w:val="0"/>
            <w:vAlign w:val="center"/>
          </w:tcPr>
          <w:p>
            <w:pPr>
              <w:jc w:val="center"/>
              <w:rPr>
                <w:rFonts w:ascii="宋体" w:hAnsi="宋体"/>
                <w:b/>
                <w:color w:val="auto"/>
                <w:szCs w:val="21"/>
                <w:highlight w:val="none"/>
              </w:rPr>
            </w:pPr>
            <w:r>
              <w:rPr>
                <w:rFonts w:ascii="宋体" w:hAnsi="宋体"/>
                <w:b/>
                <w:color w:val="auto"/>
                <w:szCs w:val="21"/>
                <w:highlight w:val="none"/>
              </w:rPr>
              <w:t>约定内容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88"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352"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u w:val="singl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left w:val="single" w:color="auto" w:sz="4" w:space="0"/>
            </w:tcBorders>
            <w:noWrap w:val="0"/>
            <w:vAlign w:val="center"/>
          </w:tcPr>
          <w:p>
            <w:pPr>
              <w:spacing w:line="560" w:lineRule="exact"/>
              <w:rPr>
                <w:rFonts w:ascii="宋体" w:hAnsi="宋体"/>
                <w:color w:val="auto"/>
                <w:szCs w:val="21"/>
                <w:highlight w:val="none"/>
              </w:rPr>
            </w:pPr>
          </w:p>
        </w:tc>
        <w:tc>
          <w:tcPr>
            <w:tcW w:w="7569" w:type="dxa"/>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top w:val="single" w:color="auto" w:sz="6" w:space="0"/>
              <w:left w:val="single" w:color="auto" w:sz="4" w:space="0"/>
              <w:bottom w:val="single" w:color="auto" w:sz="6" w:space="0"/>
              <w:right w:val="single" w:color="auto" w:sz="6" w:space="0"/>
            </w:tcBorders>
            <w:noWrap w:val="0"/>
            <w:vAlign w:val="center"/>
          </w:tcPr>
          <w:p>
            <w:pPr>
              <w:spacing w:line="560" w:lineRule="exact"/>
              <w:rPr>
                <w:rFonts w:ascii="宋体" w:hAnsi="宋体"/>
                <w:color w:val="auto"/>
                <w:szCs w:val="21"/>
                <w:highlight w:val="none"/>
              </w:rPr>
            </w:pPr>
          </w:p>
        </w:tc>
        <w:tc>
          <w:tcPr>
            <w:tcW w:w="7569" w:type="dxa"/>
            <w:tcBorders>
              <w:top w:val="single" w:color="auto" w:sz="6" w:space="0"/>
              <w:left w:val="single" w:color="auto" w:sz="6" w:space="0"/>
              <w:bottom w:val="single" w:color="auto" w:sz="6" w:space="0"/>
              <w:right w:val="single" w:color="auto" w:sz="6" w:space="0"/>
            </w:tcBorders>
            <w:noWrap w:val="0"/>
            <w:vAlign w:val="center"/>
          </w:tcPr>
          <w:p>
            <w:pPr>
              <w:spacing w:line="560" w:lineRule="exact"/>
              <w:rPr>
                <w:rFonts w:ascii="宋体" w:hAnsi="宋体"/>
                <w:color w:val="auto"/>
                <w:szCs w:val="21"/>
                <w:highlight w:val="none"/>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28" w:type="dxa"/>
            <w:bottom w:w="0" w:type="dxa"/>
            <w:right w:w="28" w:type="dxa"/>
          </w:tblCellMar>
        </w:tblPrEx>
        <w:trPr>
          <w:trHeight w:val="65" w:hRule="atLeast"/>
          <w:jc w:val="center"/>
        </w:trPr>
        <w:tc>
          <w:tcPr>
            <w:tcW w:w="793" w:type="dxa"/>
            <w:tcBorders>
              <w:top w:val="single" w:color="auto" w:sz="6" w:space="0"/>
              <w:left w:val="single" w:color="auto" w:sz="4" w:space="0"/>
              <w:bottom w:val="single" w:color="auto" w:sz="6" w:space="0"/>
              <w:right w:val="single" w:color="auto" w:sz="6" w:space="0"/>
            </w:tcBorders>
            <w:noWrap w:val="0"/>
            <w:vAlign w:val="center"/>
          </w:tcPr>
          <w:p>
            <w:pPr>
              <w:spacing w:line="560" w:lineRule="exact"/>
              <w:rPr>
                <w:rFonts w:ascii="宋体" w:hAnsi="宋体"/>
                <w:color w:val="auto"/>
                <w:szCs w:val="21"/>
                <w:highlight w:val="none"/>
              </w:rPr>
            </w:pPr>
          </w:p>
        </w:tc>
        <w:tc>
          <w:tcPr>
            <w:tcW w:w="7569" w:type="dxa"/>
            <w:tcBorders>
              <w:top w:val="single" w:color="auto" w:sz="6" w:space="0"/>
              <w:left w:val="single" w:color="auto" w:sz="6" w:space="0"/>
              <w:bottom w:val="single" w:color="auto" w:sz="6" w:space="0"/>
              <w:right w:val="single" w:color="auto" w:sz="6" w:space="0"/>
            </w:tcBorders>
            <w:noWrap w:val="0"/>
            <w:vAlign w:val="center"/>
          </w:tcPr>
          <w:p>
            <w:pPr>
              <w:spacing w:line="560" w:lineRule="exact"/>
              <w:rPr>
                <w:rFonts w:ascii="宋体" w:hAnsi="宋体"/>
                <w:color w:val="auto"/>
                <w:szCs w:val="21"/>
                <w:highlight w:val="none"/>
              </w:rPr>
            </w:pPr>
          </w:p>
        </w:tc>
      </w:tr>
    </w:tbl>
    <w:p>
      <w:pPr>
        <w:rPr>
          <w:rFonts w:hint="eastAsia" w:ascii="宋体" w:hAnsi="宋体"/>
          <w:b/>
          <w:color w:val="auto"/>
          <w:szCs w:val="21"/>
          <w:highlight w:val="none"/>
        </w:rPr>
      </w:pPr>
    </w:p>
    <w:bookmarkEnd w:id="246"/>
    <w:p>
      <w:pPr>
        <w:numPr>
          <w:ilvl w:val="0"/>
          <w:numId w:val="0"/>
        </w:numPr>
        <w:spacing w:before="156" w:beforeLines="50" w:after="156" w:afterLines="50"/>
        <w:jc w:val="both"/>
        <w:outlineLvl w:val="0"/>
        <w:rPr>
          <w:rFonts w:hint="default" w:ascii="宋体"/>
          <w:b/>
          <w:color w:val="auto"/>
          <w:sz w:val="32"/>
          <w:szCs w:val="32"/>
          <w:highlight w:val="none"/>
          <w:lang w:val="en-US" w:eastAsia="zh-CN"/>
        </w:rPr>
      </w:pPr>
    </w:p>
    <w:p>
      <w:pPr>
        <w:rPr>
          <w:rFonts w:hint="eastAsia" w:ascii="宋体"/>
          <w:b/>
          <w:color w:val="auto"/>
          <w:sz w:val="32"/>
          <w:szCs w:val="32"/>
          <w:highlight w:val="none"/>
        </w:rPr>
      </w:pPr>
    </w:p>
    <w:p>
      <w:pPr>
        <w:rPr>
          <w:rFonts w:hint="eastAsia" w:ascii="宋体"/>
          <w:b/>
          <w:color w:val="auto"/>
          <w:sz w:val="32"/>
          <w:szCs w:val="32"/>
          <w:highlight w:val="none"/>
        </w:rPr>
      </w:pPr>
      <w:r>
        <w:rPr>
          <w:rFonts w:hint="eastAsia" w:ascii="宋体"/>
          <w:b/>
          <w:color w:val="auto"/>
          <w:sz w:val="32"/>
          <w:szCs w:val="32"/>
          <w:highlight w:val="none"/>
        </w:rPr>
        <w:br w:type="page"/>
      </w:r>
    </w:p>
    <w:p>
      <w:pPr>
        <w:spacing w:before="156" w:beforeLines="50" w:after="156" w:afterLines="50"/>
        <w:jc w:val="center"/>
        <w:outlineLvl w:val="0"/>
        <w:rPr>
          <w:rFonts w:hint="eastAsia" w:ascii="宋体"/>
          <w:b/>
          <w:color w:val="auto"/>
          <w:sz w:val="32"/>
          <w:szCs w:val="32"/>
          <w:highlight w:val="none"/>
        </w:rPr>
      </w:pPr>
    </w:p>
    <w:p>
      <w:p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t>第</w:t>
      </w:r>
      <w:r>
        <w:rPr>
          <w:rFonts w:hint="eastAsia" w:ascii="宋体"/>
          <w:b/>
          <w:color w:val="auto"/>
          <w:sz w:val="32"/>
          <w:szCs w:val="32"/>
          <w:highlight w:val="none"/>
          <w:lang w:val="en-US" w:eastAsia="zh-CN"/>
        </w:rPr>
        <w:t>六</w:t>
      </w:r>
      <w:r>
        <w:rPr>
          <w:rFonts w:hint="eastAsia" w:ascii="宋体"/>
          <w:b/>
          <w:color w:val="auto"/>
          <w:sz w:val="32"/>
          <w:szCs w:val="32"/>
          <w:highlight w:val="none"/>
        </w:rPr>
        <w:t>章  投标文件格式</w:t>
      </w:r>
    </w:p>
    <w:p>
      <w:pPr>
        <w:jc w:val="center"/>
        <w:rPr>
          <w:rFonts w:hint="eastAsia" w:eastAsia="黑体"/>
          <w:color w:val="auto"/>
          <w:sz w:val="20"/>
          <w:highlight w:val="none"/>
        </w:rPr>
      </w:pPr>
    </w:p>
    <w:p>
      <w:pPr>
        <w:rPr>
          <w:rFonts w:hint="eastAsia" w:eastAsia="黑体"/>
          <w:color w:val="auto"/>
          <w:sz w:val="20"/>
          <w:highlight w:val="none"/>
        </w:rPr>
      </w:pPr>
    </w:p>
    <w:p>
      <w:pPr>
        <w:rPr>
          <w:rFonts w:hint="eastAsia" w:eastAsia="黑体"/>
          <w:color w:val="auto"/>
          <w:sz w:val="20"/>
          <w:highlight w:val="none"/>
        </w:rPr>
      </w:pPr>
    </w:p>
    <w:p>
      <w:pPr>
        <w:rPr>
          <w:rFonts w:hint="eastAsia" w:eastAsia="黑体"/>
          <w:color w:val="auto"/>
          <w:sz w:val="20"/>
          <w:highlight w:val="none"/>
        </w:rPr>
      </w:pPr>
    </w:p>
    <w:p>
      <w:pPr>
        <w:jc w:val="center"/>
        <w:rPr>
          <w:rFonts w:hint="eastAsia" w:ascii="宋体"/>
          <w:b/>
          <w:color w:val="auto"/>
          <w:sz w:val="44"/>
          <w:szCs w:val="44"/>
          <w:highlight w:val="none"/>
        </w:rPr>
      </w:pPr>
      <w:bookmarkStart w:id="247" w:name="_Toc449028949"/>
      <w:bookmarkStart w:id="248" w:name="_Toc350698753"/>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247"/>
      <w:bookmarkEnd w:id="248"/>
    </w:p>
    <w:p>
      <w:pPr>
        <w:jc w:val="center"/>
        <w:rPr>
          <w:rFonts w:hint="eastAsia" w:eastAsia="黑体"/>
          <w:color w:val="auto"/>
          <w:sz w:val="44"/>
          <w:szCs w:val="44"/>
          <w:highlight w:val="none"/>
        </w:rPr>
      </w:pPr>
    </w:p>
    <w:p>
      <w:pPr>
        <w:jc w:val="center"/>
        <w:rPr>
          <w:rFonts w:hint="eastAsia" w:eastAsia="黑体"/>
          <w:color w:val="auto"/>
          <w:sz w:val="44"/>
          <w:szCs w:val="44"/>
          <w:highlight w:val="none"/>
        </w:rPr>
      </w:pPr>
    </w:p>
    <w:p>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pPr>
        <w:jc w:val="center"/>
        <w:rPr>
          <w:rFonts w:hint="eastAsia" w:ascii="宋体"/>
          <w:color w:val="auto"/>
          <w:sz w:val="44"/>
          <w:szCs w:val="44"/>
          <w:highlight w:val="none"/>
        </w:rPr>
      </w:pPr>
      <w:r>
        <w:rPr>
          <w:rFonts w:hint="eastAsia" w:ascii="宋体"/>
          <w:color w:val="auto"/>
          <w:sz w:val="28"/>
          <w:szCs w:val="28"/>
          <w:highlight w:val="none"/>
          <w:u w:val="single"/>
        </w:rPr>
        <w:t xml:space="preserve">  </w:t>
      </w: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rPr>
          <w:rFonts w:hint="eastAsia" w:ascii="宋体"/>
          <w:color w:val="auto"/>
          <w:sz w:val="28"/>
          <w:szCs w:val="28"/>
          <w:highlight w:val="none"/>
        </w:rPr>
      </w:pPr>
    </w:p>
    <w:p>
      <w:pPr>
        <w:jc w:val="center"/>
        <w:rPr>
          <w:rFonts w:hint="eastAsia" w:ascii="宋体"/>
          <w:color w:val="auto"/>
          <w:sz w:val="28"/>
          <w:szCs w:val="28"/>
          <w:highlight w:val="none"/>
          <w:u w:val="single"/>
        </w:rPr>
      </w:pPr>
      <w:r>
        <w:rPr>
          <w:rFonts w:hint="eastAsia" w:ascii="宋体"/>
          <w:color w:val="auto"/>
          <w:sz w:val="28"/>
          <w:szCs w:val="28"/>
          <w:highlight w:val="none"/>
          <w:lang w:val="en-US" w:eastAsia="zh-CN"/>
        </w:rPr>
        <w:t xml:space="preserve"> </w:t>
      </w: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pPr>
        <w:spacing w:line="720" w:lineRule="auto"/>
        <w:jc w:val="center"/>
        <w:rPr>
          <w:rFonts w:hint="eastAsia" w:ascii="宋体"/>
          <w:b/>
          <w:color w:val="auto"/>
          <w:sz w:val="36"/>
          <w:szCs w:val="36"/>
          <w:highlight w:val="none"/>
        </w:rPr>
      </w:pPr>
    </w:p>
    <w:p>
      <w:pPr>
        <w:spacing w:line="400" w:lineRule="exact"/>
        <w:ind w:firstLine="4130" w:firstLineChars="935"/>
        <w:rPr>
          <w:rFonts w:hint="eastAsia"/>
          <w:b/>
          <w:color w:val="auto"/>
          <w:sz w:val="44"/>
          <w:szCs w:val="44"/>
          <w:highlight w:val="none"/>
        </w:rPr>
      </w:pPr>
    </w:p>
    <w:p>
      <w:pPr>
        <w:spacing w:line="400" w:lineRule="exact"/>
        <w:ind w:firstLine="4130" w:firstLineChars="935"/>
        <w:rPr>
          <w:rFonts w:hint="eastAsia"/>
          <w:b/>
          <w:color w:val="auto"/>
          <w:sz w:val="44"/>
          <w:szCs w:val="44"/>
          <w:highlight w:val="none"/>
        </w:rPr>
      </w:pPr>
    </w:p>
    <w:p>
      <w:pPr>
        <w:spacing w:line="400" w:lineRule="exact"/>
        <w:ind w:firstLine="4130" w:firstLineChars="935"/>
        <w:rPr>
          <w:rFonts w:hint="eastAsia"/>
          <w:b/>
          <w:color w:val="auto"/>
          <w:sz w:val="44"/>
          <w:szCs w:val="44"/>
          <w:highlight w:val="none"/>
        </w:rPr>
      </w:pPr>
    </w:p>
    <w:p>
      <w:pPr>
        <w:jc w:val="center"/>
        <w:rPr>
          <w:rFonts w:hint="eastAsia"/>
          <w:b/>
          <w:color w:val="auto"/>
          <w:sz w:val="44"/>
          <w:szCs w:val="44"/>
          <w:highlight w:val="none"/>
        </w:rPr>
      </w:pPr>
      <w:r>
        <w:rPr>
          <w:rFonts w:hint="eastAsia"/>
          <w:b/>
          <w:color w:val="auto"/>
          <w:sz w:val="36"/>
          <w:szCs w:val="36"/>
          <w:highlight w:val="none"/>
        </w:rPr>
        <w:t>目   录</w:t>
      </w:r>
    </w:p>
    <w:p>
      <w:pPr>
        <w:spacing w:line="400" w:lineRule="exact"/>
        <w:ind w:firstLine="562" w:firstLineChars="200"/>
        <w:rPr>
          <w:rFonts w:hint="eastAsia"/>
          <w:b/>
          <w:color w:val="auto"/>
          <w:sz w:val="28"/>
          <w:szCs w:val="28"/>
          <w:highlight w:val="none"/>
        </w:rPr>
      </w:pPr>
    </w:p>
    <w:p>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（1）法定代表人身份证明及其有效身份证复印件（或法定代表人授权委托书及其有效身份证复印件）（格式见附件）；                                                                                                                                                                                                                                                                                                                                                                                                                                                                                                                                                                                                                                                                                                                                                                                                                                                                                                                                                                                                                                                                                                                                                                                                                                                                                                                                                                                                                                                                                                                                                                                                                                                                                        </w:t>
      </w:r>
    </w:p>
    <w:p>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hAnsi="宋体"/>
          <w:color w:val="auto"/>
          <w:szCs w:val="21"/>
          <w:highlight w:val="none"/>
        </w:rPr>
        <w:t>投标人</w:t>
      </w:r>
      <w:r>
        <w:rPr>
          <w:rFonts w:hint="eastAsia" w:hAnsi="宋体"/>
          <w:color w:val="auto"/>
          <w:szCs w:val="21"/>
          <w:highlight w:val="none"/>
          <w:lang w:val="en-US" w:eastAsia="zh-CN"/>
        </w:rPr>
        <w:t>有效的营业执照</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rPr>
        <w:t>；</w:t>
      </w:r>
    </w:p>
    <w:p>
      <w:pPr>
        <w:spacing w:line="500" w:lineRule="exact"/>
        <w:ind w:firstLine="420" w:firstLineChars="200"/>
        <w:jc w:val="left"/>
        <w:rPr>
          <w:rFonts w:hint="eastAsia" w:ascii="宋体"/>
          <w:color w:val="auto"/>
          <w:szCs w:val="21"/>
          <w:highlight w:val="none"/>
        </w:rPr>
      </w:pPr>
      <w:r>
        <w:rPr>
          <w:rFonts w:hint="eastAsia" w:ascii="宋体" w:hAnsi="宋体" w:cs="宋体-18030"/>
          <w:color w:val="auto"/>
          <w:szCs w:val="21"/>
          <w:highlight w:val="none"/>
        </w:rPr>
        <w:t>（</w:t>
      </w:r>
      <w:r>
        <w:rPr>
          <w:rFonts w:hint="eastAsia" w:ascii="宋体" w:hAnsi="宋体" w:cs="宋体-18030"/>
          <w:color w:val="auto"/>
          <w:szCs w:val="21"/>
          <w:highlight w:val="none"/>
          <w:lang w:val="en-US" w:eastAsia="zh-CN"/>
        </w:rPr>
        <w:t>3</w:t>
      </w:r>
      <w:r>
        <w:rPr>
          <w:rFonts w:hint="eastAsia" w:ascii="宋体" w:hAnsi="宋体" w:cs="宋体-18030"/>
          <w:color w:val="auto"/>
          <w:szCs w:val="21"/>
          <w:highlight w:val="none"/>
        </w:rPr>
        <w:t>）</w:t>
      </w:r>
      <w:r>
        <w:rPr>
          <w:rFonts w:hint="eastAsia" w:ascii="宋体"/>
          <w:color w:val="auto"/>
          <w:szCs w:val="21"/>
          <w:highlight w:val="none"/>
        </w:rPr>
        <w:t>诚信投标承诺书（格式见附件）；</w:t>
      </w:r>
    </w:p>
    <w:p>
      <w:pPr>
        <w:spacing w:line="500" w:lineRule="exact"/>
        <w:ind w:firstLine="420" w:firstLineChars="200"/>
        <w:jc w:val="left"/>
        <w:rPr>
          <w:rFonts w:hint="eastAsia" w:ascii="宋体" w:cs="Times New Roman"/>
          <w:color w:val="auto"/>
          <w:szCs w:val="21"/>
          <w:highlight w:val="none"/>
          <w:lang w:val="en-US" w:eastAsia="zh-CN"/>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4）服务承诺书</w:t>
      </w:r>
      <w:r>
        <w:rPr>
          <w:rFonts w:hint="eastAsia" w:ascii="宋体"/>
          <w:color w:val="auto"/>
          <w:szCs w:val="21"/>
          <w:highlight w:val="none"/>
        </w:rPr>
        <w:t>（格式见附件）；</w:t>
      </w:r>
    </w:p>
    <w:p>
      <w:pPr>
        <w:spacing w:line="440" w:lineRule="exact"/>
        <w:ind w:left="420"/>
        <w:rPr>
          <w:rFonts w:hint="eastAsia" w:ascii="宋体" w:eastAsia="宋体"/>
          <w:color w:val="auto"/>
          <w:szCs w:val="21"/>
          <w:highlight w:val="none"/>
        </w:rPr>
      </w:pPr>
      <w:r>
        <w:rPr>
          <w:rFonts w:hint="eastAsia" w:ascii="宋体" w:eastAsia="宋体"/>
          <w:color w:val="auto"/>
          <w:szCs w:val="21"/>
          <w:highlight w:val="none"/>
        </w:rPr>
        <w:t>（</w:t>
      </w:r>
      <w:r>
        <w:rPr>
          <w:rFonts w:hint="eastAsia" w:ascii="宋体"/>
          <w:color w:val="auto"/>
          <w:szCs w:val="21"/>
          <w:highlight w:val="none"/>
          <w:lang w:val="en-US" w:eastAsia="zh-CN"/>
        </w:rPr>
        <w:t>5</w:t>
      </w:r>
      <w:r>
        <w:rPr>
          <w:rFonts w:hint="eastAsia" w:ascii="宋体" w:eastAsia="宋体"/>
          <w:color w:val="auto"/>
          <w:szCs w:val="21"/>
          <w:highlight w:val="none"/>
        </w:rPr>
        <w:t>）开标一览表（格式见附件）；</w:t>
      </w:r>
    </w:p>
    <w:p>
      <w:pPr>
        <w:spacing w:line="440" w:lineRule="exact"/>
        <w:ind w:left="420"/>
        <w:rPr>
          <w:rFonts w:hint="eastAsia" w:ascii="宋体" w:eastAsia="宋体"/>
          <w:color w:val="auto"/>
          <w:szCs w:val="21"/>
          <w:highlight w:val="none"/>
        </w:rPr>
      </w:pPr>
      <w:r>
        <w:rPr>
          <w:rFonts w:hint="eastAsia" w:ascii="宋体" w:eastAsia="宋体"/>
          <w:color w:val="auto"/>
          <w:szCs w:val="21"/>
          <w:highlight w:val="none"/>
        </w:rPr>
        <w:t>（</w:t>
      </w:r>
      <w:r>
        <w:rPr>
          <w:rFonts w:hint="eastAsia" w:ascii="宋体"/>
          <w:color w:val="auto"/>
          <w:szCs w:val="21"/>
          <w:highlight w:val="none"/>
          <w:lang w:val="en-US" w:eastAsia="zh-CN"/>
        </w:rPr>
        <w:t>6</w:t>
      </w:r>
      <w:r>
        <w:rPr>
          <w:rFonts w:hint="eastAsia" w:ascii="宋体" w:eastAsia="宋体"/>
          <w:color w:val="auto"/>
          <w:szCs w:val="21"/>
          <w:highlight w:val="none"/>
        </w:rPr>
        <w:t>）投标函（格式见附件）；</w:t>
      </w:r>
    </w:p>
    <w:p>
      <w:pPr>
        <w:spacing w:line="440" w:lineRule="exact"/>
        <w:ind w:left="420"/>
        <w:rPr>
          <w:rFonts w:hint="default" w:ascii="宋体" w:eastAsia="宋体"/>
          <w:color w:val="auto"/>
          <w:szCs w:val="21"/>
          <w:highlight w:val="none"/>
          <w:lang w:val="en-US" w:eastAsia="zh-CN"/>
        </w:rPr>
        <w:sectPr>
          <w:pgSz w:w="11906" w:h="16838"/>
          <w:pgMar w:top="1440" w:right="1800" w:bottom="1440" w:left="1800" w:header="851" w:footer="992" w:gutter="0"/>
          <w:pgNumType w:fmt="numberInDash"/>
          <w:cols w:space="720" w:num="1"/>
          <w:docGrid w:type="lines" w:linePitch="312" w:charSpace="0"/>
        </w:sectPr>
      </w:pPr>
      <w:r>
        <w:rPr>
          <w:rFonts w:hint="eastAsia" w:ascii="宋体" w:eastAsia="宋体"/>
          <w:color w:val="auto"/>
          <w:szCs w:val="21"/>
          <w:highlight w:val="none"/>
          <w:lang w:eastAsia="zh-CN"/>
        </w:rPr>
        <w:t>（</w:t>
      </w:r>
      <w:r>
        <w:rPr>
          <w:rFonts w:hint="eastAsia" w:ascii="宋体"/>
          <w:color w:val="auto"/>
          <w:szCs w:val="21"/>
          <w:highlight w:val="none"/>
          <w:lang w:val="en-US" w:eastAsia="zh-CN"/>
        </w:rPr>
        <w:t>7</w:t>
      </w:r>
      <w:r>
        <w:rPr>
          <w:rFonts w:hint="eastAsia" w:ascii="宋体" w:eastAsia="宋体"/>
          <w:color w:val="auto"/>
          <w:szCs w:val="21"/>
          <w:highlight w:val="none"/>
          <w:lang w:val="en-US" w:eastAsia="zh-CN"/>
        </w:rPr>
        <w:t>）投标人认为需要提供的其他证明材料</w:t>
      </w:r>
    </w:p>
    <w:p>
      <w:pPr>
        <w:spacing w:line="360" w:lineRule="auto"/>
        <w:rPr>
          <w:rFonts w:hint="eastAsia"/>
          <w:b/>
          <w:color w:val="auto"/>
          <w:sz w:val="28"/>
          <w:szCs w:val="28"/>
          <w:highlight w:val="none"/>
        </w:rPr>
      </w:pPr>
      <w:r>
        <w:rPr>
          <w:rFonts w:hint="eastAsia"/>
          <w:b/>
          <w:color w:val="auto"/>
          <w:sz w:val="28"/>
          <w:szCs w:val="28"/>
          <w:highlight w:val="none"/>
        </w:rPr>
        <w:t>附件1</w:t>
      </w:r>
    </w:p>
    <w:p>
      <w:pPr>
        <w:spacing w:line="360" w:lineRule="auto"/>
        <w:ind w:left="720"/>
        <w:jc w:val="center"/>
        <w:rPr>
          <w:rFonts w:hint="eastAsia" w:ascii="宋体"/>
          <w:b/>
          <w:color w:val="auto"/>
          <w:sz w:val="28"/>
          <w:szCs w:val="28"/>
          <w:highlight w:val="none"/>
        </w:rPr>
      </w:pPr>
      <w:r>
        <w:rPr>
          <w:rFonts w:hint="eastAsia"/>
          <w:b/>
          <w:color w:val="auto"/>
          <w:sz w:val="28"/>
          <w:szCs w:val="28"/>
          <w:highlight w:val="none"/>
        </w:rPr>
        <w:t>法定代表人身份证明或授权委托书</w:t>
      </w:r>
    </w:p>
    <w:p>
      <w:pPr>
        <w:pStyle w:val="119"/>
        <w:spacing w:before="312" w:beforeLines="100" w:after="312" w:afterLines="100" w:line="480" w:lineRule="exact"/>
        <w:ind w:firstLine="180" w:firstLineChars="75"/>
        <w:rPr>
          <w:rFonts w:hint="eastAsia" w:ascii="宋体"/>
          <w:b/>
          <w:color w:val="auto"/>
          <w:sz w:val="24"/>
          <w:szCs w:val="24"/>
          <w:highlight w:val="none"/>
        </w:rPr>
      </w:pPr>
      <w:r>
        <w:rPr>
          <w:rFonts w:hint="eastAsia" w:ascii="宋体"/>
          <w:color w:val="auto"/>
          <w:sz w:val="24"/>
          <w:szCs w:val="24"/>
          <w:highlight w:val="none"/>
        </w:rPr>
        <w:t>1.法定代表人身份证明</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pPr>
        <w:spacing w:line="480" w:lineRule="exact"/>
        <w:ind w:firstLine="1440" w:firstLineChars="200"/>
        <w:rPr>
          <w:rFonts w:hint="eastAsia" w:ascii="宋体"/>
          <w:color w:val="auto"/>
          <w:sz w:val="24"/>
          <w:highlight w:val="non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_</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（盖单位章）</w:t>
      </w:r>
    </w:p>
    <w:p>
      <w:pPr>
        <w:wordWrap w:val="0"/>
        <w:spacing w:line="360" w:lineRule="auto"/>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pPr>
        <w:spacing w:before="312" w:beforeLines="100" w:after="312" w:afterLines="100" w:line="480" w:lineRule="exact"/>
        <w:ind w:firstLine="3654" w:firstLineChars="1305"/>
        <w:rPr>
          <w:rFonts w:hint="eastAsia" w:ascii="宋体"/>
          <w:color w:val="auto"/>
          <w:sz w:val="28"/>
          <w:szCs w:val="28"/>
          <w:highlight w:val="none"/>
        </w:rPr>
      </w:pPr>
      <w:r>
        <w:rPr>
          <w:rFonts w:hint="eastAsia" w:ascii="宋体"/>
          <w:color w:val="auto"/>
          <w:sz w:val="28"/>
          <w:szCs w:val="28"/>
          <w:highlight w:val="none"/>
        </w:rPr>
        <w:t>2.授权委托书</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”(项目名称、编号）投标文件，全权处理与该项目投标、评审答疑、签订合同以及与合同执行有关的一切事务，其法律后果由我方承担。</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委托期限：                                </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pPr>
        <w:spacing w:line="480" w:lineRule="exact"/>
        <w:ind w:firstLine="480" w:firstLineChars="200"/>
        <w:rPr>
          <w:rFonts w:hint="eastAsia" w:ascii="宋体"/>
          <w:color w:val="auto"/>
          <w:sz w:val="24"/>
          <w:highlight w:val="none"/>
        </w:rPr>
      </w:pPr>
      <w:r>
        <w:rPr>
          <w:rFonts w:hint="eastAsia" w:ascii="宋体"/>
          <w:color w:val="auto"/>
          <w:sz w:val="24"/>
          <w:highlight w:val="none"/>
        </w:rPr>
        <w:t>附：授权委托人有效身份证及法定代表人有效身份证</w:t>
      </w:r>
    </w:p>
    <w:p>
      <w:pPr>
        <w:spacing w:line="480" w:lineRule="exact"/>
        <w:rPr>
          <w:rFonts w:hint="eastAsia" w:ascii="宋体"/>
          <w:color w:val="auto"/>
          <w:sz w:val="24"/>
          <w:highlight w:val="none"/>
        </w:rPr>
      </w:pPr>
      <w:r>
        <w:rPr>
          <w:rFonts w:hint="eastAsia" w:ascii="宋体"/>
          <w:color w:val="auto"/>
          <w:sz w:val="24"/>
          <w:highlight w:val="none"/>
        </w:rPr>
        <w:t xml:space="preserve">                                     投标人：             </w:t>
      </w:r>
      <w:r>
        <w:rPr>
          <w:rFonts w:hint="eastAsia" w:ascii="宋体"/>
          <w:color w:val="auto"/>
          <w:sz w:val="28"/>
          <w:szCs w:val="28"/>
          <w:highlight w:val="none"/>
        </w:rPr>
        <w:t>（盖单位章）</w:t>
      </w:r>
    </w:p>
    <w:p>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法定代表人（身份证号码）：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pPr>
        <w:spacing w:line="480" w:lineRule="exact"/>
        <w:ind w:firstLine="2820" w:firstLineChars="1175"/>
        <w:rPr>
          <w:rFonts w:hint="eastAsia" w:ascii="宋体"/>
          <w:color w:val="auto"/>
          <w:sz w:val="24"/>
          <w:highlight w:val="none"/>
        </w:rPr>
      </w:pPr>
      <w:r>
        <w:rPr>
          <w:rFonts w:hint="eastAsia" w:ascii="宋体"/>
          <w:color w:val="auto"/>
          <w:sz w:val="24"/>
          <w:highlight w:val="none"/>
        </w:rPr>
        <w:t xml:space="preserve">              年    月    日</w:t>
      </w:r>
    </w:p>
    <w:p>
      <w:pPr>
        <w:spacing w:line="360" w:lineRule="exact"/>
        <w:ind w:firstLine="413" w:firstLineChars="147"/>
        <w:rPr>
          <w:rFonts w:hint="eastAsia"/>
          <w:b/>
          <w:color w:val="auto"/>
          <w:sz w:val="28"/>
          <w:szCs w:val="28"/>
          <w:highlight w:val="none"/>
          <w:u w:val="single"/>
        </w:rPr>
      </w:pPr>
    </w:p>
    <w:p>
      <w:pPr>
        <w:spacing w:line="360" w:lineRule="exact"/>
        <w:ind w:firstLine="413" w:firstLineChars="147"/>
        <w:rPr>
          <w:rFonts w:hint="eastAsia"/>
          <w:b/>
          <w:color w:val="auto"/>
          <w:sz w:val="28"/>
          <w:szCs w:val="28"/>
          <w:highlight w:val="none"/>
          <w:u w:val="single"/>
        </w:rPr>
      </w:pPr>
    </w:p>
    <w:p>
      <w:pPr>
        <w:spacing w:line="360" w:lineRule="exact"/>
        <w:ind w:firstLine="443" w:firstLineChars="147"/>
        <w:rPr>
          <w:rFonts w:hint="eastAsia" w:ascii="宋体"/>
          <w:b/>
          <w:color w:val="auto"/>
          <w:sz w:val="30"/>
          <w:szCs w:val="30"/>
          <w:highlight w:val="none"/>
        </w:rPr>
      </w:pPr>
      <w:r>
        <w:rPr>
          <w:rFonts w:hint="eastAsia" w:ascii="宋体"/>
          <w:b/>
          <w:color w:val="auto"/>
          <w:sz w:val="30"/>
          <w:szCs w:val="30"/>
          <w:highlight w:val="none"/>
        </w:rPr>
        <w:t>附件2</w:t>
      </w:r>
    </w:p>
    <w:p>
      <w:pPr>
        <w:spacing w:line="360" w:lineRule="auto"/>
        <w:jc w:val="center"/>
        <w:rPr>
          <w:rFonts w:hint="eastAsia"/>
          <w:b/>
          <w:color w:val="auto"/>
          <w:sz w:val="28"/>
          <w:szCs w:val="28"/>
          <w:highlight w:val="none"/>
        </w:rPr>
      </w:pPr>
      <w:bookmarkStart w:id="249" w:name="_Toc449028950"/>
      <w:bookmarkStart w:id="250" w:name="_Toc440443268"/>
      <w:r>
        <w:rPr>
          <w:rFonts w:hint="eastAsia"/>
          <w:b/>
          <w:color w:val="auto"/>
          <w:sz w:val="28"/>
          <w:szCs w:val="28"/>
          <w:highlight w:val="none"/>
        </w:rPr>
        <w:t>诚信投标承诺书 </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 1、被人民法院列入失信被执行人的；2、我公司及其法定代表人、拟派项目经理（项目负责人）前三年有行贿犯罪行为的；3、被市场监督管理部门列入经营异常名录或者严重违法企业名单，且未被移除的；4、被税收部门列入重大税收违法案件当事人的；5、被政府采购监管部门列入政府采购严重违法失信行为记录名单的；6、在“信用中国”网站上披露仍在公示期的严重失信行为的；7、参与政府采购活动前3年在经营活动中有重大违法记录的。（若招标文件对投标人所属分公司、办事处等分支机构有上述1-6项信誉要求，在此一并承诺我公司所属分公司、办事处等分支机构没有上述1-6项情形）</w:t>
      </w:r>
    </w:p>
    <w:p>
      <w:pPr>
        <w:spacing w:line="500" w:lineRule="exact"/>
        <w:ind w:firstLine="420" w:firstLineChars="200"/>
        <w:rPr>
          <w:rFonts w:hint="eastAsia"/>
          <w:color w:val="auto"/>
          <w:highlight w:val="none"/>
        </w:rPr>
      </w:pPr>
      <w:r>
        <w:rPr>
          <w:rFonts w:hint="eastAsia" w:ascii="宋体" w:hAnsi="宋体"/>
          <w:color w:val="auto"/>
          <w:szCs w:val="21"/>
          <w:highlight w:val="none"/>
        </w:rPr>
        <w:t>七、我公司没有下列情形：被滁州市县两级公管部门记入不良行为记录且在披露期内。</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八、严格遵守开标现场纪律，服从监管人员管理；</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九、保证中标后不转包，若有分包征得招标人同意；</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十、保证中标之后，按照投标文件要求提供相关后续服务；</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十一、保证企业及所属相关人员在本次投标中无行贿等犯罪行为；</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二、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以上内容我已仔细阅读，本公司若有违反承诺内容的行为，自愿接受取消投标或者中标资格、记入不良行为记录等有关处理，愿意承担法律责任，给招标人造成损失的，依法承担赔偿责任。</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pPr>
        <w:spacing w:line="500" w:lineRule="exact"/>
        <w:ind w:firstLine="420" w:firstLineChars="200"/>
        <w:rPr>
          <w:rFonts w:hint="eastAsia" w:ascii="宋体" w:hAnsi="宋体"/>
          <w:color w:val="auto"/>
          <w:szCs w:val="21"/>
          <w:highlight w:val="none"/>
        </w:rPr>
      </w:pPr>
    </w:p>
    <w:p>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pPr>
        <w:spacing w:line="360" w:lineRule="auto"/>
        <w:jc w:val="center"/>
        <w:rPr>
          <w:rFonts w:hint="eastAsia"/>
          <w:b/>
          <w:color w:val="auto"/>
          <w:sz w:val="28"/>
          <w:szCs w:val="28"/>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b/>
          <w:color w:val="auto"/>
          <w:sz w:val="30"/>
          <w:szCs w:val="30"/>
          <w:highlight w:val="none"/>
        </w:rPr>
      </w:pPr>
    </w:p>
    <w:p>
      <w:pPr>
        <w:rPr>
          <w:rFonts w:hint="eastAsia" w:ascii="宋体"/>
          <w:b/>
          <w:color w:val="auto"/>
          <w:sz w:val="44"/>
          <w:szCs w:val="44"/>
          <w:highlight w:val="none"/>
          <w:lang w:val="en-US" w:eastAsia="zh-CN"/>
        </w:rPr>
      </w:pPr>
      <w:r>
        <w:rPr>
          <w:rFonts w:hint="eastAsia" w:ascii="宋体"/>
          <w:b/>
          <w:color w:val="auto"/>
          <w:sz w:val="44"/>
          <w:szCs w:val="44"/>
          <w:highlight w:val="none"/>
          <w:lang w:val="en-US" w:eastAsia="zh-CN"/>
        </w:rPr>
        <w:br w:type="page"/>
      </w:r>
    </w:p>
    <w:p>
      <w:pPr>
        <w:spacing w:line="360" w:lineRule="exact"/>
        <w:rPr>
          <w:rFonts w:hint="eastAsia" w:ascii="宋体"/>
          <w:b/>
          <w:color w:val="auto"/>
          <w:sz w:val="30"/>
          <w:szCs w:val="30"/>
          <w:highlight w:val="none"/>
        </w:rPr>
      </w:pPr>
    </w:p>
    <w:bookmarkEnd w:id="249"/>
    <w:bookmarkEnd w:id="250"/>
    <w:p>
      <w:pPr>
        <w:spacing w:line="360" w:lineRule="auto"/>
        <w:rPr>
          <w:rFonts w:hint="eastAsia" w:eastAsia="宋体"/>
          <w:b/>
          <w:color w:val="auto"/>
          <w:sz w:val="28"/>
          <w:szCs w:val="28"/>
          <w:highlight w:val="none"/>
          <w:lang w:eastAsia="zh-CN"/>
        </w:rPr>
      </w:pPr>
      <w:r>
        <w:rPr>
          <w:rFonts w:hint="eastAsia"/>
          <w:b/>
          <w:color w:val="auto"/>
          <w:sz w:val="28"/>
          <w:szCs w:val="28"/>
          <w:highlight w:val="none"/>
        </w:rPr>
        <w:t>附件</w:t>
      </w:r>
      <w:r>
        <w:rPr>
          <w:rFonts w:hint="eastAsia"/>
          <w:b/>
          <w:color w:val="auto"/>
          <w:sz w:val="28"/>
          <w:szCs w:val="28"/>
          <w:highlight w:val="none"/>
          <w:lang w:val="en-US" w:eastAsia="zh-CN"/>
        </w:rPr>
        <w:t>3</w:t>
      </w:r>
    </w:p>
    <w:p>
      <w:pPr>
        <w:jc w:val="center"/>
        <w:rPr>
          <w:rFonts w:hint="eastAsia" w:ascii="宋体"/>
          <w:b/>
          <w:color w:val="auto"/>
          <w:sz w:val="30"/>
          <w:szCs w:val="30"/>
          <w:highlight w:val="none"/>
        </w:rPr>
      </w:pPr>
      <w:r>
        <w:rPr>
          <w:rFonts w:hint="eastAsia" w:ascii="宋体"/>
          <w:b/>
          <w:color w:val="auto"/>
          <w:sz w:val="30"/>
          <w:szCs w:val="30"/>
          <w:highlight w:val="none"/>
        </w:rPr>
        <w:t>服务承诺书</w:t>
      </w:r>
    </w:p>
    <w:p>
      <w:pPr>
        <w:ind w:firstLine="480" w:firstLineChars="200"/>
        <w:rPr>
          <w:rFonts w:hint="eastAsia" w:ascii="宋体"/>
          <w:color w:val="auto"/>
          <w:sz w:val="24"/>
          <w:highlight w:val="none"/>
        </w:rPr>
      </w:pPr>
    </w:p>
    <w:p>
      <w:pPr>
        <w:ind w:firstLine="480" w:firstLineChars="200"/>
        <w:rPr>
          <w:rFonts w:hint="eastAsia" w:ascii="宋体"/>
          <w:b/>
          <w:color w:val="auto"/>
          <w:sz w:val="24"/>
          <w:highlight w:val="none"/>
        </w:rPr>
      </w:pPr>
      <w:r>
        <w:rPr>
          <w:rFonts w:hint="eastAsia" w:ascii="宋体"/>
          <w:color w:val="auto"/>
          <w:sz w:val="24"/>
          <w:highlight w:val="none"/>
        </w:rPr>
        <w:t>致：</w:t>
      </w:r>
      <w:r>
        <w:rPr>
          <w:rFonts w:hint="eastAsia" w:ascii="宋体"/>
          <w:color w:val="auto"/>
          <w:sz w:val="24"/>
          <w:highlight w:val="none"/>
          <w:u w:val="single"/>
        </w:rPr>
        <w:t xml:space="preserve">               （</w:t>
      </w:r>
      <w:r>
        <w:rPr>
          <w:rFonts w:hint="eastAsia" w:ascii="宋体"/>
          <w:color w:val="auto"/>
          <w:sz w:val="24"/>
          <w:highlight w:val="none"/>
          <w:u w:val="single"/>
          <w:lang w:eastAsia="zh-CN"/>
        </w:rPr>
        <w:t>招标人</w:t>
      </w:r>
      <w:r>
        <w:rPr>
          <w:rFonts w:hint="eastAsia" w:ascii="宋体"/>
          <w:color w:val="auto"/>
          <w:sz w:val="24"/>
          <w:highlight w:val="none"/>
          <w:u w:val="single"/>
        </w:rPr>
        <w:t>）</w:t>
      </w:r>
      <w:r>
        <w:rPr>
          <w:rFonts w:hint="eastAsia" w:ascii="宋体"/>
          <w:color w:val="auto"/>
          <w:sz w:val="24"/>
          <w:highlight w:val="none"/>
        </w:rPr>
        <w:t>：</w:t>
      </w:r>
    </w:p>
    <w:p>
      <w:pPr>
        <w:spacing w:line="800" w:lineRule="exact"/>
        <w:ind w:firstLine="480" w:firstLineChars="200"/>
        <w:rPr>
          <w:rFonts w:hint="eastAsia" w:ascii="宋体"/>
          <w:color w:val="auto"/>
          <w:sz w:val="24"/>
          <w:highlight w:val="none"/>
        </w:rPr>
      </w:pPr>
      <w:r>
        <w:rPr>
          <w:rFonts w:hint="eastAsia" w:ascii="宋体"/>
          <w:color w:val="auto"/>
          <w:sz w:val="24"/>
          <w:highlight w:val="none"/>
        </w:rPr>
        <w:t>本承诺声明：</w:t>
      </w:r>
      <w:r>
        <w:rPr>
          <w:rFonts w:hint="eastAsia" w:ascii="宋体"/>
          <w:color w:val="auto"/>
          <w:sz w:val="24"/>
          <w:highlight w:val="none"/>
          <w:u w:val="single"/>
        </w:rPr>
        <w:t xml:space="preserve">                   </w:t>
      </w:r>
      <w:r>
        <w:rPr>
          <w:rFonts w:hint="eastAsia" w:ascii="宋体"/>
          <w:color w:val="auto"/>
          <w:sz w:val="24"/>
          <w:highlight w:val="none"/>
        </w:rPr>
        <w:t>（投标人名称）对本招标文件的相关要求完全响应。若有幸中标将严格按照以上承诺进行服务。</w:t>
      </w:r>
    </w:p>
    <w:p>
      <w:pPr>
        <w:spacing w:line="800" w:lineRule="exact"/>
        <w:ind w:firstLine="480" w:firstLineChars="200"/>
        <w:rPr>
          <w:rFonts w:hint="eastAsia" w:ascii="宋体"/>
          <w:color w:val="auto"/>
          <w:sz w:val="24"/>
          <w:highlight w:val="none"/>
        </w:rPr>
      </w:pPr>
      <w:r>
        <w:rPr>
          <w:rFonts w:hint="eastAsia" w:ascii="宋体"/>
          <w:color w:val="auto"/>
          <w:sz w:val="24"/>
          <w:highlight w:val="none"/>
        </w:rPr>
        <w:t>特此声明。</w:t>
      </w:r>
    </w:p>
    <w:p>
      <w:pPr>
        <w:spacing w:line="600" w:lineRule="exact"/>
        <w:rPr>
          <w:rFonts w:hint="eastAsia" w:ascii="宋体"/>
          <w:color w:val="auto"/>
          <w:sz w:val="24"/>
          <w:highlight w:val="none"/>
        </w:rPr>
      </w:pPr>
      <w:r>
        <w:rPr>
          <w:rFonts w:hint="eastAsia" w:ascii="宋体"/>
          <w:color w:val="auto"/>
          <w:sz w:val="24"/>
          <w:highlight w:val="none"/>
        </w:rPr>
        <w:t> </w:t>
      </w:r>
    </w:p>
    <w:p>
      <w:pPr>
        <w:spacing w:line="480" w:lineRule="auto"/>
        <w:ind w:firstLine="480" w:firstLineChars="200"/>
        <w:rPr>
          <w:rFonts w:ascii="宋体" w:hAnsi="宋体"/>
          <w:color w:val="auto"/>
          <w:sz w:val="24"/>
          <w:szCs w:val="21"/>
          <w:highlight w:val="none"/>
        </w:rPr>
      </w:pPr>
      <w:r>
        <w:rPr>
          <w:rFonts w:hint="eastAsia" w:ascii="宋体"/>
          <w:color w:val="auto"/>
          <w:sz w:val="24"/>
          <w:highlight w:val="none"/>
        </w:rPr>
        <w:t xml:space="preserve">                </w:t>
      </w:r>
      <w:r>
        <w:rPr>
          <w:rFonts w:hint="eastAsia" w:ascii="宋体" w:hAnsi="宋体"/>
          <w:color w:val="auto"/>
          <w:sz w:val="24"/>
          <w:szCs w:val="21"/>
          <w:highlight w:val="none"/>
        </w:rPr>
        <w:t>投标人名称：</w:t>
      </w:r>
      <w:r>
        <w:rPr>
          <w:rFonts w:ascii="宋体" w:hAnsi="宋体"/>
          <w:color w:val="auto"/>
          <w:sz w:val="24"/>
          <w:szCs w:val="21"/>
          <w:highlight w:val="none"/>
          <w:u w:val="single"/>
        </w:rPr>
        <w:t xml:space="preserve">      </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（盖单位章）</w:t>
      </w:r>
    </w:p>
    <w:p>
      <w:pPr>
        <w:spacing w:line="480" w:lineRule="auto"/>
        <w:ind w:firstLine="480" w:firstLineChars="200"/>
        <w:jc w:val="right"/>
        <w:rPr>
          <w:rFonts w:ascii="宋体" w:hAnsi="宋体"/>
          <w:color w:val="auto"/>
          <w:sz w:val="24"/>
          <w:szCs w:val="21"/>
          <w:highlight w:val="none"/>
        </w:rPr>
      </w:pPr>
      <w:r>
        <w:rPr>
          <w:rFonts w:hint="eastAsia" w:ascii="宋体" w:hAnsi="宋体"/>
          <w:color w:val="auto"/>
          <w:sz w:val="24"/>
          <w:szCs w:val="21"/>
          <w:highlight w:val="none"/>
        </w:rPr>
        <w:t>法定代表人：</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w:t>
      </w:r>
      <w:r>
        <w:rPr>
          <w:rFonts w:hint="eastAsia" w:ascii="宋体" w:hAnsi="宋体"/>
          <w:color w:val="auto"/>
          <w:sz w:val="24"/>
          <w:szCs w:val="21"/>
          <w:highlight w:val="none"/>
          <w:lang w:val="en-US" w:eastAsia="zh-CN"/>
        </w:rPr>
        <w:t>签字或盖章</w:t>
      </w:r>
      <w:r>
        <w:rPr>
          <w:rFonts w:hint="eastAsia" w:ascii="宋体" w:hAnsi="宋体"/>
          <w:color w:val="auto"/>
          <w:sz w:val="24"/>
          <w:szCs w:val="21"/>
          <w:highlight w:val="none"/>
        </w:rPr>
        <w:t>)</w:t>
      </w:r>
    </w:p>
    <w:p>
      <w:pPr>
        <w:spacing w:line="480" w:lineRule="auto"/>
        <w:jc w:val="right"/>
        <w:rPr>
          <w:rFonts w:hint="eastAsia"/>
          <w:b/>
          <w:color w:val="auto"/>
          <w:sz w:val="36"/>
          <w:szCs w:val="28"/>
          <w:highlight w:val="none"/>
        </w:rPr>
      </w:pPr>
      <w:r>
        <w:rPr>
          <w:rFonts w:hint="eastAsia" w:ascii="宋体" w:hAnsi="宋体"/>
          <w:color w:val="auto"/>
          <w:sz w:val="24"/>
          <w:szCs w:val="21"/>
          <w:highlight w:val="none"/>
        </w:rPr>
        <w:t xml:space="preserve">                                  日    期：</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年</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月</w:t>
      </w:r>
      <w:r>
        <w:rPr>
          <w:rFonts w:hint="eastAsia" w:ascii="宋体" w:hAnsi="宋体"/>
          <w:color w:val="auto"/>
          <w:sz w:val="24"/>
          <w:szCs w:val="21"/>
          <w:highlight w:val="none"/>
          <w:u w:val="single"/>
        </w:rPr>
        <w:t xml:space="preserve">      </w:t>
      </w:r>
      <w:r>
        <w:rPr>
          <w:rFonts w:hint="eastAsia" w:ascii="宋体" w:hAnsi="宋体"/>
          <w:color w:val="auto"/>
          <w:sz w:val="24"/>
          <w:szCs w:val="21"/>
          <w:highlight w:val="none"/>
        </w:rPr>
        <w:t>日</w:t>
      </w:r>
    </w:p>
    <w:p>
      <w:pPr>
        <w:pStyle w:val="16"/>
        <w:rPr>
          <w:color w:val="auto"/>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ind w:firstLine="562" w:firstLineChars="200"/>
        <w:rPr>
          <w:rFonts w:hint="eastAsia"/>
          <w:b/>
          <w:color w:val="auto"/>
          <w:sz w:val="28"/>
          <w:szCs w:val="28"/>
          <w:highlight w:val="none"/>
        </w:rPr>
      </w:pPr>
    </w:p>
    <w:p>
      <w:pPr>
        <w:spacing w:line="400" w:lineRule="exact"/>
        <w:rPr>
          <w:b/>
          <w:color w:val="auto"/>
          <w:sz w:val="28"/>
          <w:szCs w:val="28"/>
          <w:highlight w:val="none"/>
        </w:rPr>
      </w:pPr>
    </w:p>
    <w:p>
      <w:pPr>
        <w:pStyle w:val="2"/>
        <w:rPr>
          <w:color w:val="auto"/>
        </w:rPr>
      </w:pPr>
    </w:p>
    <w:p>
      <w:pPr>
        <w:spacing w:line="400" w:lineRule="exact"/>
        <w:ind w:firstLine="562" w:firstLineChars="200"/>
        <w:rPr>
          <w:rFonts w:hint="eastAsia"/>
          <w:b/>
          <w:color w:val="auto"/>
          <w:sz w:val="28"/>
          <w:szCs w:val="28"/>
          <w:highlight w:val="none"/>
        </w:rPr>
      </w:pPr>
    </w:p>
    <w:p>
      <w:pPr>
        <w:spacing w:line="440" w:lineRule="exact"/>
        <w:ind w:left="420"/>
        <w:rPr>
          <w:rFonts w:hint="eastAsia" w:ascii="宋体" w:eastAsia="宋体"/>
          <w:color w:val="auto"/>
          <w:szCs w:val="21"/>
          <w:highlight w:val="none"/>
        </w:rPr>
      </w:pPr>
    </w:p>
    <w:p>
      <w:pPr>
        <w:spacing w:line="360" w:lineRule="exact"/>
        <w:ind w:firstLine="443" w:firstLineChars="147"/>
        <w:rPr>
          <w:rFonts w:hint="eastAsia" w:ascii="宋体" w:hAnsi="宋体"/>
          <w:b/>
          <w:color w:val="auto"/>
          <w:sz w:val="30"/>
          <w:szCs w:val="30"/>
          <w:highlight w:val="none"/>
        </w:rPr>
      </w:pPr>
    </w:p>
    <w:p>
      <w:pPr>
        <w:rPr>
          <w:rFonts w:hint="eastAsia" w:ascii="宋体" w:hAnsi="宋体"/>
          <w:b/>
          <w:color w:val="auto"/>
          <w:sz w:val="30"/>
          <w:szCs w:val="30"/>
          <w:highlight w:val="none"/>
        </w:rPr>
      </w:pPr>
      <w:r>
        <w:rPr>
          <w:rFonts w:hint="eastAsia" w:ascii="宋体" w:hAnsi="宋体"/>
          <w:b/>
          <w:color w:val="auto"/>
          <w:sz w:val="30"/>
          <w:szCs w:val="30"/>
          <w:highlight w:val="none"/>
        </w:rPr>
        <w:br w:type="page"/>
      </w:r>
    </w:p>
    <w:p>
      <w:pPr>
        <w:spacing w:line="360" w:lineRule="exact"/>
        <w:ind w:firstLine="443" w:firstLineChars="147"/>
        <w:rPr>
          <w:rFonts w:hint="eastAsia" w:ascii="宋体" w:hAnsi="宋体" w:eastAsia="宋体"/>
          <w:b/>
          <w:color w:val="auto"/>
          <w:sz w:val="30"/>
          <w:szCs w:val="30"/>
          <w:highlight w:val="none"/>
          <w:lang w:val="en-US"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4</w:t>
      </w:r>
    </w:p>
    <w:p>
      <w:pPr>
        <w:spacing w:line="360" w:lineRule="exact"/>
        <w:ind w:firstLine="472" w:firstLineChars="147"/>
        <w:jc w:val="center"/>
        <w:rPr>
          <w:rFonts w:hint="eastAsia" w:ascii="宋体"/>
          <w:b/>
          <w:color w:val="auto"/>
          <w:sz w:val="32"/>
          <w:szCs w:val="32"/>
          <w:highlight w:val="none"/>
        </w:rPr>
      </w:pPr>
    </w:p>
    <w:p>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开标一览表</w:t>
      </w:r>
    </w:p>
    <w:p>
      <w:pPr>
        <w:spacing w:line="360" w:lineRule="exact"/>
        <w:ind w:firstLine="354" w:firstLineChars="147"/>
        <w:rPr>
          <w:rFonts w:hint="eastAsia" w:ascii="宋体"/>
          <w:b/>
          <w:color w:val="auto"/>
          <w:sz w:val="24"/>
          <w:highlight w:val="none"/>
        </w:rPr>
      </w:pPr>
    </w:p>
    <w:p>
      <w:pPr>
        <w:spacing w:line="360" w:lineRule="exact"/>
        <w:ind w:firstLine="240" w:firstLineChars="100"/>
        <w:rPr>
          <w:rFonts w:hint="eastAsia" w:ascii="宋体"/>
          <w:color w:val="auto"/>
          <w:sz w:val="24"/>
          <w:highlight w:val="none"/>
        </w:rPr>
      </w:pPr>
      <w:r>
        <w:rPr>
          <w:rFonts w:hint="eastAsia" w:ascii="宋体"/>
          <w:color w:val="auto"/>
          <w:sz w:val="24"/>
          <w:highlight w:val="none"/>
        </w:rPr>
        <w:t>（注：开标一览表必须编入投标文件，唱标时，以投标文件中的开标一览表进行唱标）</w:t>
      </w:r>
    </w:p>
    <w:p>
      <w:pPr>
        <w:snapToGrid w:val="0"/>
        <w:spacing w:line="460" w:lineRule="exact"/>
        <w:ind w:left="2940" w:leftChars="1400" w:firstLine="720" w:firstLineChars="300"/>
        <w:rPr>
          <w:rFonts w:hint="eastAsia" w:ascii="宋体"/>
          <w:color w:val="auto"/>
          <w:sz w:val="24"/>
          <w:highlight w:val="none"/>
        </w:rPr>
      </w:pPr>
    </w:p>
    <w:tbl>
      <w:tblPr>
        <w:tblStyle w:val="34"/>
        <w:tblW w:w="0" w:type="auto"/>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1803"/>
        <w:gridCol w:w="695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350" w:hRule="exact"/>
        </w:trPr>
        <w:tc>
          <w:tcPr>
            <w:tcW w:w="1803" w:type="dxa"/>
            <w:tcBorders>
              <w:top w:val="single" w:color="auto" w:sz="12" w:space="0"/>
              <w:bottom w:val="single" w:color="auto" w:sz="12" w:space="0"/>
              <w:right w:val="single" w:color="auto" w:sz="12" w:space="0"/>
            </w:tcBorders>
            <w:noWrap w:val="0"/>
            <w:vAlign w:val="center"/>
          </w:tcPr>
          <w:p>
            <w:pPr>
              <w:spacing w:line="460" w:lineRule="exact"/>
              <w:jc w:val="center"/>
              <w:rPr>
                <w:rFonts w:hint="eastAsia" w:ascii="宋体"/>
                <w:color w:val="auto"/>
                <w:sz w:val="24"/>
                <w:highlight w:val="none"/>
              </w:rPr>
            </w:pPr>
            <w:r>
              <w:rPr>
                <w:rFonts w:hint="eastAsia" w:ascii="宋体"/>
                <w:color w:val="auto"/>
                <w:sz w:val="24"/>
                <w:highlight w:val="none"/>
              </w:rPr>
              <w:t>项目名称</w:t>
            </w:r>
          </w:p>
        </w:tc>
        <w:tc>
          <w:tcPr>
            <w:tcW w:w="6952" w:type="dxa"/>
            <w:tcBorders>
              <w:top w:val="single" w:color="auto" w:sz="12" w:space="0"/>
              <w:left w:val="single" w:color="auto" w:sz="12" w:space="0"/>
              <w:bottom w:val="single" w:color="auto" w:sz="12" w:space="0"/>
            </w:tcBorders>
            <w:noWrap w:val="0"/>
            <w:vAlign w:val="center"/>
          </w:tcPr>
          <w:p>
            <w:pPr>
              <w:spacing w:line="360" w:lineRule="auto"/>
              <w:jc w:val="left"/>
              <w:rPr>
                <w:rFonts w:hint="eastAsia"/>
                <w:color w:val="auto"/>
                <w:sz w:val="24"/>
                <w:highlight w:val="none"/>
              </w:rPr>
            </w:pPr>
            <w:r>
              <w:rPr>
                <w:rFonts w:hint="eastAsia"/>
                <w:color w:val="auto"/>
                <w:sz w:val="24"/>
                <w:highlight w:val="none"/>
              </w:rPr>
              <w:t xml:space="preserve">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22" w:hRule="exact"/>
        </w:trPr>
        <w:tc>
          <w:tcPr>
            <w:tcW w:w="1803" w:type="dxa"/>
            <w:tcBorders>
              <w:top w:val="single" w:color="auto" w:sz="12" w:space="0"/>
              <w:right w:val="single" w:color="auto" w:sz="12" w:space="0"/>
            </w:tcBorders>
            <w:noWrap w:val="0"/>
            <w:vAlign w:val="center"/>
          </w:tcPr>
          <w:p>
            <w:pPr>
              <w:spacing w:line="460" w:lineRule="exact"/>
              <w:jc w:val="center"/>
              <w:rPr>
                <w:rFonts w:hint="eastAsia" w:ascii="宋体"/>
                <w:color w:val="auto"/>
                <w:sz w:val="24"/>
                <w:highlight w:val="none"/>
              </w:rPr>
            </w:pPr>
            <w:r>
              <w:rPr>
                <w:rFonts w:hint="eastAsia" w:ascii="宋体"/>
                <w:color w:val="auto"/>
                <w:sz w:val="24"/>
                <w:highlight w:val="none"/>
              </w:rPr>
              <w:t>项目编号</w:t>
            </w:r>
          </w:p>
        </w:tc>
        <w:tc>
          <w:tcPr>
            <w:tcW w:w="6952" w:type="dxa"/>
            <w:tcBorders>
              <w:top w:val="single" w:color="auto" w:sz="12" w:space="0"/>
              <w:left w:val="single" w:color="auto" w:sz="12" w:space="0"/>
            </w:tcBorders>
            <w:noWrap w:val="0"/>
            <w:vAlign w:val="center"/>
          </w:tcPr>
          <w:p>
            <w:pPr>
              <w:rPr>
                <w:rFonts w:hint="eastAsia" w:ascii="宋体"/>
                <w:color w:val="auto"/>
                <w:sz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1118" w:hRule="exact"/>
        </w:trPr>
        <w:tc>
          <w:tcPr>
            <w:tcW w:w="1803" w:type="dxa"/>
            <w:tcBorders>
              <w:right w:val="single" w:color="auto" w:sz="12" w:space="0"/>
            </w:tcBorders>
            <w:noWrap w:val="0"/>
            <w:vAlign w:val="center"/>
          </w:tcPr>
          <w:p>
            <w:pPr>
              <w:spacing w:line="460" w:lineRule="exact"/>
              <w:ind w:firstLine="120" w:firstLineChars="50"/>
              <w:rPr>
                <w:rFonts w:hint="eastAsia" w:ascii="宋体"/>
                <w:color w:val="auto"/>
                <w:sz w:val="24"/>
                <w:highlight w:val="none"/>
              </w:rPr>
            </w:pPr>
            <w:r>
              <w:rPr>
                <w:rFonts w:hint="eastAsia" w:ascii="宋体"/>
                <w:color w:val="auto"/>
                <w:sz w:val="24"/>
                <w:highlight w:val="none"/>
              </w:rPr>
              <w:t>投标人名称</w:t>
            </w:r>
          </w:p>
        </w:tc>
        <w:tc>
          <w:tcPr>
            <w:tcW w:w="6952" w:type="dxa"/>
            <w:tcBorders>
              <w:left w:val="single" w:color="auto" w:sz="12" w:space="0"/>
            </w:tcBorders>
            <w:noWrap w:val="0"/>
            <w:vAlign w:val="top"/>
          </w:tcPr>
          <w:p>
            <w:pPr>
              <w:pStyle w:val="19"/>
              <w:spacing w:line="460" w:lineRule="exact"/>
              <w:ind w:left="86" w:leftChars="41"/>
              <w:rPr>
                <w:rFonts w:hint="eastAsia" w:ascii="宋体" w:eastAsia="宋体"/>
                <w:color w:val="auto"/>
                <w:sz w:val="24"/>
                <w:szCs w:val="24"/>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641" w:hRule="exact"/>
        </w:trPr>
        <w:tc>
          <w:tcPr>
            <w:tcW w:w="1803" w:type="dxa"/>
            <w:tcBorders>
              <w:right w:val="single" w:color="auto" w:sz="12" w:space="0"/>
            </w:tcBorders>
            <w:noWrap w:val="0"/>
            <w:vAlign w:val="center"/>
          </w:tcPr>
          <w:p>
            <w:pPr>
              <w:spacing w:line="360" w:lineRule="auto"/>
              <w:jc w:val="center"/>
              <w:rPr>
                <w:rFonts w:ascii="宋体"/>
                <w:color w:val="auto"/>
                <w:sz w:val="24"/>
                <w:highlight w:val="none"/>
              </w:rPr>
            </w:pPr>
            <w:r>
              <w:rPr>
                <w:rFonts w:hint="eastAsia" w:ascii="宋体"/>
                <w:color w:val="auto"/>
                <w:sz w:val="24"/>
                <w:highlight w:val="none"/>
              </w:rPr>
              <w:t>总投标价\</w:t>
            </w:r>
            <w:r>
              <w:rPr>
                <w:rFonts w:hint="eastAsia" w:ascii="宋体"/>
                <w:color w:val="auto"/>
                <w:sz w:val="24"/>
                <w:highlight w:val="none"/>
                <w:lang w:val="en-US" w:eastAsia="zh-CN"/>
              </w:rPr>
              <w:t>服务</w:t>
            </w:r>
            <w:r>
              <w:rPr>
                <w:rFonts w:hint="eastAsia" w:ascii="宋体"/>
                <w:color w:val="auto"/>
                <w:sz w:val="24"/>
                <w:highlight w:val="none"/>
              </w:rPr>
              <w:t>期</w:t>
            </w:r>
          </w:p>
        </w:tc>
        <w:tc>
          <w:tcPr>
            <w:tcW w:w="6952" w:type="dxa"/>
            <w:tcBorders>
              <w:left w:val="single" w:color="auto" w:sz="12" w:space="0"/>
            </w:tcBorders>
            <w:noWrap w:val="0"/>
            <w:vAlign w:val="center"/>
          </w:tcPr>
          <w:p>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ascii="宋体"/>
                <w:color w:val="auto"/>
                <w:sz w:val="24"/>
                <w:highlight w:val="none"/>
              </w:rPr>
            </w:pPr>
            <w:r>
              <w:rPr>
                <w:rFonts w:hint="eastAsia" w:ascii="宋体"/>
                <w:color w:val="auto"/>
                <w:sz w:val="24"/>
                <w:highlight w:val="none"/>
              </w:rPr>
              <w:t>投标报价 （大写）：</w:t>
            </w:r>
            <w:r>
              <w:rPr>
                <w:rFonts w:hint="eastAsia" w:ascii="宋体"/>
                <w:color w:val="auto"/>
                <w:sz w:val="24"/>
                <w:highlight w:val="none"/>
                <w:u w:val="single"/>
              </w:rPr>
              <w:t xml:space="preserve">                   </w:t>
            </w:r>
            <w:r>
              <w:rPr>
                <w:rFonts w:hint="eastAsia" w:ascii="宋体"/>
                <w:color w:val="auto"/>
                <w:sz w:val="24"/>
                <w:highlight w:val="none"/>
              </w:rPr>
              <w:t>；</w:t>
            </w:r>
          </w:p>
          <w:p>
            <w:pPr>
              <w:keepNext w:val="0"/>
              <w:keepLines w:val="0"/>
              <w:pageBreakBefore w:val="0"/>
              <w:widowControl w:val="0"/>
              <w:kinsoku/>
              <w:wordWrap/>
              <w:overflowPunct/>
              <w:topLinePunct w:val="0"/>
              <w:autoSpaceDE/>
              <w:autoSpaceDN/>
              <w:bidi w:val="0"/>
              <w:adjustRightInd/>
              <w:snapToGrid/>
              <w:spacing w:line="900" w:lineRule="exact"/>
              <w:ind w:firstLine="1200" w:firstLineChars="500"/>
              <w:textAlignment w:val="auto"/>
              <w:rPr>
                <w:rFonts w:hint="eastAsia" w:ascii="宋体"/>
                <w:color w:val="auto"/>
                <w:sz w:val="24"/>
                <w:highlight w:val="none"/>
              </w:rPr>
            </w:pPr>
            <w:r>
              <w:rPr>
                <w:rFonts w:hint="eastAsia" w:ascii="宋体"/>
                <w:color w:val="auto"/>
                <w:sz w:val="24"/>
                <w:highlight w:val="none"/>
              </w:rPr>
              <w:t>(小写) ：</w:t>
            </w:r>
            <w:r>
              <w:rPr>
                <w:rFonts w:hint="eastAsia" w:ascii="宋体"/>
                <w:color w:val="auto"/>
                <w:sz w:val="24"/>
                <w:highlight w:val="none"/>
                <w:u w:val="single"/>
              </w:rPr>
              <w:t xml:space="preserve">                   </w:t>
            </w:r>
            <w:r>
              <w:rPr>
                <w:rFonts w:hint="eastAsia" w:ascii="宋体"/>
                <w:color w:val="auto"/>
                <w:sz w:val="24"/>
                <w:highlight w:val="none"/>
              </w:rPr>
              <w:t>；</w:t>
            </w:r>
          </w:p>
          <w:p>
            <w:pPr>
              <w:pStyle w:val="2"/>
              <w:keepNext w:val="0"/>
              <w:keepLines w:val="0"/>
              <w:pageBreakBefore w:val="0"/>
              <w:widowControl w:val="0"/>
              <w:kinsoku/>
              <w:wordWrap/>
              <w:overflowPunct/>
              <w:topLinePunct w:val="0"/>
              <w:autoSpaceDE/>
              <w:autoSpaceDN/>
              <w:bidi w:val="0"/>
              <w:adjustRightInd/>
              <w:snapToGrid/>
              <w:spacing w:after="0" w:line="900" w:lineRule="exact"/>
              <w:ind w:left="0" w:leftChars="0" w:firstLine="0" w:firstLineChars="0"/>
              <w:textAlignment w:val="auto"/>
              <w:rPr>
                <w:rFonts w:hint="eastAsia" w:eastAsia="宋体"/>
                <w:color w:val="auto"/>
                <w:lang w:val="en-US" w:eastAsia="zh-CN"/>
              </w:rPr>
            </w:pPr>
            <w:r>
              <w:rPr>
                <w:rFonts w:hint="eastAsia" w:ascii="宋体"/>
                <w:color w:val="auto"/>
                <w:sz w:val="24"/>
                <w:highlight w:val="none"/>
                <w:lang w:val="en-US" w:eastAsia="zh-CN"/>
              </w:rPr>
              <w:t>其中：发票类型</w:t>
            </w:r>
            <w:r>
              <w:rPr>
                <w:rFonts w:hint="eastAsia" w:ascii="宋体"/>
                <w:color w:val="auto"/>
                <w:sz w:val="24"/>
                <w:highlight w:val="none"/>
                <w:u w:val="single"/>
                <w:lang w:val="en-US" w:eastAsia="zh-CN"/>
              </w:rPr>
              <w:t xml:space="preserve">：       </w:t>
            </w:r>
            <w:r>
              <w:rPr>
                <w:rFonts w:hint="eastAsia" w:ascii="宋体"/>
                <w:color w:val="auto"/>
                <w:sz w:val="24"/>
                <w:highlight w:val="none"/>
                <w:lang w:val="en-US" w:eastAsia="zh-CN"/>
              </w:rPr>
              <w:t>、发票税率：</w:t>
            </w:r>
            <w:r>
              <w:rPr>
                <w:rFonts w:hint="eastAsia" w:ascii="宋体"/>
                <w:color w:val="auto"/>
                <w:sz w:val="24"/>
                <w:highlight w:val="none"/>
                <w:u w:val="single"/>
                <w:lang w:val="en-US" w:eastAsia="zh-CN"/>
              </w:rPr>
              <w:t xml:space="preserve">    </w:t>
            </w:r>
            <w:r>
              <w:rPr>
                <w:rFonts w:hint="eastAsia" w:ascii="宋体"/>
                <w:color w:val="auto"/>
                <w:sz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900" w:lineRule="exact"/>
              <w:textAlignment w:val="auto"/>
              <w:rPr>
                <w:rFonts w:hint="eastAsia"/>
                <w:color w:val="auto"/>
                <w:sz w:val="24"/>
                <w:highlight w:val="none"/>
              </w:rPr>
            </w:pPr>
            <w:r>
              <w:rPr>
                <w:rFonts w:hint="eastAsia" w:ascii="宋体"/>
                <w:color w:val="auto"/>
                <w:sz w:val="24"/>
                <w:highlight w:val="none"/>
                <w:lang w:val="en-US" w:eastAsia="zh-CN"/>
              </w:rPr>
              <w:t>服务期</w:t>
            </w:r>
            <w:r>
              <w:rPr>
                <w:rFonts w:hint="eastAsia" w:ascii="宋体"/>
                <w:color w:val="auto"/>
                <w:sz w:val="24"/>
                <w:highlight w:val="none"/>
              </w:rPr>
              <w:t>：</w:t>
            </w:r>
            <w:r>
              <w:rPr>
                <w:rFonts w:hint="eastAsia" w:ascii="宋体"/>
                <w:color w:val="auto"/>
                <w:sz w:val="24"/>
                <w:highlight w:val="none"/>
                <w:lang w:val="en-US" w:eastAsia="zh-CN"/>
              </w:rPr>
              <w:t xml:space="preserve">一年 </w:t>
            </w:r>
          </w:p>
        </w:tc>
      </w:tr>
    </w:tbl>
    <w:p>
      <w:pPr>
        <w:snapToGrid w:val="0"/>
        <w:spacing w:line="460" w:lineRule="exact"/>
        <w:ind w:left="2940" w:leftChars="1400" w:firstLine="723" w:firstLineChars="300"/>
        <w:rPr>
          <w:rFonts w:hint="eastAsia" w:ascii="宋体"/>
          <w:b/>
          <w:color w:val="auto"/>
          <w:sz w:val="24"/>
          <w:highlight w:val="none"/>
        </w:rPr>
      </w:pPr>
    </w:p>
    <w:p>
      <w:pPr>
        <w:rPr>
          <w:rFonts w:hint="eastAsia" w:ascii="宋体"/>
          <w:color w:val="auto"/>
          <w:sz w:val="24"/>
          <w:highlight w:val="none"/>
        </w:rPr>
      </w:pPr>
      <w:r>
        <w:rPr>
          <w:rFonts w:hint="eastAsia" w:ascii="宋体"/>
          <w:color w:val="auto"/>
          <w:sz w:val="24"/>
          <w:highlight w:val="none"/>
        </w:rPr>
        <w:t>法定代表人（</w:t>
      </w:r>
      <w:r>
        <w:rPr>
          <w:rFonts w:hint="eastAsia" w:ascii="宋体"/>
          <w:color w:val="auto"/>
          <w:sz w:val="24"/>
          <w:highlight w:val="none"/>
          <w:lang w:val="en-US" w:eastAsia="zh-CN"/>
        </w:rPr>
        <w:t>盖章</w:t>
      </w:r>
      <w:r>
        <w:rPr>
          <w:rFonts w:hint="eastAsia" w:ascii="宋体"/>
          <w:color w:val="auto"/>
          <w:sz w:val="24"/>
          <w:highlight w:val="none"/>
        </w:rPr>
        <w:t>）：         投标人（盖单位章）：</w:t>
      </w:r>
    </w:p>
    <w:p>
      <w:pPr>
        <w:snapToGrid w:val="0"/>
        <w:spacing w:before="312" w:beforeLines="100" w:after="312" w:afterLines="100" w:line="360" w:lineRule="auto"/>
        <w:jc w:val="center"/>
        <w:rPr>
          <w:rFonts w:cs="Arial"/>
          <w:b/>
          <w:bCs/>
          <w:color w:val="auto"/>
          <w:sz w:val="30"/>
          <w:szCs w:val="30"/>
          <w:highlight w:val="none"/>
        </w:rPr>
        <w:sectPr>
          <w:headerReference r:id="rId9" w:type="default"/>
          <w:footerReference r:id="rId10" w:type="default"/>
          <w:pgSz w:w="11906" w:h="16838"/>
          <w:pgMar w:top="1440" w:right="1800" w:bottom="1440" w:left="1800" w:header="851" w:footer="992" w:gutter="0"/>
          <w:pgNumType w:fmt="numberInDash"/>
          <w:cols w:space="720" w:num="1"/>
          <w:docGrid w:type="lines" w:linePitch="312" w:charSpace="0"/>
        </w:sectPr>
      </w:pPr>
      <w:r>
        <w:rPr>
          <w:rFonts w:hint="eastAsia" w:ascii="宋体"/>
          <w:color w:val="auto"/>
          <w:sz w:val="24"/>
          <w:highlight w:val="none"/>
        </w:rPr>
        <w:t xml:space="preserve">                                      日  期：</w:t>
      </w:r>
      <w:r>
        <w:rPr>
          <w:rFonts w:hint="eastAsia" w:ascii="宋体" w:hAnsi="宋体"/>
          <w:color w:val="auto"/>
          <w:sz w:val="24"/>
          <w:highlight w:val="none"/>
          <w:u w:val="single"/>
        </w:rPr>
        <w:t xml:space="preserve">      </w:t>
      </w:r>
      <w:r>
        <w:rPr>
          <w:rFonts w:hint="eastAsia" w:ascii="宋体"/>
          <w:color w:val="auto"/>
          <w:sz w:val="24"/>
          <w:highlight w:val="none"/>
        </w:rPr>
        <w:t>年</w:t>
      </w:r>
      <w:r>
        <w:rPr>
          <w:rFonts w:hint="eastAsia" w:ascii="宋体" w:hAnsi="宋体"/>
          <w:color w:val="auto"/>
          <w:sz w:val="24"/>
          <w:highlight w:val="none"/>
          <w:u w:val="single"/>
        </w:rPr>
        <w:t xml:space="preserve">   </w:t>
      </w:r>
      <w:r>
        <w:rPr>
          <w:rFonts w:hint="eastAsia" w:ascii="宋体"/>
          <w:color w:val="auto"/>
          <w:sz w:val="24"/>
          <w:highlight w:val="none"/>
        </w:rPr>
        <w:t>月</w:t>
      </w:r>
      <w:r>
        <w:rPr>
          <w:rFonts w:hint="eastAsia" w:ascii="宋体" w:hAnsi="宋体"/>
          <w:color w:val="auto"/>
          <w:sz w:val="24"/>
          <w:highlight w:val="none"/>
          <w:u w:val="single"/>
        </w:rPr>
        <w:t xml:space="preserve">   </w:t>
      </w:r>
      <w:r>
        <w:rPr>
          <w:rFonts w:hint="eastAsia" w:ascii="宋体"/>
          <w:color w:val="auto"/>
          <w:sz w:val="24"/>
          <w:highlight w:val="none"/>
        </w:rPr>
        <w:t xml:space="preserve">日 </w:t>
      </w:r>
    </w:p>
    <w:p>
      <w:pPr>
        <w:spacing w:line="360" w:lineRule="exact"/>
        <w:ind w:firstLine="443" w:firstLineChars="147"/>
        <w:rPr>
          <w:rFonts w:hint="eastAsia" w:ascii="宋体"/>
          <w:b/>
          <w:color w:val="auto"/>
          <w:sz w:val="30"/>
          <w:szCs w:val="30"/>
          <w:highlight w:val="none"/>
        </w:rPr>
      </w:pPr>
    </w:p>
    <w:p>
      <w:pPr>
        <w:spacing w:line="360" w:lineRule="exact"/>
        <w:ind w:firstLine="443" w:firstLineChars="147"/>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5</w:t>
      </w:r>
    </w:p>
    <w:p>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投  标  函</w:t>
      </w:r>
    </w:p>
    <w:p>
      <w:pPr>
        <w:spacing w:line="440" w:lineRule="exact"/>
        <w:rPr>
          <w:rFonts w:hint="eastAsia" w:ascii="宋体"/>
          <w:color w:val="auto"/>
          <w:sz w:val="24"/>
          <w:highlight w:val="none"/>
        </w:rPr>
      </w:pPr>
    </w:p>
    <w:p>
      <w:pPr>
        <w:spacing w:line="50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1.我们决定参加贵单位组织的“</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rPr>
        <w:t>（编号：</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 xml:space="preserve">标包”的采购。我方授权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(姓名和职务)代表我方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（投标人的名称）全权处理本项目投标的有关事宜。</w:t>
      </w:r>
    </w:p>
    <w:p>
      <w:pPr>
        <w:spacing w:line="440" w:lineRule="exact"/>
        <w:ind w:firstLine="480" w:firstLineChars="200"/>
        <w:rPr>
          <w:rFonts w:hint="default" w:ascii="宋体" w:hAnsi="宋体" w:cs="宋体"/>
          <w:color w:val="auto"/>
          <w:sz w:val="24"/>
          <w:highlight w:val="none"/>
          <w:lang w:val="en-US" w:eastAsia="zh-CN"/>
        </w:rPr>
      </w:pPr>
      <w:r>
        <w:rPr>
          <w:rFonts w:hint="eastAsia" w:ascii="宋体" w:hAnsi="宋体" w:cs="宋体"/>
          <w:color w:val="auto"/>
          <w:sz w:val="24"/>
          <w:highlight w:val="none"/>
        </w:rPr>
        <w:t>2.我方愿意按照招标文件规定的各项要求，向</w:t>
      </w:r>
      <w:r>
        <w:rPr>
          <w:rFonts w:hint="eastAsia" w:ascii="宋体" w:hAnsi="宋体" w:cs="宋体"/>
          <w:color w:val="auto"/>
          <w:sz w:val="24"/>
          <w:highlight w:val="none"/>
          <w:lang w:eastAsia="zh-CN"/>
        </w:rPr>
        <w:t>招标人</w:t>
      </w:r>
      <w:r>
        <w:rPr>
          <w:rFonts w:hint="eastAsia" w:ascii="宋体" w:hAnsi="宋体" w:cs="宋体"/>
          <w:color w:val="auto"/>
          <w:sz w:val="24"/>
          <w:highlight w:val="none"/>
        </w:rPr>
        <w:t xml:space="preserve">提供“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（项目编号）”项目的货物与服务，总投标价为人民币（大写）</w:t>
      </w:r>
      <w:r>
        <w:rPr>
          <w:rFonts w:hint="eastAsia" w:ascii="宋体" w:hAnsi="宋体" w:cs="宋体"/>
          <w:color w:val="auto"/>
          <w:sz w:val="24"/>
          <w:highlight w:val="none"/>
          <w:u w:val="single"/>
        </w:rPr>
        <w:t xml:space="preserve">             </w:t>
      </w:r>
      <w:r>
        <w:rPr>
          <w:rFonts w:hint="eastAsia" w:ascii="宋体" w:hAnsi="宋体" w:cs="宋体"/>
          <w:color w:val="auto"/>
          <w:sz w:val="24"/>
          <w:highlight w:val="none"/>
          <w:lang w:eastAsia="zh-CN"/>
        </w:rPr>
        <w:t>（</w:t>
      </w:r>
      <w:r>
        <w:rPr>
          <w:rFonts w:hint="eastAsia" w:ascii="宋体" w:hAnsi="宋体" w:cs="宋体"/>
          <w:color w:val="auto"/>
          <w:sz w:val="24"/>
          <w:highlight w:val="none"/>
          <w:lang w:val="en-US" w:eastAsia="zh-CN"/>
        </w:rPr>
        <w:t>小写）</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lang w:val="en-US" w:eastAsia="zh-CN"/>
        </w:rPr>
        <w:t>元，</w:t>
      </w:r>
      <w:r>
        <w:rPr>
          <w:rFonts w:hint="eastAsia" w:ascii="宋体" w:hAnsi="宋体" w:eastAsia="宋体" w:cs="宋体"/>
          <w:color w:val="auto"/>
          <w:sz w:val="24"/>
          <w:szCs w:val="24"/>
          <w:highlight w:val="none"/>
          <w:u w:val="none"/>
          <w:lang w:eastAsia="zh-CN"/>
        </w:rPr>
        <w:t>（</w:t>
      </w:r>
      <w:r>
        <w:rPr>
          <w:rFonts w:hint="eastAsia" w:ascii="宋体" w:hAnsi="宋体" w:eastAsia="宋体" w:cs="宋体"/>
          <w:color w:val="auto"/>
          <w:sz w:val="24"/>
          <w:szCs w:val="24"/>
          <w:highlight w:val="none"/>
          <w:u w:val="none"/>
          <w:lang w:val="en-US" w:eastAsia="zh-CN"/>
        </w:rPr>
        <w:t>发票类型：</w:t>
      </w:r>
      <w:r>
        <w:rPr>
          <w:rFonts w:hint="eastAsia" w:ascii="宋体" w:hAnsi="宋体" w:eastAsia="宋体" w:cs="宋体"/>
          <w:color w:val="auto"/>
          <w:sz w:val="24"/>
          <w:szCs w:val="24"/>
          <w:highlight w:val="none"/>
          <w:u w:val="single"/>
          <w:lang w:val="en-US" w:eastAsia="zh-CN"/>
        </w:rPr>
        <w:t xml:space="preserve">       </w:t>
      </w:r>
      <w:r>
        <w:rPr>
          <w:rFonts w:hint="eastAsia" w:ascii="宋体" w:hAnsi="宋体" w:cs="宋体"/>
          <w:color w:val="auto"/>
          <w:sz w:val="24"/>
          <w:szCs w:val="24"/>
          <w:highlight w:val="none"/>
          <w:u w:val="none"/>
          <w:lang w:val="en-US" w:eastAsia="zh-CN"/>
        </w:rPr>
        <w:t>、发票</w:t>
      </w:r>
      <w:r>
        <w:rPr>
          <w:rFonts w:hint="eastAsia" w:ascii="宋体" w:hAnsi="宋体" w:eastAsia="宋体" w:cs="宋体"/>
          <w:color w:val="auto"/>
          <w:sz w:val="24"/>
          <w:szCs w:val="24"/>
          <w:highlight w:val="none"/>
          <w:u w:val="none"/>
          <w:lang w:val="en-US" w:eastAsia="zh-CN"/>
        </w:rPr>
        <w:t>税率：</w:t>
      </w:r>
      <w:r>
        <w:rPr>
          <w:rFonts w:hint="eastAsia" w:ascii="宋体" w:hAnsi="宋体" w:eastAsia="宋体" w:cs="宋体"/>
          <w:color w:val="auto"/>
          <w:sz w:val="24"/>
          <w:szCs w:val="24"/>
          <w:highlight w:val="none"/>
          <w:u w:val="single"/>
          <w:lang w:val="en-US" w:eastAsia="zh-CN"/>
        </w:rPr>
        <w:t xml:space="preserve">   %）</w:t>
      </w:r>
      <w:r>
        <w:rPr>
          <w:rFonts w:hint="eastAsia" w:ascii="宋体" w:hAnsi="宋体" w:eastAsia="宋体" w:cs="宋体"/>
          <w:color w:val="auto"/>
          <w:sz w:val="24"/>
          <w:szCs w:val="24"/>
          <w:highlight w:val="none"/>
          <w:lang w:val="en-US" w:eastAsia="zh-CN"/>
        </w:rPr>
        <w:t>。</w:t>
      </w:r>
      <w:r>
        <w:rPr>
          <w:rFonts w:hint="eastAsia" w:ascii="宋体" w:hAnsi="宋体" w:cs="宋体"/>
          <w:color w:val="auto"/>
          <w:sz w:val="24"/>
          <w:highlight w:val="none"/>
          <w:lang w:val="en-US" w:eastAsia="zh-CN"/>
        </w:rPr>
        <w:t xml:space="preserve">  </w:t>
      </w:r>
    </w:p>
    <w:p>
      <w:pPr>
        <w:spacing w:line="440" w:lineRule="exact"/>
        <w:ind w:firstLine="480" w:firstLineChars="200"/>
        <w:rPr>
          <w:rFonts w:hint="eastAsia" w:ascii="宋体"/>
          <w:color w:val="auto"/>
          <w:sz w:val="24"/>
          <w:highlight w:val="none"/>
        </w:rPr>
      </w:pPr>
      <w:r>
        <w:rPr>
          <w:rFonts w:hint="eastAsia" w:ascii="宋体"/>
          <w:color w:val="auto"/>
          <w:sz w:val="24"/>
          <w:highlight w:val="none"/>
        </w:rPr>
        <w:t>3.一旦我方成为合同签字人，我方将严格履行合同规定的责任和义务。</w:t>
      </w:r>
    </w:p>
    <w:p>
      <w:pPr>
        <w:spacing w:line="440" w:lineRule="exact"/>
        <w:ind w:firstLine="480" w:firstLineChars="200"/>
        <w:rPr>
          <w:rFonts w:hint="eastAsia" w:ascii="宋体"/>
          <w:color w:val="auto"/>
          <w:sz w:val="24"/>
          <w:highlight w:val="none"/>
        </w:rPr>
      </w:pPr>
      <w:r>
        <w:rPr>
          <w:rFonts w:hint="eastAsia" w:ascii="宋体"/>
          <w:color w:val="auto"/>
          <w:sz w:val="24"/>
          <w:highlight w:val="none"/>
        </w:rPr>
        <w:t>4.我方愿意提供可能另外要求的、与采购投标有关的文件资料，并保证我方已提供和将要提供的文件是真实的、准确的。</w:t>
      </w:r>
    </w:p>
    <w:p>
      <w:pPr>
        <w:spacing w:line="440" w:lineRule="exact"/>
        <w:ind w:firstLine="480" w:firstLineChars="200"/>
        <w:rPr>
          <w:rFonts w:hint="eastAsia" w:ascii="宋体"/>
          <w:color w:val="auto"/>
          <w:sz w:val="24"/>
          <w:highlight w:val="none"/>
        </w:rPr>
      </w:pPr>
      <w:r>
        <w:rPr>
          <w:rFonts w:hint="eastAsia" w:ascii="宋体"/>
          <w:color w:val="auto"/>
          <w:sz w:val="24"/>
          <w:highlight w:val="none"/>
        </w:rPr>
        <w:t>5、投标有效期为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60</w:t>
      </w:r>
      <w:r>
        <w:rPr>
          <w:rFonts w:hint="eastAsia" w:ascii="宋体"/>
          <w:color w:val="auto"/>
          <w:sz w:val="24"/>
          <w:highlight w:val="none"/>
          <w:u w:val="single"/>
        </w:rPr>
        <w:t xml:space="preserve"> </w:t>
      </w:r>
      <w:r>
        <w:rPr>
          <w:rFonts w:hint="eastAsia" w:ascii="宋体"/>
          <w:color w:val="auto"/>
          <w:sz w:val="24"/>
          <w:highlight w:val="none"/>
        </w:rPr>
        <w:t>日历天（从投标截止之日算起）。</w:t>
      </w:r>
    </w:p>
    <w:p>
      <w:pPr>
        <w:spacing w:line="440" w:lineRule="exact"/>
        <w:ind w:firstLine="480" w:firstLineChars="200"/>
        <w:rPr>
          <w:rFonts w:hint="eastAsia" w:ascii="宋体"/>
          <w:color w:val="auto"/>
          <w:sz w:val="24"/>
          <w:highlight w:val="none"/>
        </w:rPr>
      </w:pPr>
      <w:r>
        <w:rPr>
          <w:rFonts w:hint="eastAsia" w:ascii="宋体"/>
          <w:color w:val="auto"/>
          <w:sz w:val="24"/>
          <w:highlight w:val="none"/>
        </w:rPr>
        <w:t>6、我单位提供如下通讯地址：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pPr>
        <w:spacing w:line="440" w:lineRule="exact"/>
        <w:rPr>
          <w:rFonts w:hint="eastAsia" w:ascii="宋体"/>
          <w:color w:val="auto"/>
          <w:sz w:val="24"/>
          <w:highlight w:val="none"/>
        </w:rPr>
      </w:pPr>
      <w:r>
        <w:rPr>
          <w:rFonts w:hint="eastAsia" w:ascii="宋体"/>
          <w:color w:val="auto"/>
          <w:sz w:val="24"/>
          <w:highlight w:val="none"/>
        </w:rPr>
        <w:t> </w:t>
      </w:r>
    </w:p>
    <w:p>
      <w:pPr>
        <w:spacing w:line="440" w:lineRule="exact"/>
        <w:jc w:val="righ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（盖单位章）</w:t>
      </w:r>
    </w:p>
    <w:p>
      <w:pPr>
        <w:spacing w:line="440" w:lineRule="exact"/>
        <w:jc w:val="right"/>
        <w:rPr>
          <w:rFonts w:hint="eastAsia" w:ascii="宋体"/>
          <w:color w:val="auto"/>
          <w:sz w:val="24"/>
          <w:highlight w:val="none"/>
        </w:rPr>
      </w:pPr>
    </w:p>
    <w:p>
      <w:pPr>
        <w:spacing w:line="440" w:lineRule="exact"/>
        <w:jc w:val="right"/>
        <w:rPr>
          <w:rFonts w:hint="eastAsia" w:ascii="宋体"/>
          <w:color w:val="auto"/>
          <w:sz w:val="24"/>
          <w:highlight w:val="none"/>
        </w:rPr>
      </w:pPr>
      <w:r>
        <w:rPr>
          <w:rFonts w:hint="eastAsia" w:ascii="宋体"/>
          <w:color w:val="auto"/>
          <w:sz w:val="24"/>
          <w:highlight w:val="none"/>
        </w:rPr>
        <w:t>投标人法定代表人：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签字或盖章</w:t>
      </w:r>
      <w:r>
        <w:rPr>
          <w:rFonts w:hint="eastAsia" w:ascii="宋体"/>
          <w:color w:val="auto"/>
          <w:sz w:val="24"/>
          <w:highlight w:val="none"/>
        </w:rPr>
        <w:t>）</w:t>
      </w:r>
    </w:p>
    <w:p>
      <w:pPr>
        <w:spacing w:line="440" w:lineRule="exact"/>
        <w:ind w:firstLine="2520" w:firstLineChars="1050"/>
        <w:rPr>
          <w:rFonts w:hint="eastAsia" w:ascii="宋体"/>
          <w:color w:val="auto"/>
          <w:sz w:val="24"/>
          <w:highlight w:val="none"/>
        </w:rPr>
      </w:pPr>
      <w:r>
        <w:rPr>
          <w:rFonts w:hint="eastAsia" w:ascii="宋体"/>
          <w:color w:val="auto"/>
          <w:sz w:val="24"/>
          <w:highlight w:val="none"/>
        </w:rPr>
        <w:t>日    期：</w:t>
      </w:r>
      <w:r>
        <w:rPr>
          <w:rFonts w:hint="eastAsia" w:ascii="宋体"/>
          <w:color w:val="auto"/>
          <w:sz w:val="24"/>
          <w:highlight w:val="none"/>
          <w:u w:val="single"/>
        </w:rPr>
        <w:t xml:space="preserve">                 </w:t>
      </w:r>
    </w:p>
    <w:p>
      <w:pPr>
        <w:spacing w:line="440" w:lineRule="exact"/>
        <w:ind w:firstLine="2520" w:firstLineChars="1050"/>
        <w:rPr>
          <w:rFonts w:hint="eastAsia" w:ascii="宋体"/>
          <w:color w:val="auto"/>
          <w:sz w:val="24"/>
          <w:highlight w:val="none"/>
        </w:rPr>
      </w:pPr>
      <w:r>
        <w:rPr>
          <w:rFonts w:hint="eastAsia" w:ascii="宋体"/>
          <w:color w:val="auto"/>
          <w:sz w:val="24"/>
          <w:highlight w:val="none"/>
        </w:rPr>
        <w:t>通讯地址：</w:t>
      </w:r>
      <w:r>
        <w:rPr>
          <w:rFonts w:hint="eastAsia" w:ascii="宋体"/>
          <w:color w:val="auto"/>
          <w:sz w:val="24"/>
          <w:highlight w:val="none"/>
          <w:u w:val="single"/>
        </w:rPr>
        <w:t xml:space="preserve">                 </w:t>
      </w:r>
    </w:p>
    <w:p>
      <w:pPr>
        <w:spacing w:line="440" w:lineRule="exact"/>
        <w:ind w:firstLine="2520" w:firstLineChars="1050"/>
        <w:rPr>
          <w:rFonts w:hint="eastAsia" w:ascii="宋体"/>
          <w:color w:val="auto"/>
          <w:sz w:val="24"/>
          <w:highlight w:val="none"/>
        </w:rPr>
      </w:pPr>
      <w:r>
        <w:rPr>
          <w:rFonts w:hint="eastAsia" w:ascii="宋体"/>
          <w:color w:val="auto"/>
          <w:sz w:val="24"/>
          <w:highlight w:val="none"/>
        </w:rPr>
        <w:t>电    话：</w:t>
      </w:r>
      <w:r>
        <w:rPr>
          <w:rFonts w:hint="eastAsia" w:ascii="宋体"/>
          <w:color w:val="auto"/>
          <w:sz w:val="24"/>
          <w:highlight w:val="none"/>
          <w:u w:val="single"/>
        </w:rPr>
        <w:t xml:space="preserve">                 </w:t>
      </w:r>
    </w:p>
    <w:p>
      <w:pPr>
        <w:ind w:right="-178" w:rightChars="-85" w:firstLine="2520" w:firstLineChars="1050"/>
        <w:rPr>
          <w:rFonts w:hint="eastAsia" w:ascii="宋体"/>
          <w:color w:val="auto"/>
          <w:sz w:val="24"/>
          <w:highlight w:val="none"/>
          <w:u w:val="single"/>
        </w:rPr>
      </w:pPr>
      <w:r>
        <w:rPr>
          <w:rFonts w:hint="eastAsia" w:ascii="宋体"/>
          <w:color w:val="auto"/>
          <w:sz w:val="24"/>
          <w:highlight w:val="none"/>
        </w:rPr>
        <w:t>传    真：</w:t>
      </w:r>
      <w:r>
        <w:rPr>
          <w:rFonts w:hint="eastAsia" w:ascii="宋体"/>
          <w:color w:val="auto"/>
          <w:sz w:val="24"/>
          <w:highlight w:val="none"/>
          <w:u w:val="single"/>
        </w:rPr>
        <w:t xml:space="preserve">                 </w:t>
      </w:r>
    </w:p>
    <w:p>
      <w:pPr>
        <w:spacing w:line="360" w:lineRule="exact"/>
        <w:rPr>
          <w:rFonts w:hint="eastAsia" w:ascii="宋体"/>
          <w:b/>
          <w:color w:val="auto"/>
          <w:sz w:val="28"/>
          <w:szCs w:val="28"/>
          <w:highlight w:val="none"/>
        </w:rPr>
      </w:pPr>
    </w:p>
    <w:p>
      <w:pPr>
        <w:spacing w:line="440" w:lineRule="exact"/>
        <w:jc w:val="center"/>
        <w:outlineLvl w:val="0"/>
        <w:rPr>
          <w:rFonts w:hint="eastAsia" w:ascii="宋体"/>
          <w:b/>
          <w:color w:val="auto"/>
          <w:sz w:val="32"/>
          <w:szCs w:val="32"/>
          <w:highlight w:val="none"/>
        </w:rPr>
      </w:pPr>
      <w:r>
        <w:rPr>
          <w:rFonts w:hint="eastAsia" w:ascii="宋体"/>
          <w:b/>
          <w:color w:val="auto"/>
          <w:sz w:val="32"/>
          <w:szCs w:val="32"/>
          <w:highlight w:val="none"/>
        </w:rPr>
        <w:br w:type="page"/>
      </w:r>
      <w:bookmarkEnd w:id="65"/>
      <w:bookmarkEnd w:id="66"/>
      <w:bookmarkStart w:id="251" w:name="_Toc449028957"/>
      <w:bookmarkStart w:id="252" w:name="_Toc58430333"/>
      <w:r>
        <w:rPr>
          <w:rFonts w:hint="eastAsia" w:ascii="宋体"/>
          <w:b/>
          <w:color w:val="auto"/>
          <w:sz w:val="32"/>
          <w:szCs w:val="32"/>
          <w:highlight w:val="none"/>
          <w:lang w:val="en-US" w:eastAsia="zh-CN"/>
        </w:rPr>
        <w:t>招标人</w:t>
      </w:r>
      <w:r>
        <w:rPr>
          <w:rFonts w:hint="eastAsia" w:ascii="宋体"/>
          <w:b/>
          <w:color w:val="auto"/>
          <w:sz w:val="32"/>
          <w:szCs w:val="32"/>
          <w:highlight w:val="none"/>
        </w:rPr>
        <w:t>、</w:t>
      </w:r>
      <w:r>
        <w:rPr>
          <w:rFonts w:hint="eastAsia" w:ascii="宋体"/>
          <w:b/>
          <w:color w:val="auto"/>
          <w:sz w:val="32"/>
          <w:szCs w:val="32"/>
          <w:highlight w:val="none"/>
          <w:lang w:val="en-US" w:eastAsia="zh-CN"/>
        </w:rPr>
        <w:t>招标</w:t>
      </w:r>
      <w:r>
        <w:rPr>
          <w:rFonts w:hint="eastAsia" w:ascii="宋体"/>
          <w:b/>
          <w:color w:val="auto"/>
          <w:sz w:val="32"/>
          <w:szCs w:val="32"/>
          <w:highlight w:val="none"/>
        </w:rPr>
        <w:t>代理机构对本招标文件的确认</w:t>
      </w:r>
      <w:bookmarkEnd w:id="251"/>
      <w:bookmarkEnd w:id="252"/>
    </w:p>
    <w:p>
      <w:pPr>
        <w:spacing w:line="440" w:lineRule="exact"/>
        <w:rPr>
          <w:rFonts w:hint="eastAsia" w:ascii="宋体"/>
          <w:color w:val="auto"/>
          <w:sz w:val="24"/>
          <w:highlight w:val="none"/>
          <w:u w:val="single"/>
        </w:rPr>
      </w:pPr>
    </w:p>
    <w:tbl>
      <w:tblPr>
        <w:tblStyle w:val="34"/>
        <w:tblW w:w="0" w:type="auto"/>
        <w:jc w:val="center"/>
        <w:tblLayout w:type="fixed"/>
        <w:tblCellMar>
          <w:top w:w="0" w:type="dxa"/>
          <w:left w:w="108" w:type="dxa"/>
          <w:bottom w:w="0" w:type="dxa"/>
          <w:right w:w="108" w:type="dxa"/>
        </w:tblCellMar>
      </w:tblPr>
      <w:tblGrid>
        <w:gridCol w:w="9374"/>
      </w:tblGrid>
      <w:tr>
        <w:tblPrEx>
          <w:tblCellMar>
            <w:top w:w="0" w:type="dxa"/>
            <w:left w:w="108" w:type="dxa"/>
            <w:bottom w:w="0" w:type="dxa"/>
            <w:right w:w="108" w:type="dxa"/>
          </w:tblCellMar>
        </w:tblPrEx>
        <w:trPr>
          <w:trHeight w:val="4493"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pPr>
              <w:spacing w:line="440" w:lineRule="exact"/>
              <w:ind w:firstLine="560" w:firstLineChars="200"/>
              <w:rPr>
                <w:rFonts w:hint="eastAsia" w:ascii="宋体" w:cs="宋体"/>
                <w:color w:val="auto"/>
                <w:sz w:val="28"/>
                <w:szCs w:val="28"/>
                <w:highlight w:val="none"/>
              </w:rPr>
            </w:pPr>
          </w:p>
          <w:p>
            <w:pPr>
              <w:spacing w:line="360" w:lineRule="auto"/>
              <w:ind w:firstLine="560" w:firstLineChars="200"/>
              <w:rPr>
                <w:rFonts w:hint="eastAsia" w:ascii="宋体" w:hAnsi="宋体" w:cs="宋体"/>
                <w:color w:val="auto"/>
                <w:sz w:val="28"/>
                <w:szCs w:val="28"/>
                <w:highlight w:val="none"/>
              </w:rPr>
            </w:pPr>
            <w:r>
              <w:rPr>
                <w:rFonts w:hint="eastAsia" w:ascii="宋体" w:cs="宋体"/>
                <w:color w:val="auto"/>
                <w:sz w:val="28"/>
                <w:szCs w:val="28"/>
                <w:highlight w:val="none"/>
              </w:rPr>
              <w:t>我单位对</w:t>
            </w:r>
            <w:r>
              <w:rPr>
                <w:rFonts w:hint="eastAsia" w:ascii="宋体" w:cs="宋体"/>
                <w:color w:val="auto"/>
                <w:sz w:val="28"/>
                <w:szCs w:val="28"/>
                <w:highlight w:val="none"/>
                <w:u w:val="single"/>
                <w:lang w:val="en-US" w:eastAsia="zh-CN"/>
              </w:rPr>
              <w:t>滁州市城泊车辆服务有限公司公共停车场保洁服务项目（三次）</w:t>
            </w:r>
            <w:r>
              <w:rPr>
                <w:rFonts w:hint="eastAsia" w:ascii="宋体" w:cs="宋体"/>
                <w:color w:val="auto"/>
                <w:sz w:val="28"/>
                <w:szCs w:val="28"/>
                <w:highlight w:val="none"/>
              </w:rPr>
              <w:t>的招标文件进行确认。</w:t>
            </w:r>
          </w:p>
          <w:p>
            <w:pPr>
              <w:spacing w:line="360" w:lineRule="auto"/>
              <w:ind w:firstLine="560" w:firstLineChars="200"/>
              <w:rPr>
                <w:rFonts w:hint="eastAsia" w:ascii="宋体" w:hAnsi="宋体" w:cs="宋体"/>
                <w:color w:val="auto"/>
                <w:sz w:val="28"/>
                <w:szCs w:val="28"/>
                <w:highlight w:val="none"/>
              </w:rPr>
            </w:pPr>
            <w:r>
              <w:rPr>
                <w:rFonts w:hint="eastAsia" w:ascii="宋体" w:hAnsi="宋体" w:cs="宋体"/>
                <w:color w:val="auto"/>
                <w:sz w:val="28"/>
                <w:szCs w:val="28"/>
                <w:highlight w:val="none"/>
              </w:rPr>
              <w:t>招标单位：</w:t>
            </w:r>
            <w:r>
              <w:rPr>
                <w:rFonts w:hint="eastAsia" w:ascii="宋体" w:hAnsi="宋体" w:cs="宋体"/>
                <w:color w:val="auto"/>
                <w:sz w:val="28"/>
                <w:szCs w:val="28"/>
                <w:highlight w:val="none"/>
                <w:lang w:eastAsia="zh-CN"/>
              </w:rPr>
              <w:t>滁州市城泊车辆服务有限公司</w:t>
            </w:r>
          </w:p>
          <w:p>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委托代理人：</w:t>
            </w:r>
            <w:r>
              <w:rPr>
                <w:rFonts w:hint="eastAsia" w:ascii="宋体" w:hAnsi="宋体" w:cs="宋体"/>
                <w:color w:val="auto"/>
                <w:sz w:val="28"/>
                <w:szCs w:val="28"/>
                <w:highlight w:val="none"/>
                <w:lang w:val="en-US" w:eastAsia="zh-CN"/>
              </w:rPr>
              <w:t>丁玲</w:t>
            </w:r>
          </w:p>
          <w:p>
            <w:pPr>
              <w:spacing w:line="360" w:lineRule="auto"/>
              <w:ind w:firstLine="560" w:firstLineChars="200"/>
              <w:rPr>
                <w:rFonts w:hint="default" w:ascii="宋体" w:hAnsi="宋体" w:eastAsia="宋体" w:cs="宋体"/>
                <w:color w:val="auto"/>
                <w:sz w:val="28"/>
                <w:szCs w:val="28"/>
                <w:highlight w:val="none"/>
                <w:lang w:val="en-US" w:eastAsia="zh-CN"/>
              </w:rPr>
            </w:pPr>
            <w:r>
              <w:rPr>
                <w:rFonts w:hint="eastAsia" w:ascii="宋体" w:hAnsi="宋体" w:cs="宋体"/>
                <w:color w:val="auto"/>
                <w:sz w:val="28"/>
                <w:szCs w:val="28"/>
                <w:highlight w:val="none"/>
              </w:rPr>
              <w:t>联系电话：</w:t>
            </w:r>
            <w:r>
              <w:rPr>
                <w:rFonts w:hint="eastAsia" w:ascii="宋体" w:hAnsi="宋体" w:cs="宋体"/>
                <w:color w:val="auto"/>
                <w:sz w:val="28"/>
                <w:szCs w:val="28"/>
                <w:highlight w:val="none"/>
                <w:lang w:val="en-US" w:eastAsia="zh-CN"/>
              </w:rPr>
              <w:t>15215500991</w:t>
            </w:r>
          </w:p>
          <w:p>
            <w:pPr>
              <w:spacing w:line="540" w:lineRule="exact"/>
              <w:ind w:firstLine="7140" w:firstLineChars="2550"/>
              <w:rPr>
                <w:rFonts w:hint="eastAsia" w:ascii="宋体" w:cs="宋体"/>
                <w:color w:val="auto"/>
                <w:sz w:val="28"/>
                <w:szCs w:val="28"/>
                <w:highlight w:val="none"/>
              </w:rPr>
            </w:pPr>
          </w:p>
          <w:p>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（盖单位章）</w:t>
            </w:r>
          </w:p>
          <w:p>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202</w:t>
            </w:r>
            <w:r>
              <w:rPr>
                <w:rFonts w:hint="eastAsia" w:ascii="宋体" w:cs="宋体"/>
                <w:color w:val="auto"/>
                <w:sz w:val="28"/>
                <w:szCs w:val="28"/>
                <w:highlight w:val="none"/>
                <w:lang w:val="en-US" w:eastAsia="zh-CN"/>
              </w:rPr>
              <w:t>4</w:t>
            </w:r>
            <w:r>
              <w:rPr>
                <w:rFonts w:hint="eastAsia" w:ascii="宋体" w:cs="宋体"/>
                <w:color w:val="auto"/>
                <w:sz w:val="28"/>
                <w:szCs w:val="28"/>
                <w:highlight w:val="none"/>
              </w:rPr>
              <w:t>年</w:t>
            </w:r>
            <w:r>
              <w:rPr>
                <w:rFonts w:hint="eastAsia" w:ascii="宋体" w:cs="宋体"/>
                <w:color w:val="auto"/>
                <w:sz w:val="28"/>
                <w:szCs w:val="28"/>
                <w:highlight w:val="none"/>
                <w:lang w:val="en-US" w:eastAsia="zh-CN"/>
              </w:rPr>
              <w:t>2</w:t>
            </w:r>
            <w:r>
              <w:rPr>
                <w:rFonts w:hint="eastAsia" w:ascii="宋体" w:cs="宋体"/>
                <w:color w:val="auto"/>
                <w:sz w:val="28"/>
                <w:szCs w:val="28"/>
                <w:highlight w:val="none"/>
              </w:rPr>
              <w:t>月</w:t>
            </w:r>
          </w:p>
        </w:tc>
      </w:tr>
      <w:tr>
        <w:tblPrEx>
          <w:tblCellMar>
            <w:top w:w="0" w:type="dxa"/>
            <w:left w:w="108" w:type="dxa"/>
            <w:bottom w:w="0" w:type="dxa"/>
            <w:right w:w="108" w:type="dxa"/>
          </w:tblCellMar>
        </w:tblPrEx>
        <w:trPr>
          <w:trHeight w:val="5310" w:hRule="atLeast"/>
          <w:jc w:val="center"/>
        </w:trPr>
        <w:tc>
          <w:tcPr>
            <w:tcW w:w="9374" w:type="dxa"/>
            <w:tcBorders>
              <w:top w:val="single" w:color="auto" w:sz="4" w:space="0"/>
              <w:left w:val="single" w:color="auto" w:sz="4" w:space="0"/>
              <w:bottom w:val="single" w:color="auto" w:sz="4" w:space="0"/>
              <w:right w:val="single" w:color="auto" w:sz="4" w:space="0"/>
            </w:tcBorders>
            <w:noWrap w:val="0"/>
            <w:vAlign w:val="top"/>
          </w:tcPr>
          <w:p>
            <w:pPr>
              <w:spacing w:line="440" w:lineRule="exact"/>
              <w:rPr>
                <w:rFonts w:hint="eastAsia" w:ascii="宋体" w:cs="宋体"/>
                <w:color w:val="auto"/>
                <w:sz w:val="28"/>
                <w:szCs w:val="28"/>
                <w:highlight w:val="none"/>
              </w:rPr>
            </w:pPr>
          </w:p>
          <w:p>
            <w:pPr>
              <w:spacing w:line="520" w:lineRule="exact"/>
              <w:ind w:firstLine="560" w:firstLineChars="200"/>
              <w:rPr>
                <w:rFonts w:hint="eastAsia" w:ascii="宋体" w:eastAsia="宋体" w:cs="宋体"/>
                <w:color w:val="auto"/>
                <w:sz w:val="28"/>
                <w:szCs w:val="28"/>
                <w:highlight w:val="none"/>
                <w:lang w:eastAsia="zh-CN"/>
              </w:rPr>
            </w:pPr>
            <w:r>
              <w:rPr>
                <w:rFonts w:hint="eastAsia" w:ascii="宋体" w:cs="宋体"/>
                <w:color w:val="auto"/>
                <w:sz w:val="28"/>
                <w:szCs w:val="28"/>
                <w:highlight w:val="none"/>
              </w:rPr>
              <w:t>招标代理机构：</w:t>
            </w:r>
            <w:r>
              <w:rPr>
                <w:rFonts w:hint="eastAsia" w:ascii="宋体" w:cs="宋体"/>
                <w:color w:val="auto"/>
                <w:sz w:val="28"/>
                <w:szCs w:val="28"/>
                <w:highlight w:val="none"/>
                <w:lang w:eastAsia="zh-CN"/>
              </w:rPr>
              <w:t>滁州市城投工程咨询管理有限公司</w:t>
            </w:r>
          </w:p>
          <w:p>
            <w:pPr>
              <w:spacing w:line="520" w:lineRule="exact"/>
              <w:ind w:firstLine="560" w:firstLineChars="200"/>
              <w:rPr>
                <w:rFonts w:ascii="宋体" w:cs="宋体"/>
                <w:color w:val="auto"/>
                <w:sz w:val="28"/>
                <w:szCs w:val="28"/>
                <w:highlight w:val="none"/>
              </w:rPr>
            </w:pPr>
            <w:r>
              <w:rPr>
                <w:rFonts w:hint="eastAsia" w:ascii="宋体" w:cs="宋体"/>
                <w:color w:val="auto"/>
                <w:sz w:val="28"/>
                <w:szCs w:val="28"/>
                <w:highlight w:val="none"/>
              </w:rPr>
              <w:t>经办人：杨韦</w:t>
            </w:r>
          </w:p>
          <w:p>
            <w:pPr>
              <w:spacing w:line="520" w:lineRule="exact"/>
              <w:ind w:firstLine="560" w:firstLineChars="200"/>
              <w:rPr>
                <w:rFonts w:ascii="宋体" w:cs="宋体"/>
                <w:color w:val="auto"/>
                <w:sz w:val="28"/>
                <w:szCs w:val="28"/>
                <w:highlight w:val="none"/>
              </w:rPr>
            </w:pPr>
            <w:r>
              <w:rPr>
                <w:rFonts w:hint="eastAsia" w:ascii="宋体" w:cs="宋体"/>
                <w:color w:val="auto"/>
                <w:sz w:val="28"/>
                <w:szCs w:val="28"/>
                <w:highlight w:val="none"/>
              </w:rPr>
              <w:t>电  话：0550-3519590、18005501210</w:t>
            </w:r>
          </w:p>
          <w:p>
            <w:pPr>
              <w:spacing w:line="520" w:lineRule="exact"/>
              <w:ind w:firstLine="6300" w:firstLineChars="2250"/>
              <w:rPr>
                <w:rFonts w:hint="eastAsia" w:ascii="宋体" w:cs="宋体"/>
                <w:color w:val="auto"/>
                <w:sz w:val="28"/>
                <w:szCs w:val="28"/>
                <w:highlight w:val="none"/>
              </w:rPr>
            </w:pPr>
          </w:p>
          <w:p>
            <w:pPr>
              <w:pStyle w:val="2"/>
              <w:rPr>
                <w:rFonts w:hint="eastAsia"/>
                <w:color w:val="auto"/>
                <w:highlight w:val="none"/>
              </w:rPr>
            </w:pPr>
          </w:p>
          <w:p>
            <w:pPr>
              <w:spacing w:line="520" w:lineRule="exact"/>
              <w:ind w:firstLine="6580" w:firstLineChars="2350"/>
              <w:rPr>
                <w:rFonts w:hint="eastAsia" w:ascii="宋体" w:cs="宋体"/>
                <w:color w:val="auto"/>
                <w:sz w:val="28"/>
                <w:szCs w:val="28"/>
                <w:highlight w:val="none"/>
              </w:rPr>
            </w:pPr>
          </w:p>
          <w:p>
            <w:pPr>
              <w:spacing w:line="520" w:lineRule="exact"/>
              <w:jc w:val="right"/>
              <w:rPr>
                <w:rFonts w:hint="eastAsia" w:ascii="宋体" w:cs="宋体"/>
                <w:color w:val="auto"/>
                <w:sz w:val="28"/>
                <w:szCs w:val="28"/>
                <w:highlight w:val="none"/>
              </w:rPr>
            </w:pPr>
            <w:r>
              <w:rPr>
                <w:rFonts w:hint="eastAsia" w:ascii="宋体" w:cs="宋体"/>
                <w:color w:val="auto"/>
                <w:sz w:val="28"/>
                <w:szCs w:val="28"/>
                <w:highlight w:val="none"/>
              </w:rPr>
              <w:t>（盖单位章）</w:t>
            </w:r>
          </w:p>
          <w:p>
            <w:pPr>
              <w:spacing w:line="540" w:lineRule="exact"/>
              <w:jc w:val="right"/>
              <w:rPr>
                <w:rFonts w:hint="eastAsia" w:ascii="宋体" w:cs="宋体"/>
                <w:color w:val="auto"/>
                <w:sz w:val="28"/>
                <w:szCs w:val="28"/>
                <w:highlight w:val="none"/>
              </w:rPr>
            </w:pPr>
            <w:r>
              <w:rPr>
                <w:rFonts w:hint="eastAsia" w:ascii="宋体" w:cs="宋体"/>
                <w:color w:val="auto"/>
                <w:sz w:val="28"/>
                <w:szCs w:val="28"/>
                <w:highlight w:val="none"/>
              </w:rPr>
              <w:t>202</w:t>
            </w:r>
            <w:r>
              <w:rPr>
                <w:rFonts w:hint="eastAsia" w:ascii="宋体" w:cs="宋体"/>
                <w:color w:val="auto"/>
                <w:sz w:val="28"/>
                <w:szCs w:val="28"/>
                <w:highlight w:val="none"/>
                <w:lang w:val="en-US" w:eastAsia="zh-CN"/>
              </w:rPr>
              <w:t>4</w:t>
            </w:r>
            <w:r>
              <w:rPr>
                <w:rFonts w:hint="eastAsia" w:ascii="宋体" w:cs="宋体"/>
                <w:color w:val="auto"/>
                <w:sz w:val="28"/>
                <w:szCs w:val="28"/>
                <w:highlight w:val="none"/>
              </w:rPr>
              <w:t>年</w:t>
            </w:r>
            <w:r>
              <w:rPr>
                <w:rFonts w:hint="eastAsia" w:ascii="宋体" w:cs="宋体"/>
                <w:color w:val="auto"/>
                <w:sz w:val="28"/>
                <w:szCs w:val="28"/>
                <w:highlight w:val="none"/>
                <w:lang w:val="en-US" w:eastAsia="zh-CN"/>
              </w:rPr>
              <w:t>2</w:t>
            </w:r>
            <w:r>
              <w:rPr>
                <w:rFonts w:hint="eastAsia" w:ascii="宋体" w:cs="宋体"/>
                <w:color w:val="auto"/>
                <w:sz w:val="28"/>
                <w:szCs w:val="28"/>
                <w:highlight w:val="none"/>
              </w:rPr>
              <w:t>月</w:t>
            </w:r>
          </w:p>
        </w:tc>
      </w:tr>
      <w:bookmarkEnd w:id="0"/>
    </w:tbl>
    <w:p>
      <w:pPr>
        <w:rPr>
          <w:color w:val="auto"/>
          <w:highlight w:val="none"/>
        </w:rPr>
      </w:pPr>
    </w:p>
    <w:sectPr>
      <w:headerReference r:id="rId11" w:type="default"/>
      <w:footerReference r:id="rId12" w:type="default"/>
      <w:pgSz w:w="11906" w:h="16838"/>
      <w:pgMar w:top="1440" w:right="1800"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moder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DokChampa">
    <w:altName w:val="Leelawadee UI"/>
    <w:panose1 w:val="020B0604020202020204"/>
    <w:charset w:val="00"/>
    <w:family w:val="swiss"/>
    <w:pitch w:val="default"/>
    <w:sig w:usb0="00000000" w:usb1="00000000" w:usb2="00000000" w:usb3="00000000" w:csb0="400100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Times">
    <w:altName w:val="Times New Roman"/>
    <w:panose1 w:val="02020603050405020304"/>
    <w:charset w:val="00"/>
    <w:family w:val="roman"/>
    <w:pitch w:val="default"/>
    <w:sig w:usb0="00000000" w:usb1="00000000" w:usb2="00000009" w:usb3="00000000" w:csb0="000001FF" w:csb1="00000000"/>
  </w:font>
  <w:font w:name="宋体-18030">
    <w:altName w:val="宋体"/>
    <w:panose1 w:val="02010609060101010101"/>
    <w:charset w:val="86"/>
    <w:family w:val="modern"/>
    <w:pitch w:val="default"/>
    <w:sig w:usb0="00000000" w:usb1="00000000" w:usb2="000A005E"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tabs>
        <w:tab w:val="clear" w:pos="4153"/>
        <w:tab w:val="clear" w:pos="8306"/>
      </w:tabs>
      <w:rPr>
        <w:rStyle w:val="38"/>
      </w:rPr>
    </w:pPr>
    <w:r>
      <w:fldChar w:fldCharType="begin"/>
    </w:r>
    <w:r>
      <w:rPr>
        <w:rStyle w:val="38"/>
      </w:rPr>
      <w:instrText xml:space="preserve">PAGE  </w:instrText>
    </w:r>
    <w:r>
      <w:fldChar w:fldCharType="separate"/>
    </w:r>
    <w:r>
      <w:t xml:space="preserve"> </w:t>
    </w:r>
    <w:r>
      <w:fldChar w:fldCharType="end"/>
    </w:r>
  </w:p>
  <w:p>
    <w:pPr>
      <w:pStyle w:val="2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framePr w:wrap="around" w:vAnchor="text" w:hAnchor="margin" w:xAlign="center" w:y="1"/>
      <w:tabs>
        <w:tab w:val="clear" w:pos="4153"/>
        <w:tab w:val="clear" w:pos="8306"/>
      </w:tabs>
      <w:rPr>
        <w:rStyle w:val="38"/>
        <w:rFonts w:hint="eastAsia"/>
      </w:rPr>
    </w:pPr>
  </w:p>
  <w:p>
    <w:pPr>
      <w:pStyle w:val="23"/>
      <w:tabs>
        <w:tab w:val="clear" w:pos="4153"/>
        <w:tab w:val="clear" w:pos="8306"/>
      </w:tabs>
      <w:rPr>
        <w:rFonts w:hint="eastAsia"/>
        <w:szCs w:val="21"/>
      </w:rPr>
    </w:pPr>
  </w:p>
  <w:p>
    <w:pPr>
      <w:pStyle w:val="23"/>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tabs>
        <w:tab w:val="clear" w:pos="4153"/>
        <w:tab w:val="clear" w:pos="8306"/>
      </w:tabs>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3"/>
                          </w:pPr>
                          <w:r>
                            <w:fldChar w:fldCharType="begin"/>
                          </w:r>
                          <w:r>
                            <w:instrText xml:space="preserve"> PAGE  \* MERGEFORMAT </w:instrText>
                          </w:r>
                          <w:r>
                            <w:fldChar w:fldCharType="separate"/>
                          </w:r>
                          <w:r>
                            <w:t>1</w:t>
                          </w:r>
                          <w:r>
                            <w:fldChar w:fldCharType="end"/>
                          </w:r>
                        </w:p>
                      </w:txbxContent>
                    </wps:txbx>
                    <wps:bodyPr wrap="none" lIns="0" tIns="0" rIns="0" bIns="0" upright="0">
                      <a:spAutoFit/>
                    </wps:bodyPr>
                  </wps:wsp>
                </a:graphicData>
              </a:graphic>
            </wp:anchor>
          </w:drawing>
        </mc:Choice>
        <mc:Fallback>
          <w:pict>
            <v:shape id="文本框 4"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">
              <v:fill on="f" focussize="0,0"/>
              <v:stroke on="f" weight="1.25pt"/>
              <v:imagedata o:title=""/>
              <o:lock v:ext="edit" aspectratio="f"/>
              <v:textbox inset="0mm,0mm,0mm,0mm" style="mso-fit-shape-to-text:t;">
                <w:txbxContent>
                  <w:p>
                    <w:pPr>
                      <w:pStyle w:val="2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tabs>
        <w:tab w:val="clear" w:pos="4153"/>
        <w:tab w:val="clear" w:pos="8306"/>
      </w:tabs>
    </w:pPr>
    <w: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ixWE+tIBAACjAwAADgAAAAAAAAABACAAAAAi&#10;AQAAZHJzL2Uyb0RvYy54bWxQSwUGAAAAAAYABgBZAQAAZgUAAAAA&#10;">
              <v:fill on="f" focussize="0,0"/>
              <v:stroke on="f" weight="1.25pt"/>
              <v:imagedata o:title=""/>
              <o:lock v:ext="edit" aspectratio="f"/>
              <v:textbox inset="0mm,0mm,0mm,0mm" style="mso-fit-shape-to-text:t;">
                <w:txbxContent>
                  <w:p>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3"/>
      <w:tabs>
        <w:tab w:val="clear" w:pos="4153"/>
        <w:tab w:val="clear" w:pos="8306"/>
      </w:tabs>
    </w:pPr>
    <w: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15875">
                        <a:noFill/>
                      </a:ln>
                    </wps:spPr>
                    <wps:txbx>
                      <w:txbxContent>
                        <w:p>
                          <w:pPr>
                            <w:pStyle w:val="23"/>
                          </w:pPr>
                          <w:r>
                            <w:fldChar w:fldCharType="begin"/>
                          </w:r>
                          <w:r>
                            <w:instrText xml:space="preserve"> PAGE  \* MERGEFORMAT </w:instrText>
                          </w:r>
                          <w:r>
                            <w:fldChar w:fldCharType="separate"/>
                          </w:r>
                          <w:r>
                            <w:t>25</w:t>
                          </w:r>
                          <w:r>
                            <w:fldChar w:fldCharType="end"/>
                          </w:r>
                        </w:p>
                      </w:txbxContent>
                    </wps:txbx>
                    <wps:bodyPr wrap="none" lIns="0" tIns="0" rIns="0" bIns="0" upright="0">
                      <a:spAutoFit/>
                    </wps:bodyPr>
                  </wps:wsp>
                </a:graphicData>
              </a:graphic>
            </wp:anchor>
          </w:drawing>
        </mc:Choice>
        <mc:Fallback>
          <w:pict>
            <v:shape id="文本框 5"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oaYJL0wAAAAUBAAAPAAAAAAAAAAEAIAAAACIAAABk&#10;cnMvZG93bnJldi54bWxQSwECFAAUAAAACACHTuJAqFnQQdIBAACjAwAADgAAAAAAAAABACAAAAAi&#10;AQAAZHJzL2Uyb0RvYy54bWxQSwUGAAAAAAYABgBZAQAAZgUAAAAA&#10;">
              <v:fill on="f" focussize="0,0"/>
              <v:stroke on="f" weight="1.25pt"/>
              <v:imagedata o:title=""/>
              <o:lock v:ext="edit" aspectratio="f"/>
              <v:textbox inset="0mm,0mm,0mm,0mm" style="mso-fit-shape-to-text:t;">
                <w:txbxContent>
                  <w:p>
                    <w:pPr>
                      <w:pStyle w:val="23"/>
                    </w:pPr>
                    <w:r>
                      <w:fldChar w:fldCharType="begin"/>
                    </w:r>
                    <w:r>
                      <w:instrText xml:space="preserve"> PAGE  \* MERGEFORMAT </w:instrText>
                    </w:r>
                    <w:r>
                      <w:fldChar w:fldCharType="separate"/>
                    </w:r>
                    <w:r>
                      <w:t>25</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tabs>
        <w:tab w:val="clear" w:pos="4153"/>
        <w:tab w:val="clear"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4"/>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E8E43"/>
    <w:multiLevelType w:val="singleLevel"/>
    <w:tmpl w:val="868E8E43"/>
    <w:lvl w:ilvl="0" w:tentative="0">
      <w:start w:val="11"/>
      <w:numFmt w:val="decimal"/>
      <w:suff w:val="space"/>
      <w:lvlText w:val="%1."/>
      <w:lvlJc w:val="left"/>
    </w:lvl>
  </w:abstractNum>
  <w:abstractNum w:abstractNumId="1">
    <w:nsid w:val="00000019"/>
    <w:multiLevelType w:val="multilevel"/>
    <w:tmpl w:val="00000019"/>
    <w:lvl w:ilvl="0" w:tentative="0">
      <w:start w:val="1"/>
      <w:numFmt w:val="chineseCountingThousand"/>
      <w:pStyle w:val="116"/>
      <w:suff w:val="space"/>
      <w:lvlText w:val="%1、"/>
      <w:lvlJc w:val="left"/>
      <w:pPr>
        <w:ind w:left="425" w:hanging="425"/>
      </w:pPr>
      <w:rPr>
        <w:rFonts w:hint="eastAsia"/>
      </w:rPr>
    </w:lvl>
    <w:lvl w:ilvl="1" w:tentative="0">
      <w:start w:val="1"/>
      <w:numFmt w:val="decimal"/>
      <w:lvlRestart w:val="0"/>
      <w:suff w:val="space"/>
      <w:lvlText w:val="%2、"/>
      <w:lvlJc w:val="left"/>
      <w:pPr>
        <w:ind w:left="454" w:hanging="454"/>
      </w:pPr>
      <w:rPr>
        <w:rFonts w:hint="eastAsia"/>
      </w:rPr>
    </w:lvl>
    <w:lvl w:ilvl="2" w:tentative="0">
      <w:start w:val="1"/>
      <w:numFmt w:val="decimal"/>
      <w:lvlRestart w:val="0"/>
      <w:suff w:val="space"/>
      <w:lvlText w:val="%2.%3"/>
      <w:lvlJc w:val="left"/>
      <w:pPr>
        <w:ind w:left="454" w:hanging="454"/>
      </w:pPr>
      <w:rPr>
        <w:rFonts w:hint="default" w:ascii="Cambria" w:hAnsi="Cambria"/>
      </w:rPr>
    </w:lvl>
    <w:lvl w:ilvl="3" w:tentative="0">
      <w:start w:val="1"/>
      <w:numFmt w:val="decimal"/>
      <w:lvlText w:val="%2.%3.%4"/>
      <w:lvlJc w:val="left"/>
      <w:pPr>
        <w:ind w:left="454" w:hanging="454"/>
      </w:pPr>
      <w:rPr>
        <w:rFonts w:hint="eastAsia"/>
      </w:rPr>
    </w:lvl>
    <w:lvl w:ilvl="4" w:tentative="0">
      <w:start w:val="1"/>
      <w:numFmt w:val="decimal"/>
      <w:lvlText w:val="%2.%3.%4.%5"/>
      <w:lvlJc w:val="left"/>
      <w:pPr>
        <w:ind w:left="454" w:hanging="454"/>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2">
    <w:nsid w:val="18995355"/>
    <w:multiLevelType w:val="multilevel"/>
    <w:tmpl w:val="18995355"/>
    <w:lvl w:ilvl="0" w:tentative="0">
      <w:start w:val="1"/>
      <w:numFmt w:val="decimal"/>
      <w:pStyle w:val="101"/>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323379E"/>
    <w:multiLevelType w:val="multilevel"/>
    <w:tmpl w:val="2323379E"/>
    <w:lvl w:ilvl="0" w:tentative="0">
      <w:start w:val="1"/>
      <w:numFmt w:val="chineseCountingThousand"/>
      <w:pStyle w:val="32"/>
      <w:lvlText w:val="%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857717"/>
    <w:multiLevelType w:val="multilevel"/>
    <w:tmpl w:val="26857717"/>
    <w:lvl w:ilvl="0" w:tentative="0">
      <w:start w:val="1"/>
      <w:numFmt w:val="chineseCountingThousand"/>
      <w:pStyle w:val="99"/>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5">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7"/>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6">
    <w:nsid w:val="6CB11212"/>
    <w:multiLevelType w:val="multilevel"/>
    <w:tmpl w:val="6CB11212"/>
    <w:lvl w:ilvl="0" w:tentative="0">
      <w:start w:val="1"/>
      <w:numFmt w:val="decimal"/>
      <w:pStyle w:val="13"/>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7">
    <w:nsid w:val="6F1D7D26"/>
    <w:multiLevelType w:val="multilevel"/>
    <w:tmpl w:val="6F1D7D26"/>
    <w:lvl w:ilvl="0" w:tentative="0">
      <w:start w:val="1"/>
      <w:numFmt w:val="decimal"/>
      <w:pStyle w:val="26"/>
      <w:lvlText w:val="%1."/>
      <w:lvlJc w:val="left"/>
      <w:pPr>
        <w:ind w:left="42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6"/>
  </w:num>
  <w:num w:numId="3">
    <w:abstractNumId w:val="7"/>
  </w:num>
  <w:num w:numId="4">
    <w:abstractNumId w:val="3"/>
  </w:num>
  <w:num w:numId="5">
    <w:abstractNumId w:val="4"/>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AE79E0"/>
    <w:rsid w:val="00000FD7"/>
    <w:rsid w:val="00001745"/>
    <w:rsid w:val="000018C2"/>
    <w:rsid w:val="00001EDD"/>
    <w:rsid w:val="00002FE3"/>
    <w:rsid w:val="00003231"/>
    <w:rsid w:val="0000387A"/>
    <w:rsid w:val="00003B78"/>
    <w:rsid w:val="00003E3C"/>
    <w:rsid w:val="00003F2A"/>
    <w:rsid w:val="00005025"/>
    <w:rsid w:val="00005C91"/>
    <w:rsid w:val="0000620B"/>
    <w:rsid w:val="0000682D"/>
    <w:rsid w:val="00007272"/>
    <w:rsid w:val="00007892"/>
    <w:rsid w:val="00011FD2"/>
    <w:rsid w:val="0001207D"/>
    <w:rsid w:val="00012CBB"/>
    <w:rsid w:val="00012CFA"/>
    <w:rsid w:val="00013187"/>
    <w:rsid w:val="000131BA"/>
    <w:rsid w:val="00014B17"/>
    <w:rsid w:val="0001582D"/>
    <w:rsid w:val="00015980"/>
    <w:rsid w:val="0001696F"/>
    <w:rsid w:val="00016F81"/>
    <w:rsid w:val="00017E3B"/>
    <w:rsid w:val="000201C1"/>
    <w:rsid w:val="000204E4"/>
    <w:rsid w:val="00020F35"/>
    <w:rsid w:val="00021C59"/>
    <w:rsid w:val="00021FD3"/>
    <w:rsid w:val="00023055"/>
    <w:rsid w:val="00023156"/>
    <w:rsid w:val="00023185"/>
    <w:rsid w:val="00026A08"/>
    <w:rsid w:val="00026B7C"/>
    <w:rsid w:val="000279EA"/>
    <w:rsid w:val="000314DB"/>
    <w:rsid w:val="000316BD"/>
    <w:rsid w:val="00032E2D"/>
    <w:rsid w:val="000334DF"/>
    <w:rsid w:val="00033536"/>
    <w:rsid w:val="00033AA1"/>
    <w:rsid w:val="00033B6A"/>
    <w:rsid w:val="00034324"/>
    <w:rsid w:val="0003496F"/>
    <w:rsid w:val="00034BA3"/>
    <w:rsid w:val="00034CDA"/>
    <w:rsid w:val="00034F63"/>
    <w:rsid w:val="0003627F"/>
    <w:rsid w:val="00037505"/>
    <w:rsid w:val="000404C6"/>
    <w:rsid w:val="000405BF"/>
    <w:rsid w:val="00040C87"/>
    <w:rsid w:val="00040CAE"/>
    <w:rsid w:val="00041067"/>
    <w:rsid w:val="00041856"/>
    <w:rsid w:val="00041921"/>
    <w:rsid w:val="000430E9"/>
    <w:rsid w:val="00044BB7"/>
    <w:rsid w:val="00044F9F"/>
    <w:rsid w:val="00045942"/>
    <w:rsid w:val="00045EE5"/>
    <w:rsid w:val="00047196"/>
    <w:rsid w:val="00050258"/>
    <w:rsid w:val="0005034F"/>
    <w:rsid w:val="00051277"/>
    <w:rsid w:val="0005173F"/>
    <w:rsid w:val="00051ECE"/>
    <w:rsid w:val="00054663"/>
    <w:rsid w:val="00055300"/>
    <w:rsid w:val="00055AB6"/>
    <w:rsid w:val="0005632F"/>
    <w:rsid w:val="00056A13"/>
    <w:rsid w:val="00061311"/>
    <w:rsid w:val="00061B85"/>
    <w:rsid w:val="00062064"/>
    <w:rsid w:val="00063028"/>
    <w:rsid w:val="00063B93"/>
    <w:rsid w:val="00063EFE"/>
    <w:rsid w:val="00064417"/>
    <w:rsid w:val="0006463B"/>
    <w:rsid w:val="00064649"/>
    <w:rsid w:val="00064BF9"/>
    <w:rsid w:val="00065388"/>
    <w:rsid w:val="00065665"/>
    <w:rsid w:val="0006601A"/>
    <w:rsid w:val="000665FE"/>
    <w:rsid w:val="000671A2"/>
    <w:rsid w:val="00067818"/>
    <w:rsid w:val="00067833"/>
    <w:rsid w:val="00067D7A"/>
    <w:rsid w:val="00070340"/>
    <w:rsid w:val="000708F9"/>
    <w:rsid w:val="000719DB"/>
    <w:rsid w:val="00071DAC"/>
    <w:rsid w:val="0007207A"/>
    <w:rsid w:val="00072CA0"/>
    <w:rsid w:val="00072FF3"/>
    <w:rsid w:val="00073F2F"/>
    <w:rsid w:val="00073F71"/>
    <w:rsid w:val="00073F84"/>
    <w:rsid w:val="000743D1"/>
    <w:rsid w:val="000746A8"/>
    <w:rsid w:val="00074FC6"/>
    <w:rsid w:val="00076052"/>
    <w:rsid w:val="00076223"/>
    <w:rsid w:val="00076436"/>
    <w:rsid w:val="00076558"/>
    <w:rsid w:val="00077068"/>
    <w:rsid w:val="0007793B"/>
    <w:rsid w:val="00077C43"/>
    <w:rsid w:val="00077D8B"/>
    <w:rsid w:val="00082390"/>
    <w:rsid w:val="00082EB0"/>
    <w:rsid w:val="00083463"/>
    <w:rsid w:val="00083C57"/>
    <w:rsid w:val="00084EFD"/>
    <w:rsid w:val="00085489"/>
    <w:rsid w:val="000863D1"/>
    <w:rsid w:val="00086A7A"/>
    <w:rsid w:val="000874E4"/>
    <w:rsid w:val="00087DEF"/>
    <w:rsid w:val="000921FF"/>
    <w:rsid w:val="000942A8"/>
    <w:rsid w:val="00094641"/>
    <w:rsid w:val="00094F01"/>
    <w:rsid w:val="00095245"/>
    <w:rsid w:val="00095368"/>
    <w:rsid w:val="00095431"/>
    <w:rsid w:val="000955A6"/>
    <w:rsid w:val="0009679B"/>
    <w:rsid w:val="00097185"/>
    <w:rsid w:val="000A2970"/>
    <w:rsid w:val="000A2A2A"/>
    <w:rsid w:val="000A3B88"/>
    <w:rsid w:val="000A3FD5"/>
    <w:rsid w:val="000A4A5B"/>
    <w:rsid w:val="000A4BA2"/>
    <w:rsid w:val="000A4C42"/>
    <w:rsid w:val="000A4D00"/>
    <w:rsid w:val="000A6219"/>
    <w:rsid w:val="000A694F"/>
    <w:rsid w:val="000A6DD1"/>
    <w:rsid w:val="000A6DF5"/>
    <w:rsid w:val="000A7BFA"/>
    <w:rsid w:val="000A7E34"/>
    <w:rsid w:val="000B071E"/>
    <w:rsid w:val="000B0A14"/>
    <w:rsid w:val="000B0B87"/>
    <w:rsid w:val="000B0C3D"/>
    <w:rsid w:val="000B2E83"/>
    <w:rsid w:val="000B40C2"/>
    <w:rsid w:val="000B428C"/>
    <w:rsid w:val="000B5B09"/>
    <w:rsid w:val="000B5CD6"/>
    <w:rsid w:val="000B5DAB"/>
    <w:rsid w:val="000B6098"/>
    <w:rsid w:val="000B615E"/>
    <w:rsid w:val="000B7097"/>
    <w:rsid w:val="000B71A8"/>
    <w:rsid w:val="000B7353"/>
    <w:rsid w:val="000B7627"/>
    <w:rsid w:val="000B7B9F"/>
    <w:rsid w:val="000B7FF5"/>
    <w:rsid w:val="000C0D0A"/>
    <w:rsid w:val="000C3114"/>
    <w:rsid w:val="000C5FF0"/>
    <w:rsid w:val="000C7F94"/>
    <w:rsid w:val="000D0783"/>
    <w:rsid w:val="000D0794"/>
    <w:rsid w:val="000D1770"/>
    <w:rsid w:val="000D1955"/>
    <w:rsid w:val="000D1963"/>
    <w:rsid w:val="000D2B25"/>
    <w:rsid w:val="000D2BE7"/>
    <w:rsid w:val="000D3563"/>
    <w:rsid w:val="000D3FE5"/>
    <w:rsid w:val="000D456B"/>
    <w:rsid w:val="000D45FF"/>
    <w:rsid w:val="000D522D"/>
    <w:rsid w:val="000D57AA"/>
    <w:rsid w:val="000D5856"/>
    <w:rsid w:val="000D5BFA"/>
    <w:rsid w:val="000D73C3"/>
    <w:rsid w:val="000E12E1"/>
    <w:rsid w:val="000E169F"/>
    <w:rsid w:val="000E18AA"/>
    <w:rsid w:val="000E1C32"/>
    <w:rsid w:val="000E3822"/>
    <w:rsid w:val="000E416E"/>
    <w:rsid w:val="000E427E"/>
    <w:rsid w:val="000E4C55"/>
    <w:rsid w:val="000E4F64"/>
    <w:rsid w:val="000E5225"/>
    <w:rsid w:val="000E7541"/>
    <w:rsid w:val="000F1DED"/>
    <w:rsid w:val="000F1DEE"/>
    <w:rsid w:val="000F1E18"/>
    <w:rsid w:val="000F2EDB"/>
    <w:rsid w:val="000F365B"/>
    <w:rsid w:val="000F3FFF"/>
    <w:rsid w:val="000F44ED"/>
    <w:rsid w:val="000F4B95"/>
    <w:rsid w:val="000F5992"/>
    <w:rsid w:val="000F6AB9"/>
    <w:rsid w:val="000F6B00"/>
    <w:rsid w:val="000F6FE4"/>
    <w:rsid w:val="000F7194"/>
    <w:rsid w:val="000F746A"/>
    <w:rsid w:val="0010047E"/>
    <w:rsid w:val="001008C8"/>
    <w:rsid w:val="0010124A"/>
    <w:rsid w:val="001017D7"/>
    <w:rsid w:val="00102D15"/>
    <w:rsid w:val="00103102"/>
    <w:rsid w:val="00104E2B"/>
    <w:rsid w:val="001051AF"/>
    <w:rsid w:val="001057AF"/>
    <w:rsid w:val="00106684"/>
    <w:rsid w:val="0010699C"/>
    <w:rsid w:val="00106EC5"/>
    <w:rsid w:val="00107005"/>
    <w:rsid w:val="001072E0"/>
    <w:rsid w:val="00107B42"/>
    <w:rsid w:val="001108D1"/>
    <w:rsid w:val="00111111"/>
    <w:rsid w:val="001123E7"/>
    <w:rsid w:val="001129B2"/>
    <w:rsid w:val="00112A7E"/>
    <w:rsid w:val="00113A3E"/>
    <w:rsid w:val="00114702"/>
    <w:rsid w:val="00114A7D"/>
    <w:rsid w:val="001159EE"/>
    <w:rsid w:val="00115E66"/>
    <w:rsid w:val="001161CF"/>
    <w:rsid w:val="001167DB"/>
    <w:rsid w:val="00116967"/>
    <w:rsid w:val="00116A34"/>
    <w:rsid w:val="00116D76"/>
    <w:rsid w:val="00116E49"/>
    <w:rsid w:val="00117062"/>
    <w:rsid w:val="001170CE"/>
    <w:rsid w:val="001178E2"/>
    <w:rsid w:val="00117C52"/>
    <w:rsid w:val="001209B7"/>
    <w:rsid w:val="001213E9"/>
    <w:rsid w:val="001214D0"/>
    <w:rsid w:val="00123DB7"/>
    <w:rsid w:val="0012425E"/>
    <w:rsid w:val="00124F09"/>
    <w:rsid w:val="0012511F"/>
    <w:rsid w:val="00125262"/>
    <w:rsid w:val="00125392"/>
    <w:rsid w:val="00126AD8"/>
    <w:rsid w:val="001276ED"/>
    <w:rsid w:val="00127E6A"/>
    <w:rsid w:val="00130067"/>
    <w:rsid w:val="001302B8"/>
    <w:rsid w:val="00131086"/>
    <w:rsid w:val="0013112F"/>
    <w:rsid w:val="0013161B"/>
    <w:rsid w:val="00131C30"/>
    <w:rsid w:val="00131D14"/>
    <w:rsid w:val="00131F24"/>
    <w:rsid w:val="00132477"/>
    <w:rsid w:val="0013362D"/>
    <w:rsid w:val="0013431D"/>
    <w:rsid w:val="00134648"/>
    <w:rsid w:val="001347EC"/>
    <w:rsid w:val="00135759"/>
    <w:rsid w:val="00135AED"/>
    <w:rsid w:val="00135BC4"/>
    <w:rsid w:val="001369C3"/>
    <w:rsid w:val="00136EE6"/>
    <w:rsid w:val="001378A8"/>
    <w:rsid w:val="00137AF4"/>
    <w:rsid w:val="00137B6B"/>
    <w:rsid w:val="001407AB"/>
    <w:rsid w:val="00141CB6"/>
    <w:rsid w:val="00142194"/>
    <w:rsid w:val="0014457C"/>
    <w:rsid w:val="001449E6"/>
    <w:rsid w:val="0014579B"/>
    <w:rsid w:val="00146A7E"/>
    <w:rsid w:val="0015132A"/>
    <w:rsid w:val="00151628"/>
    <w:rsid w:val="00151A64"/>
    <w:rsid w:val="0015210B"/>
    <w:rsid w:val="0015286F"/>
    <w:rsid w:val="001528B1"/>
    <w:rsid w:val="00152AFF"/>
    <w:rsid w:val="001554EC"/>
    <w:rsid w:val="001565DA"/>
    <w:rsid w:val="00157E12"/>
    <w:rsid w:val="001602D9"/>
    <w:rsid w:val="001605FB"/>
    <w:rsid w:val="00160863"/>
    <w:rsid w:val="00160C56"/>
    <w:rsid w:val="001621B2"/>
    <w:rsid w:val="00162769"/>
    <w:rsid w:val="00162B12"/>
    <w:rsid w:val="00163021"/>
    <w:rsid w:val="00163A4F"/>
    <w:rsid w:val="00164A96"/>
    <w:rsid w:val="001654FA"/>
    <w:rsid w:val="0016649D"/>
    <w:rsid w:val="00166692"/>
    <w:rsid w:val="0016722F"/>
    <w:rsid w:val="00167DD2"/>
    <w:rsid w:val="00167EAD"/>
    <w:rsid w:val="00170051"/>
    <w:rsid w:val="00170340"/>
    <w:rsid w:val="0017080E"/>
    <w:rsid w:val="00170C26"/>
    <w:rsid w:val="00171430"/>
    <w:rsid w:val="00173435"/>
    <w:rsid w:val="00173C5E"/>
    <w:rsid w:val="00174529"/>
    <w:rsid w:val="00174D16"/>
    <w:rsid w:val="00174E84"/>
    <w:rsid w:val="00175041"/>
    <w:rsid w:val="00175BB3"/>
    <w:rsid w:val="00176570"/>
    <w:rsid w:val="0017662E"/>
    <w:rsid w:val="0017703B"/>
    <w:rsid w:val="00177477"/>
    <w:rsid w:val="00177851"/>
    <w:rsid w:val="00177B77"/>
    <w:rsid w:val="00177E3F"/>
    <w:rsid w:val="001801CB"/>
    <w:rsid w:val="00180275"/>
    <w:rsid w:val="00180644"/>
    <w:rsid w:val="0018131E"/>
    <w:rsid w:val="00181735"/>
    <w:rsid w:val="00181BE3"/>
    <w:rsid w:val="00182153"/>
    <w:rsid w:val="00183195"/>
    <w:rsid w:val="00183525"/>
    <w:rsid w:val="0018358B"/>
    <w:rsid w:val="00183724"/>
    <w:rsid w:val="00184EAF"/>
    <w:rsid w:val="0018503D"/>
    <w:rsid w:val="0018523C"/>
    <w:rsid w:val="00185E01"/>
    <w:rsid w:val="00186292"/>
    <w:rsid w:val="00187319"/>
    <w:rsid w:val="00187533"/>
    <w:rsid w:val="0019079F"/>
    <w:rsid w:val="00190953"/>
    <w:rsid w:val="00191194"/>
    <w:rsid w:val="00192441"/>
    <w:rsid w:val="00192922"/>
    <w:rsid w:val="001935E2"/>
    <w:rsid w:val="0019444D"/>
    <w:rsid w:val="00194A22"/>
    <w:rsid w:val="00194D8F"/>
    <w:rsid w:val="001958DC"/>
    <w:rsid w:val="00196252"/>
    <w:rsid w:val="001966AA"/>
    <w:rsid w:val="00196D5E"/>
    <w:rsid w:val="00196F4B"/>
    <w:rsid w:val="001A0CAB"/>
    <w:rsid w:val="001A0E41"/>
    <w:rsid w:val="001A11EB"/>
    <w:rsid w:val="001A1D0A"/>
    <w:rsid w:val="001A3056"/>
    <w:rsid w:val="001A312F"/>
    <w:rsid w:val="001A330F"/>
    <w:rsid w:val="001A344A"/>
    <w:rsid w:val="001A3ACE"/>
    <w:rsid w:val="001A406C"/>
    <w:rsid w:val="001A62A1"/>
    <w:rsid w:val="001A63E7"/>
    <w:rsid w:val="001A64CF"/>
    <w:rsid w:val="001A6AF5"/>
    <w:rsid w:val="001B0F50"/>
    <w:rsid w:val="001B16CE"/>
    <w:rsid w:val="001B1C75"/>
    <w:rsid w:val="001B253D"/>
    <w:rsid w:val="001B31D7"/>
    <w:rsid w:val="001B4093"/>
    <w:rsid w:val="001B522A"/>
    <w:rsid w:val="001B5738"/>
    <w:rsid w:val="001B58C9"/>
    <w:rsid w:val="001B6006"/>
    <w:rsid w:val="001B6C2D"/>
    <w:rsid w:val="001B6E93"/>
    <w:rsid w:val="001B74F5"/>
    <w:rsid w:val="001B79FD"/>
    <w:rsid w:val="001B7B84"/>
    <w:rsid w:val="001C05AB"/>
    <w:rsid w:val="001C1059"/>
    <w:rsid w:val="001C2A8A"/>
    <w:rsid w:val="001C4859"/>
    <w:rsid w:val="001C54F3"/>
    <w:rsid w:val="001C5539"/>
    <w:rsid w:val="001C5E26"/>
    <w:rsid w:val="001D28A8"/>
    <w:rsid w:val="001D2F5F"/>
    <w:rsid w:val="001D30A6"/>
    <w:rsid w:val="001D44EC"/>
    <w:rsid w:val="001D58FF"/>
    <w:rsid w:val="001D59B0"/>
    <w:rsid w:val="001D6266"/>
    <w:rsid w:val="001D63FD"/>
    <w:rsid w:val="001D677E"/>
    <w:rsid w:val="001D6F3F"/>
    <w:rsid w:val="001D72FB"/>
    <w:rsid w:val="001D77EC"/>
    <w:rsid w:val="001D79C2"/>
    <w:rsid w:val="001E04A0"/>
    <w:rsid w:val="001E04F1"/>
    <w:rsid w:val="001E07BF"/>
    <w:rsid w:val="001E1E50"/>
    <w:rsid w:val="001E3BD1"/>
    <w:rsid w:val="001E3F0E"/>
    <w:rsid w:val="001E44BA"/>
    <w:rsid w:val="001E460E"/>
    <w:rsid w:val="001E4EE8"/>
    <w:rsid w:val="001E5159"/>
    <w:rsid w:val="001E5898"/>
    <w:rsid w:val="001E68D0"/>
    <w:rsid w:val="001E7E31"/>
    <w:rsid w:val="001F07C5"/>
    <w:rsid w:val="001F1324"/>
    <w:rsid w:val="001F134E"/>
    <w:rsid w:val="001F1946"/>
    <w:rsid w:val="001F1C38"/>
    <w:rsid w:val="001F1C73"/>
    <w:rsid w:val="001F3378"/>
    <w:rsid w:val="001F3C43"/>
    <w:rsid w:val="001F4719"/>
    <w:rsid w:val="001F602E"/>
    <w:rsid w:val="001F66CF"/>
    <w:rsid w:val="001F7137"/>
    <w:rsid w:val="001F7DFE"/>
    <w:rsid w:val="002005FD"/>
    <w:rsid w:val="00201180"/>
    <w:rsid w:val="00201590"/>
    <w:rsid w:val="00201F0C"/>
    <w:rsid w:val="00202157"/>
    <w:rsid w:val="002028E4"/>
    <w:rsid w:val="00202D5B"/>
    <w:rsid w:val="00202F2A"/>
    <w:rsid w:val="002036F3"/>
    <w:rsid w:val="00204191"/>
    <w:rsid w:val="002047D3"/>
    <w:rsid w:val="002054D8"/>
    <w:rsid w:val="002056FA"/>
    <w:rsid w:val="00205A83"/>
    <w:rsid w:val="00205CBD"/>
    <w:rsid w:val="00206487"/>
    <w:rsid w:val="0020674D"/>
    <w:rsid w:val="00206C3F"/>
    <w:rsid w:val="00206E10"/>
    <w:rsid w:val="00207273"/>
    <w:rsid w:val="00207E8B"/>
    <w:rsid w:val="002108DD"/>
    <w:rsid w:val="0021092F"/>
    <w:rsid w:val="0021169E"/>
    <w:rsid w:val="00211789"/>
    <w:rsid w:val="00211C20"/>
    <w:rsid w:val="00212686"/>
    <w:rsid w:val="002130FB"/>
    <w:rsid w:val="0021421B"/>
    <w:rsid w:val="002157C5"/>
    <w:rsid w:val="00215BDE"/>
    <w:rsid w:val="0021605B"/>
    <w:rsid w:val="002164F2"/>
    <w:rsid w:val="002169E6"/>
    <w:rsid w:val="0021708A"/>
    <w:rsid w:val="002173CF"/>
    <w:rsid w:val="00217490"/>
    <w:rsid w:val="00217DC1"/>
    <w:rsid w:val="00220226"/>
    <w:rsid w:val="00220734"/>
    <w:rsid w:val="002216C1"/>
    <w:rsid w:val="00222513"/>
    <w:rsid w:val="0022259D"/>
    <w:rsid w:val="0022346E"/>
    <w:rsid w:val="00224266"/>
    <w:rsid w:val="00224DB7"/>
    <w:rsid w:val="00225305"/>
    <w:rsid w:val="00225A4D"/>
    <w:rsid w:val="00226100"/>
    <w:rsid w:val="00227667"/>
    <w:rsid w:val="00227E9F"/>
    <w:rsid w:val="002306BE"/>
    <w:rsid w:val="00230CC1"/>
    <w:rsid w:val="00230D14"/>
    <w:rsid w:val="00231065"/>
    <w:rsid w:val="002314E9"/>
    <w:rsid w:val="00231F99"/>
    <w:rsid w:val="00232729"/>
    <w:rsid w:val="00233016"/>
    <w:rsid w:val="00235478"/>
    <w:rsid w:val="00235509"/>
    <w:rsid w:val="002358C7"/>
    <w:rsid w:val="002362CC"/>
    <w:rsid w:val="00237506"/>
    <w:rsid w:val="002378D0"/>
    <w:rsid w:val="00237D12"/>
    <w:rsid w:val="002402A5"/>
    <w:rsid w:val="0024055D"/>
    <w:rsid w:val="00240863"/>
    <w:rsid w:val="00240C70"/>
    <w:rsid w:val="00240ECA"/>
    <w:rsid w:val="002410F9"/>
    <w:rsid w:val="0024120B"/>
    <w:rsid w:val="002414ED"/>
    <w:rsid w:val="002423ED"/>
    <w:rsid w:val="00242A2B"/>
    <w:rsid w:val="00243A1C"/>
    <w:rsid w:val="00245ACA"/>
    <w:rsid w:val="00245C87"/>
    <w:rsid w:val="00246194"/>
    <w:rsid w:val="00246411"/>
    <w:rsid w:val="00247253"/>
    <w:rsid w:val="00247B6D"/>
    <w:rsid w:val="00252089"/>
    <w:rsid w:val="0025249A"/>
    <w:rsid w:val="00252ADA"/>
    <w:rsid w:val="00252FF5"/>
    <w:rsid w:val="0025326E"/>
    <w:rsid w:val="0025448F"/>
    <w:rsid w:val="002553EA"/>
    <w:rsid w:val="00255705"/>
    <w:rsid w:val="0025577C"/>
    <w:rsid w:val="002557DC"/>
    <w:rsid w:val="0025785F"/>
    <w:rsid w:val="00261696"/>
    <w:rsid w:val="00261984"/>
    <w:rsid w:val="0026258A"/>
    <w:rsid w:val="00262A9D"/>
    <w:rsid w:val="00263540"/>
    <w:rsid w:val="00263AF8"/>
    <w:rsid w:val="00264279"/>
    <w:rsid w:val="0026440A"/>
    <w:rsid w:val="002646DF"/>
    <w:rsid w:val="00265130"/>
    <w:rsid w:val="00265203"/>
    <w:rsid w:val="0026581B"/>
    <w:rsid w:val="00265D50"/>
    <w:rsid w:val="00265EDA"/>
    <w:rsid w:val="00266594"/>
    <w:rsid w:val="0026664B"/>
    <w:rsid w:val="00270D49"/>
    <w:rsid w:val="00270FEA"/>
    <w:rsid w:val="00272390"/>
    <w:rsid w:val="00272582"/>
    <w:rsid w:val="00272A37"/>
    <w:rsid w:val="00272B60"/>
    <w:rsid w:val="00272E91"/>
    <w:rsid w:val="002734B2"/>
    <w:rsid w:val="00273945"/>
    <w:rsid w:val="00273DEE"/>
    <w:rsid w:val="0027522C"/>
    <w:rsid w:val="0027543F"/>
    <w:rsid w:val="002760E4"/>
    <w:rsid w:val="002765B9"/>
    <w:rsid w:val="00277378"/>
    <w:rsid w:val="002775E0"/>
    <w:rsid w:val="00280BAA"/>
    <w:rsid w:val="002834D7"/>
    <w:rsid w:val="0028431C"/>
    <w:rsid w:val="00284AA1"/>
    <w:rsid w:val="00284BDB"/>
    <w:rsid w:val="00284FF3"/>
    <w:rsid w:val="00285937"/>
    <w:rsid w:val="00285CC4"/>
    <w:rsid w:val="00286851"/>
    <w:rsid w:val="002870BB"/>
    <w:rsid w:val="002909AD"/>
    <w:rsid w:val="00291B90"/>
    <w:rsid w:val="00292F4A"/>
    <w:rsid w:val="00293F97"/>
    <w:rsid w:val="00294D1A"/>
    <w:rsid w:val="002962C6"/>
    <w:rsid w:val="0029660E"/>
    <w:rsid w:val="00296FAA"/>
    <w:rsid w:val="00297134"/>
    <w:rsid w:val="0029727E"/>
    <w:rsid w:val="0029798C"/>
    <w:rsid w:val="002A04DB"/>
    <w:rsid w:val="002A1959"/>
    <w:rsid w:val="002A3638"/>
    <w:rsid w:val="002A49E9"/>
    <w:rsid w:val="002A4D9A"/>
    <w:rsid w:val="002A61A0"/>
    <w:rsid w:val="002A64B0"/>
    <w:rsid w:val="002A666B"/>
    <w:rsid w:val="002A6B50"/>
    <w:rsid w:val="002A7567"/>
    <w:rsid w:val="002A7DF4"/>
    <w:rsid w:val="002B0308"/>
    <w:rsid w:val="002B14F2"/>
    <w:rsid w:val="002B1A43"/>
    <w:rsid w:val="002B1ABC"/>
    <w:rsid w:val="002B1FB9"/>
    <w:rsid w:val="002B2690"/>
    <w:rsid w:val="002B26EC"/>
    <w:rsid w:val="002B324A"/>
    <w:rsid w:val="002B3D17"/>
    <w:rsid w:val="002B3EF5"/>
    <w:rsid w:val="002B5793"/>
    <w:rsid w:val="002B5F03"/>
    <w:rsid w:val="002B6423"/>
    <w:rsid w:val="002B65EE"/>
    <w:rsid w:val="002B6A63"/>
    <w:rsid w:val="002B6B7B"/>
    <w:rsid w:val="002B7C85"/>
    <w:rsid w:val="002B7DCD"/>
    <w:rsid w:val="002C0484"/>
    <w:rsid w:val="002C0D1E"/>
    <w:rsid w:val="002C1DFD"/>
    <w:rsid w:val="002C20CF"/>
    <w:rsid w:val="002C2381"/>
    <w:rsid w:val="002C2987"/>
    <w:rsid w:val="002C2BF7"/>
    <w:rsid w:val="002C324F"/>
    <w:rsid w:val="002C3B7F"/>
    <w:rsid w:val="002C4380"/>
    <w:rsid w:val="002C44F8"/>
    <w:rsid w:val="002C66EA"/>
    <w:rsid w:val="002D1BCB"/>
    <w:rsid w:val="002D2B6F"/>
    <w:rsid w:val="002D4617"/>
    <w:rsid w:val="002D5B85"/>
    <w:rsid w:val="002D64B1"/>
    <w:rsid w:val="002D6C02"/>
    <w:rsid w:val="002D6F6A"/>
    <w:rsid w:val="002D73D4"/>
    <w:rsid w:val="002E023A"/>
    <w:rsid w:val="002E05E3"/>
    <w:rsid w:val="002E0CF1"/>
    <w:rsid w:val="002E1533"/>
    <w:rsid w:val="002E1AF0"/>
    <w:rsid w:val="002E1F1A"/>
    <w:rsid w:val="002E2E1F"/>
    <w:rsid w:val="002E3A69"/>
    <w:rsid w:val="002E3B8A"/>
    <w:rsid w:val="002E5015"/>
    <w:rsid w:val="002E55E5"/>
    <w:rsid w:val="002E5DC8"/>
    <w:rsid w:val="002E620F"/>
    <w:rsid w:val="002E6CBA"/>
    <w:rsid w:val="002E6CF3"/>
    <w:rsid w:val="002E779E"/>
    <w:rsid w:val="002F0126"/>
    <w:rsid w:val="002F04E5"/>
    <w:rsid w:val="002F0C88"/>
    <w:rsid w:val="002F1B07"/>
    <w:rsid w:val="002F29ED"/>
    <w:rsid w:val="002F33E4"/>
    <w:rsid w:val="002F553D"/>
    <w:rsid w:val="002F5EA3"/>
    <w:rsid w:val="002F60DC"/>
    <w:rsid w:val="002F6189"/>
    <w:rsid w:val="002F62E7"/>
    <w:rsid w:val="002F6350"/>
    <w:rsid w:val="002F65D3"/>
    <w:rsid w:val="002F6C62"/>
    <w:rsid w:val="002F6E36"/>
    <w:rsid w:val="002F7307"/>
    <w:rsid w:val="002F7D96"/>
    <w:rsid w:val="003002FC"/>
    <w:rsid w:val="0030054A"/>
    <w:rsid w:val="00301451"/>
    <w:rsid w:val="00301764"/>
    <w:rsid w:val="003061F3"/>
    <w:rsid w:val="003065EA"/>
    <w:rsid w:val="0030791A"/>
    <w:rsid w:val="00310A63"/>
    <w:rsid w:val="00311D1C"/>
    <w:rsid w:val="0031215C"/>
    <w:rsid w:val="00312B46"/>
    <w:rsid w:val="00313C11"/>
    <w:rsid w:val="00313E87"/>
    <w:rsid w:val="00314E48"/>
    <w:rsid w:val="00314EAA"/>
    <w:rsid w:val="00315218"/>
    <w:rsid w:val="003162FE"/>
    <w:rsid w:val="003169FF"/>
    <w:rsid w:val="00317374"/>
    <w:rsid w:val="0031782B"/>
    <w:rsid w:val="00320797"/>
    <w:rsid w:val="003209A5"/>
    <w:rsid w:val="00321303"/>
    <w:rsid w:val="003215D0"/>
    <w:rsid w:val="00321B0F"/>
    <w:rsid w:val="00321BF5"/>
    <w:rsid w:val="00321CA7"/>
    <w:rsid w:val="00322242"/>
    <w:rsid w:val="0032294B"/>
    <w:rsid w:val="00322BDA"/>
    <w:rsid w:val="00322FEA"/>
    <w:rsid w:val="0032368B"/>
    <w:rsid w:val="00323B3C"/>
    <w:rsid w:val="00323B9B"/>
    <w:rsid w:val="00323EE0"/>
    <w:rsid w:val="003250B5"/>
    <w:rsid w:val="0032569D"/>
    <w:rsid w:val="00325E39"/>
    <w:rsid w:val="00327342"/>
    <w:rsid w:val="003275CF"/>
    <w:rsid w:val="00327958"/>
    <w:rsid w:val="00327AE8"/>
    <w:rsid w:val="003300D1"/>
    <w:rsid w:val="00330EEC"/>
    <w:rsid w:val="003310FC"/>
    <w:rsid w:val="003316A2"/>
    <w:rsid w:val="00331BA2"/>
    <w:rsid w:val="00331F09"/>
    <w:rsid w:val="0033248F"/>
    <w:rsid w:val="0033289C"/>
    <w:rsid w:val="00334294"/>
    <w:rsid w:val="00336881"/>
    <w:rsid w:val="0033705C"/>
    <w:rsid w:val="00337E3A"/>
    <w:rsid w:val="00340700"/>
    <w:rsid w:val="00341701"/>
    <w:rsid w:val="00341E1B"/>
    <w:rsid w:val="00342538"/>
    <w:rsid w:val="00343F2D"/>
    <w:rsid w:val="00345340"/>
    <w:rsid w:val="003454D9"/>
    <w:rsid w:val="003468BE"/>
    <w:rsid w:val="003468D2"/>
    <w:rsid w:val="00346D81"/>
    <w:rsid w:val="0034767C"/>
    <w:rsid w:val="003504E0"/>
    <w:rsid w:val="00351B7B"/>
    <w:rsid w:val="003520CF"/>
    <w:rsid w:val="00352130"/>
    <w:rsid w:val="00352629"/>
    <w:rsid w:val="00352F5E"/>
    <w:rsid w:val="003535C3"/>
    <w:rsid w:val="0035435C"/>
    <w:rsid w:val="00354637"/>
    <w:rsid w:val="0035480E"/>
    <w:rsid w:val="0035494E"/>
    <w:rsid w:val="00354BFF"/>
    <w:rsid w:val="00355078"/>
    <w:rsid w:val="00355BD8"/>
    <w:rsid w:val="00356AD2"/>
    <w:rsid w:val="003577C2"/>
    <w:rsid w:val="003607F7"/>
    <w:rsid w:val="00360DE5"/>
    <w:rsid w:val="00361C08"/>
    <w:rsid w:val="0036201E"/>
    <w:rsid w:val="003633E1"/>
    <w:rsid w:val="0036373E"/>
    <w:rsid w:val="003639F7"/>
    <w:rsid w:val="00363AD4"/>
    <w:rsid w:val="00363D93"/>
    <w:rsid w:val="00363EAE"/>
    <w:rsid w:val="00364893"/>
    <w:rsid w:val="00365A9D"/>
    <w:rsid w:val="00366C81"/>
    <w:rsid w:val="00366D2F"/>
    <w:rsid w:val="00367FDD"/>
    <w:rsid w:val="0037282B"/>
    <w:rsid w:val="0037338E"/>
    <w:rsid w:val="003738CE"/>
    <w:rsid w:val="0037433D"/>
    <w:rsid w:val="003764D2"/>
    <w:rsid w:val="00376B56"/>
    <w:rsid w:val="00377076"/>
    <w:rsid w:val="003773A5"/>
    <w:rsid w:val="003775F7"/>
    <w:rsid w:val="0037765D"/>
    <w:rsid w:val="0037791B"/>
    <w:rsid w:val="00377CC1"/>
    <w:rsid w:val="0038033E"/>
    <w:rsid w:val="003822A4"/>
    <w:rsid w:val="003822B8"/>
    <w:rsid w:val="00382429"/>
    <w:rsid w:val="00382C45"/>
    <w:rsid w:val="00382C7E"/>
    <w:rsid w:val="00383387"/>
    <w:rsid w:val="0038351C"/>
    <w:rsid w:val="00383891"/>
    <w:rsid w:val="003845F8"/>
    <w:rsid w:val="00384A94"/>
    <w:rsid w:val="003852A8"/>
    <w:rsid w:val="00385827"/>
    <w:rsid w:val="00385E7A"/>
    <w:rsid w:val="00386A77"/>
    <w:rsid w:val="00386B3B"/>
    <w:rsid w:val="003872A8"/>
    <w:rsid w:val="00387EF5"/>
    <w:rsid w:val="0039030C"/>
    <w:rsid w:val="003906A3"/>
    <w:rsid w:val="003907C0"/>
    <w:rsid w:val="00390A55"/>
    <w:rsid w:val="003916E8"/>
    <w:rsid w:val="00391F3C"/>
    <w:rsid w:val="00392149"/>
    <w:rsid w:val="00392461"/>
    <w:rsid w:val="00392690"/>
    <w:rsid w:val="0039288E"/>
    <w:rsid w:val="00393021"/>
    <w:rsid w:val="00393365"/>
    <w:rsid w:val="0039363C"/>
    <w:rsid w:val="00393D4C"/>
    <w:rsid w:val="00394B4B"/>
    <w:rsid w:val="00397EBC"/>
    <w:rsid w:val="00397F87"/>
    <w:rsid w:val="003A185C"/>
    <w:rsid w:val="003A1C83"/>
    <w:rsid w:val="003A1FAF"/>
    <w:rsid w:val="003A24EE"/>
    <w:rsid w:val="003A2A46"/>
    <w:rsid w:val="003A2BEE"/>
    <w:rsid w:val="003A4F37"/>
    <w:rsid w:val="003A53B6"/>
    <w:rsid w:val="003A5F71"/>
    <w:rsid w:val="003A6060"/>
    <w:rsid w:val="003A797D"/>
    <w:rsid w:val="003A7EA6"/>
    <w:rsid w:val="003B03DB"/>
    <w:rsid w:val="003B080C"/>
    <w:rsid w:val="003B0BC6"/>
    <w:rsid w:val="003B25FB"/>
    <w:rsid w:val="003B436D"/>
    <w:rsid w:val="003B45BC"/>
    <w:rsid w:val="003B49C5"/>
    <w:rsid w:val="003B500B"/>
    <w:rsid w:val="003B7173"/>
    <w:rsid w:val="003B76FC"/>
    <w:rsid w:val="003B7796"/>
    <w:rsid w:val="003B77DC"/>
    <w:rsid w:val="003C0070"/>
    <w:rsid w:val="003C008F"/>
    <w:rsid w:val="003C1764"/>
    <w:rsid w:val="003C1D2A"/>
    <w:rsid w:val="003C2AF5"/>
    <w:rsid w:val="003C4520"/>
    <w:rsid w:val="003C4616"/>
    <w:rsid w:val="003C4D5C"/>
    <w:rsid w:val="003C522F"/>
    <w:rsid w:val="003C562D"/>
    <w:rsid w:val="003C58A1"/>
    <w:rsid w:val="003C6DB2"/>
    <w:rsid w:val="003C7D73"/>
    <w:rsid w:val="003C7EC0"/>
    <w:rsid w:val="003D0205"/>
    <w:rsid w:val="003D086A"/>
    <w:rsid w:val="003D1587"/>
    <w:rsid w:val="003D238C"/>
    <w:rsid w:val="003D24F7"/>
    <w:rsid w:val="003D3259"/>
    <w:rsid w:val="003D38BA"/>
    <w:rsid w:val="003D589D"/>
    <w:rsid w:val="003D6965"/>
    <w:rsid w:val="003D6DAE"/>
    <w:rsid w:val="003E0184"/>
    <w:rsid w:val="003E042B"/>
    <w:rsid w:val="003E0721"/>
    <w:rsid w:val="003E0CD3"/>
    <w:rsid w:val="003E13FF"/>
    <w:rsid w:val="003E14E7"/>
    <w:rsid w:val="003E1E30"/>
    <w:rsid w:val="003E2182"/>
    <w:rsid w:val="003E333B"/>
    <w:rsid w:val="003E334E"/>
    <w:rsid w:val="003E3BF0"/>
    <w:rsid w:val="003E4056"/>
    <w:rsid w:val="003E42A7"/>
    <w:rsid w:val="003E4507"/>
    <w:rsid w:val="003E5852"/>
    <w:rsid w:val="003E5EB4"/>
    <w:rsid w:val="003E5F67"/>
    <w:rsid w:val="003E6E09"/>
    <w:rsid w:val="003E6F20"/>
    <w:rsid w:val="003E718F"/>
    <w:rsid w:val="003E7D50"/>
    <w:rsid w:val="003F101A"/>
    <w:rsid w:val="003F1095"/>
    <w:rsid w:val="003F15CD"/>
    <w:rsid w:val="003F1B20"/>
    <w:rsid w:val="003F2112"/>
    <w:rsid w:val="003F2267"/>
    <w:rsid w:val="003F2E97"/>
    <w:rsid w:val="003F3171"/>
    <w:rsid w:val="003F382F"/>
    <w:rsid w:val="003F41E8"/>
    <w:rsid w:val="003F4D4E"/>
    <w:rsid w:val="003F5570"/>
    <w:rsid w:val="003F6082"/>
    <w:rsid w:val="003F6180"/>
    <w:rsid w:val="003F6452"/>
    <w:rsid w:val="003F6931"/>
    <w:rsid w:val="003F7D6D"/>
    <w:rsid w:val="004006D6"/>
    <w:rsid w:val="00401DB1"/>
    <w:rsid w:val="00402646"/>
    <w:rsid w:val="00402C0A"/>
    <w:rsid w:val="004039CF"/>
    <w:rsid w:val="00404F09"/>
    <w:rsid w:val="00405792"/>
    <w:rsid w:val="00405802"/>
    <w:rsid w:val="00405E5E"/>
    <w:rsid w:val="004066FB"/>
    <w:rsid w:val="00407458"/>
    <w:rsid w:val="004079D9"/>
    <w:rsid w:val="00410282"/>
    <w:rsid w:val="00410585"/>
    <w:rsid w:val="0041072B"/>
    <w:rsid w:val="00410764"/>
    <w:rsid w:val="004113FC"/>
    <w:rsid w:val="0041223C"/>
    <w:rsid w:val="004126E0"/>
    <w:rsid w:val="00412E27"/>
    <w:rsid w:val="0041542E"/>
    <w:rsid w:val="004154BF"/>
    <w:rsid w:val="00415780"/>
    <w:rsid w:val="00415A8A"/>
    <w:rsid w:val="00415D23"/>
    <w:rsid w:val="0041615B"/>
    <w:rsid w:val="00416645"/>
    <w:rsid w:val="004168C5"/>
    <w:rsid w:val="00416D78"/>
    <w:rsid w:val="00417BC7"/>
    <w:rsid w:val="0042096D"/>
    <w:rsid w:val="00420E6D"/>
    <w:rsid w:val="00421C2B"/>
    <w:rsid w:val="004233B2"/>
    <w:rsid w:val="004236FB"/>
    <w:rsid w:val="004237BE"/>
    <w:rsid w:val="00423B8C"/>
    <w:rsid w:val="00423FF8"/>
    <w:rsid w:val="00424232"/>
    <w:rsid w:val="00424370"/>
    <w:rsid w:val="00424BCC"/>
    <w:rsid w:val="00427129"/>
    <w:rsid w:val="0042715C"/>
    <w:rsid w:val="004274FB"/>
    <w:rsid w:val="004301B1"/>
    <w:rsid w:val="00430339"/>
    <w:rsid w:val="004303D4"/>
    <w:rsid w:val="00432121"/>
    <w:rsid w:val="004326BA"/>
    <w:rsid w:val="004333A6"/>
    <w:rsid w:val="004338B0"/>
    <w:rsid w:val="00433900"/>
    <w:rsid w:val="00434AED"/>
    <w:rsid w:val="00434EAA"/>
    <w:rsid w:val="004350B4"/>
    <w:rsid w:val="004363E7"/>
    <w:rsid w:val="004376E9"/>
    <w:rsid w:val="00437EE6"/>
    <w:rsid w:val="004400F3"/>
    <w:rsid w:val="004416DD"/>
    <w:rsid w:val="00441D12"/>
    <w:rsid w:val="004425B4"/>
    <w:rsid w:val="00443B24"/>
    <w:rsid w:val="00445AD1"/>
    <w:rsid w:val="004460F3"/>
    <w:rsid w:val="004465A9"/>
    <w:rsid w:val="0044683C"/>
    <w:rsid w:val="00446E3D"/>
    <w:rsid w:val="00447213"/>
    <w:rsid w:val="00447CE2"/>
    <w:rsid w:val="00450FFB"/>
    <w:rsid w:val="004511E3"/>
    <w:rsid w:val="004520ED"/>
    <w:rsid w:val="00452E71"/>
    <w:rsid w:val="00453895"/>
    <w:rsid w:val="00453EBB"/>
    <w:rsid w:val="004542CB"/>
    <w:rsid w:val="0045480C"/>
    <w:rsid w:val="00454DE2"/>
    <w:rsid w:val="004555C5"/>
    <w:rsid w:val="00457544"/>
    <w:rsid w:val="0046063A"/>
    <w:rsid w:val="0046069B"/>
    <w:rsid w:val="004607F9"/>
    <w:rsid w:val="00460DA4"/>
    <w:rsid w:val="00461382"/>
    <w:rsid w:val="00462D9B"/>
    <w:rsid w:val="004630FD"/>
    <w:rsid w:val="0046342A"/>
    <w:rsid w:val="00463E1B"/>
    <w:rsid w:val="0046401C"/>
    <w:rsid w:val="00464999"/>
    <w:rsid w:val="004650EF"/>
    <w:rsid w:val="004676E9"/>
    <w:rsid w:val="00467822"/>
    <w:rsid w:val="00467898"/>
    <w:rsid w:val="00470476"/>
    <w:rsid w:val="00471219"/>
    <w:rsid w:val="00471564"/>
    <w:rsid w:val="0047382F"/>
    <w:rsid w:val="00473C03"/>
    <w:rsid w:val="00474DB3"/>
    <w:rsid w:val="004753B8"/>
    <w:rsid w:val="00475748"/>
    <w:rsid w:val="00476BBF"/>
    <w:rsid w:val="00477AEB"/>
    <w:rsid w:val="00477C21"/>
    <w:rsid w:val="00480BD3"/>
    <w:rsid w:val="00480E1C"/>
    <w:rsid w:val="00480ED4"/>
    <w:rsid w:val="004810CA"/>
    <w:rsid w:val="00481B48"/>
    <w:rsid w:val="004824DF"/>
    <w:rsid w:val="00484148"/>
    <w:rsid w:val="004845DF"/>
    <w:rsid w:val="004860C8"/>
    <w:rsid w:val="0048617F"/>
    <w:rsid w:val="004870BB"/>
    <w:rsid w:val="004874ED"/>
    <w:rsid w:val="0049006E"/>
    <w:rsid w:val="00491CA5"/>
    <w:rsid w:val="00492569"/>
    <w:rsid w:val="00492593"/>
    <w:rsid w:val="00493825"/>
    <w:rsid w:val="004946A1"/>
    <w:rsid w:val="00495EE5"/>
    <w:rsid w:val="00496239"/>
    <w:rsid w:val="00496267"/>
    <w:rsid w:val="00496540"/>
    <w:rsid w:val="00496F58"/>
    <w:rsid w:val="004A009F"/>
    <w:rsid w:val="004A1991"/>
    <w:rsid w:val="004A1F33"/>
    <w:rsid w:val="004A2693"/>
    <w:rsid w:val="004A2A11"/>
    <w:rsid w:val="004A2E1E"/>
    <w:rsid w:val="004A3F21"/>
    <w:rsid w:val="004A44AE"/>
    <w:rsid w:val="004A478F"/>
    <w:rsid w:val="004A4B21"/>
    <w:rsid w:val="004A4C5E"/>
    <w:rsid w:val="004A65D9"/>
    <w:rsid w:val="004A7286"/>
    <w:rsid w:val="004A7AB9"/>
    <w:rsid w:val="004B1083"/>
    <w:rsid w:val="004B1BB6"/>
    <w:rsid w:val="004B21D8"/>
    <w:rsid w:val="004B2282"/>
    <w:rsid w:val="004B3258"/>
    <w:rsid w:val="004B36C2"/>
    <w:rsid w:val="004B3765"/>
    <w:rsid w:val="004B39C1"/>
    <w:rsid w:val="004B3D77"/>
    <w:rsid w:val="004B46CA"/>
    <w:rsid w:val="004B4B38"/>
    <w:rsid w:val="004B6214"/>
    <w:rsid w:val="004B67D1"/>
    <w:rsid w:val="004B7182"/>
    <w:rsid w:val="004B74DD"/>
    <w:rsid w:val="004C031B"/>
    <w:rsid w:val="004C0519"/>
    <w:rsid w:val="004C07D7"/>
    <w:rsid w:val="004C0F35"/>
    <w:rsid w:val="004C193F"/>
    <w:rsid w:val="004C1A8A"/>
    <w:rsid w:val="004C1D16"/>
    <w:rsid w:val="004C1E29"/>
    <w:rsid w:val="004C2023"/>
    <w:rsid w:val="004C2D1E"/>
    <w:rsid w:val="004C32E5"/>
    <w:rsid w:val="004C34B1"/>
    <w:rsid w:val="004C4357"/>
    <w:rsid w:val="004C4429"/>
    <w:rsid w:val="004C4656"/>
    <w:rsid w:val="004C50AB"/>
    <w:rsid w:val="004C5351"/>
    <w:rsid w:val="004C5697"/>
    <w:rsid w:val="004C5734"/>
    <w:rsid w:val="004C6E98"/>
    <w:rsid w:val="004C6EA0"/>
    <w:rsid w:val="004C6EFC"/>
    <w:rsid w:val="004C7260"/>
    <w:rsid w:val="004C7DF5"/>
    <w:rsid w:val="004C7FDD"/>
    <w:rsid w:val="004D067C"/>
    <w:rsid w:val="004D072B"/>
    <w:rsid w:val="004D0CC6"/>
    <w:rsid w:val="004D1634"/>
    <w:rsid w:val="004D18C2"/>
    <w:rsid w:val="004D27C4"/>
    <w:rsid w:val="004D2AC1"/>
    <w:rsid w:val="004D2C5E"/>
    <w:rsid w:val="004D3FCF"/>
    <w:rsid w:val="004D44DC"/>
    <w:rsid w:val="004D470B"/>
    <w:rsid w:val="004D4765"/>
    <w:rsid w:val="004D4CC6"/>
    <w:rsid w:val="004D4E3E"/>
    <w:rsid w:val="004D52FF"/>
    <w:rsid w:val="004D5837"/>
    <w:rsid w:val="004D63C6"/>
    <w:rsid w:val="004D7742"/>
    <w:rsid w:val="004D7796"/>
    <w:rsid w:val="004E03FE"/>
    <w:rsid w:val="004E1DDA"/>
    <w:rsid w:val="004E2027"/>
    <w:rsid w:val="004E23B9"/>
    <w:rsid w:val="004E33E6"/>
    <w:rsid w:val="004E3802"/>
    <w:rsid w:val="004E4631"/>
    <w:rsid w:val="004E4C3E"/>
    <w:rsid w:val="004E5DDF"/>
    <w:rsid w:val="004E7513"/>
    <w:rsid w:val="004E7687"/>
    <w:rsid w:val="004F0179"/>
    <w:rsid w:val="004F0776"/>
    <w:rsid w:val="004F07B4"/>
    <w:rsid w:val="004F0A2E"/>
    <w:rsid w:val="004F0A50"/>
    <w:rsid w:val="004F0BBC"/>
    <w:rsid w:val="004F158C"/>
    <w:rsid w:val="004F2179"/>
    <w:rsid w:val="004F2D39"/>
    <w:rsid w:val="004F2E66"/>
    <w:rsid w:val="004F31B6"/>
    <w:rsid w:val="00500239"/>
    <w:rsid w:val="005013C8"/>
    <w:rsid w:val="00501669"/>
    <w:rsid w:val="00501833"/>
    <w:rsid w:val="00501D1E"/>
    <w:rsid w:val="00502D77"/>
    <w:rsid w:val="00502E30"/>
    <w:rsid w:val="0050301A"/>
    <w:rsid w:val="00503965"/>
    <w:rsid w:val="00503B38"/>
    <w:rsid w:val="00503F0C"/>
    <w:rsid w:val="005048EF"/>
    <w:rsid w:val="00506243"/>
    <w:rsid w:val="00506740"/>
    <w:rsid w:val="00506AF4"/>
    <w:rsid w:val="0051007B"/>
    <w:rsid w:val="00510100"/>
    <w:rsid w:val="005103F6"/>
    <w:rsid w:val="00510FF3"/>
    <w:rsid w:val="00511A3F"/>
    <w:rsid w:val="005123B0"/>
    <w:rsid w:val="00512C46"/>
    <w:rsid w:val="00513292"/>
    <w:rsid w:val="005133F8"/>
    <w:rsid w:val="005140B3"/>
    <w:rsid w:val="00514644"/>
    <w:rsid w:val="00515E9D"/>
    <w:rsid w:val="005170DB"/>
    <w:rsid w:val="0051736C"/>
    <w:rsid w:val="0051783C"/>
    <w:rsid w:val="00517A78"/>
    <w:rsid w:val="00520130"/>
    <w:rsid w:val="00520994"/>
    <w:rsid w:val="00520DE4"/>
    <w:rsid w:val="005212D1"/>
    <w:rsid w:val="00521398"/>
    <w:rsid w:val="005216F4"/>
    <w:rsid w:val="00521A71"/>
    <w:rsid w:val="00521C4C"/>
    <w:rsid w:val="005230ED"/>
    <w:rsid w:val="0052353E"/>
    <w:rsid w:val="005241CD"/>
    <w:rsid w:val="005253CD"/>
    <w:rsid w:val="005254B6"/>
    <w:rsid w:val="00525807"/>
    <w:rsid w:val="00526CD8"/>
    <w:rsid w:val="00526EAD"/>
    <w:rsid w:val="00527552"/>
    <w:rsid w:val="00530019"/>
    <w:rsid w:val="00530813"/>
    <w:rsid w:val="00530C83"/>
    <w:rsid w:val="00531CED"/>
    <w:rsid w:val="00531D80"/>
    <w:rsid w:val="0053214E"/>
    <w:rsid w:val="005324E4"/>
    <w:rsid w:val="005329CE"/>
    <w:rsid w:val="00532A14"/>
    <w:rsid w:val="00533A96"/>
    <w:rsid w:val="00534464"/>
    <w:rsid w:val="005355C1"/>
    <w:rsid w:val="00535B0B"/>
    <w:rsid w:val="005360E0"/>
    <w:rsid w:val="005364A9"/>
    <w:rsid w:val="00536A36"/>
    <w:rsid w:val="005402D0"/>
    <w:rsid w:val="005407B3"/>
    <w:rsid w:val="0054154B"/>
    <w:rsid w:val="005425D7"/>
    <w:rsid w:val="005429C0"/>
    <w:rsid w:val="005429D8"/>
    <w:rsid w:val="00543A5B"/>
    <w:rsid w:val="005448F0"/>
    <w:rsid w:val="0054503F"/>
    <w:rsid w:val="00545325"/>
    <w:rsid w:val="005453AD"/>
    <w:rsid w:val="00545DB7"/>
    <w:rsid w:val="005462E0"/>
    <w:rsid w:val="00546C28"/>
    <w:rsid w:val="00547001"/>
    <w:rsid w:val="00547251"/>
    <w:rsid w:val="005478AA"/>
    <w:rsid w:val="00550097"/>
    <w:rsid w:val="00550481"/>
    <w:rsid w:val="00550683"/>
    <w:rsid w:val="005511C0"/>
    <w:rsid w:val="0055255E"/>
    <w:rsid w:val="0055448A"/>
    <w:rsid w:val="0055471E"/>
    <w:rsid w:val="00555A2D"/>
    <w:rsid w:val="00555DC1"/>
    <w:rsid w:val="005567A5"/>
    <w:rsid w:val="00560806"/>
    <w:rsid w:val="00560AC2"/>
    <w:rsid w:val="00560F48"/>
    <w:rsid w:val="0056185D"/>
    <w:rsid w:val="00561DE3"/>
    <w:rsid w:val="005623A4"/>
    <w:rsid w:val="00562825"/>
    <w:rsid w:val="00562CB9"/>
    <w:rsid w:val="00563E7F"/>
    <w:rsid w:val="005651DF"/>
    <w:rsid w:val="0056536A"/>
    <w:rsid w:val="0056585D"/>
    <w:rsid w:val="005667D3"/>
    <w:rsid w:val="005669E9"/>
    <w:rsid w:val="005678C9"/>
    <w:rsid w:val="00567EE8"/>
    <w:rsid w:val="0057014C"/>
    <w:rsid w:val="005713D9"/>
    <w:rsid w:val="00573793"/>
    <w:rsid w:val="005742A7"/>
    <w:rsid w:val="00576042"/>
    <w:rsid w:val="00576136"/>
    <w:rsid w:val="0057660A"/>
    <w:rsid w:val="005770D8"/>
    <w:rsid w:val="00577A29"/>
    <w:rsid w:val="00577EBF"/>
    <w:rsid w:val="00580632"/>
    <w:rsid w:val="0058170B"/>
    <w:rsid w:val="00581CF2"/>
    <w:rsid w:val="00581D96"/>
    <w:rsid w:val="005828DE"/>
    <w:rsid w:val="00582938"/>
    <w:rsid w:val="0058309C"/>
    <w:rsid w:val="005851F3"/>
    <w:rsid w:val="00586D56"/>
    <w:rsid w:val="0058721B"/>
    <w:rsid w:val="00590CD1"/>
    <w:rsid w:val="00591360"/>
    <w:rsid w:val="00591AAD"/>
    <w:rsid w:val="00591DFC"/>
    <w:rsid w:val="00592A5D"/>
    <w:rsid w:val="00592D2A"/>
    <w:rsid w:val="0059373E"/>
    <w:rsid w:val="00594EC0"/>
    <w:rsid w:val="0059545B"/>
    <w:rsid w:val="00596D16"/>
    <w:rsid w:val="00596DC4"/>
    <w:rsid w:val="005A0E19"/>
    <w:rsid w:val="005A224F"/>
    <w:rsid w:val="005A268E"/>
    <w:rsid w:val="005A3F5D"/>
    <w:rsid w:val="005A5F79"/>
    <w:rsid w:val="005A7103"/>
    <w:rsid w:val="005A7372"/>
    <w:rsid w:val="005A79B9"/>
    <w:rsid w:val="005A7A1D"/>
    <w:rsid w:val="005B0CEE"/>
    <w:rsid w:val="005B214C"/>
    <w:rsid w:val="005B2527"/>
    <w:rsid w:val="005B4E15"/>
    <w:rsid w:val="005B583B"/>
    <w:rsid w:val="005B5A2B"/>
    <w:rsid w:val="005B6758"/>
    <w:rsid w:val="005B6852"/>
    <w:rsid w:val="005B6B94"/>
    <w:rsid w:val="005B72DA"/>
    <w:rsid w:val="005B7348"/>
    <w:rsid w:val="005B79A8"/>
    <w:rsid w:val="005B7DF7"/>
    <w:rsid w:val="005B7E73"/>
    <w:rsid w:val="005C12E9"/>
    <w:rsid w:val="005C14DC"/>
    <w:rsid w:val="005C1E5C"/>
    <w:rsid w:val="005C2D29"/>
    <w:rsid w:val="005C326A"/>
    <w:rsid w:val="005C386B"/>
    <w:rsid w:val="005C3EB0"/>
    <w:rsid w:val="005C4719"/>
    <w:rsid w:val="005C47D6"/>
    <w:rsid w:val="005C50B4"/>
    <w:rsid w:val="005C61C4"/>
    <w:rsid w:val="005C6209"/>
    <w:rsid w:val="005C6232"/>
    <w:rsid w:val="005C62AB"/>
    <w:rsid w:val="005C6739"/>
    <w:rsid w:val="005C6A97"/>
    <w:rsid w:val="005C6ABF"/>
    <w:rsid w:val="005C7960"/>
    <w:rsid w:val="005D03FC"/>
    <w:rsid w:val="005D082B"/>
    <w:rsid w:val="005D146B"/>
    <w:rsid w:val="005D1CAE"/>
    <w:rsid w:val="005D2E94"/>
    <w:rsid w:val="005D32B9"/>
    <w:rsid w:val="005D3C7D"/>
    <w:rsid w:val="005D4C9D"/>
    <w:rsid w:val="005D50B8"/>
    <w:rsid w:val="005D5217"/>
    <w:rsid w:val="005D5811"/>
    <w:rsid w:val="005D6DFF"/>
    <w:rsid w:val="005D7212"/>
    <w:rsid w:val="005D72C0"/>
    <w:rsid w:val="005E04D3"/>
    <w:rsid w:val="005E0585"/>
    <w:rsid w:val="005E1071"/>
    <w:rsid w:val="005E135F"/>
    <w:rsid w:val="005E14C5"/>
    <w:rsid w:val="005E1AD4"/>
    <w:rsid w:val="005E216A"/>
    <w:rsid w:val="005E21ED"/>
    <w:rsid w:val="005E3267"/>
    <w:rsid w:val="005E424D"/>
    <w:rsid w:val="005E63E0"/>
    <w:rsid w:val="005E6A58"/>
    <w:rsid w:val="005E74AA"/>
    <w:rsid w:val="005F037B"/>
    <w:rsid w:val="005F20ED"/>
    <w:rsid w:val="005F250C"/>
    <w:rsid w:val="005F265C"/>
    <w:rsid w:val="005F272D"/>
    <w:rsid w:val="005F276A"/>
    <w:rsid w:val="005F34DC"/>
    <w:rsid w:val="005F472D"/>
    <w:rsid w:val="005F486C"/>
    <w:rsid w:val="005F4A05"/>
    <w:rsid w:val="005F515D"/>
    <w:rsid w:val="005F58F6"/>
    <w:rsid w:val="005F6A04"/>
    <w:rsid w:val="005F70C0"/>
    <w:rsid w:val="005F7D1A"/>
    <w:rsid w:val="0060026A"/>
    <w:rsid w:val="00600974"/>
    <w:rsid w:val="00600D49"/>
    <w:rsid w:val="00601AD4"/>
    <w:rsid w:val="00601EFD"/>
    <w:rsid w:val="006026B5"/>
    <w:rsid w:val="00602F06"/>
    <w:rsid w:val="0060367E"/>
    <w:rsid w:val="00603A0D"/>
    <w:rsid w:val="00604420"/>
    <w:rsid w:val="006047C3"/>
    <w:rsid w:val="00604D8B"/>
    <w:rsid w:val="0060515D"/>
    <w:rsid w:val="0060572C"/>
    <w:rsid w:val="00605ADC"/>
    <w:rsid w:val="00605E01"/>
    <w:rsid w:val="0060714A"/>
    <w:rsid w:val="006077C1"/>
    <w:rsid w:val="00610392"/>
    <w:rsid w:val="0061141D"/>
    <w:rsid w:val="00611CD4"/>
    <w:rsid w:val="00611CE4"/>
    <w:rsid w:val="00612728"/>
    <w:rsid w:val="00612914"/>
    <w:rsid w:val="00612E4C"/>
    <w:rsid w:val="006147E7"/>
    <w:rsid w:val="006148C0"/>
    <w:rsid w:val="0061506A"/>
    <w:rsid w:val="00615574"/>
    <w:rsid w:val="006156DE"/>
    <w:rsid w:val="00615AC0"/>
    <w:rsid w:val="00616E90"/>
    <w:rsid w:val="0061737F"/>
    <w:rsid w:val="006207BC"/>
    <w:rsid w:val="00621166"/>
    <w:rsid w:val="00621C81"/>
    <w:rsid w:val="00621DDA"/>
    <w:rsid w:val="00621E03"/>
    <w:rsid w:val="00623207"/>
    <w:rsid w:val="0062332E"/>
    <w:rsid w:val="00623DFC"/>
    <w:rsid w:val="0062412C"/>
    <w:rsid w:val="0062440C"/>
    <w:rsid w:val="0062472F"/>
    <w:rsid w:val="006247C0"/>
    <w:rsid w:val="00625048"/>
    <w:rsid w:val="00625D78"/>
    <w:rsid w:val="00626629"/>
    <w:rsid w:val="00626A56"/>
    <w:rsid w:val="00626E36"/>
    <w:rsid w:val="00627173"/>
    <w:rsid w:val="00627474"/>
    <w:rsid w:val="00627B8B"/>
    <w:rsid w:val="0063105D"/>
    <w:rsid w:val="0063330A"/>
    <w:rsid w:val="00633CBC"/>
    <w:rsid w:val="00633D90"/>
    <w:rsid w:val="006347A2"/>
    <w:rsid w:val="00634A5D"/>
    <w:rsid w:val="0063570F"/>
    <w:rsid w:val="00635711"/>
    <w:rsid w:val="006363D5"/>
    <w:rsid w:val="006363DA"/>
    <w:rsid w:val="00640F05"/>
    <w:rsid w:val="006421DF"/>
    <w:rsid w:val="00643884"/>
    <w:rsid w:val="0064418E"/>
    <w:rsid w:val="00644F7F"/>
    <w:rsid w:val="0064538E"/>
    <w:rsid w:val="00645472"/>
    <w:rsid w:val="00645F55"/>
    <w:rsid w:val="00646A25"/>
    <w:rsid w:val="00646EA5"/>
    <w:rsid w:val="00647A5E"/>
    <w:rsid w:val="00647B5F"/>
    <w:rsid w:val="00647B67"/>
    <w:rsid w:val="00647C7F"/>
    <w:rsid w:val="00650039"/>
    <w:rsid w:val="006510E8"/>
    <w:rsid w:val="00651C76"/>
    <w:rsid w:val="00654555"/>
    <w:rsid w:val="00654915"/>
    <w:rsid w:val="00654D9A"/>
    <w:rsid w:val="00654EEE"/>
    <w:rsid w:val="00655F87"/>
    <w:rsid w:val="006562F3"/>
    <w:rsid w:val="00656573"/>
    <w:rsid w:val="00657568"/>
    <w:rsid w:val="006600B9"/>
    <w:rsid w:val="00660260"/>
    <w:rsid w:val="00661381"/>
    <w:rsid w:val="0066164D"/>
    <w:rsid w:val="00661B4A"/>
    <w:rsid w:val="00662265"/>
    <w:rsid w:val="006624E0"/>
    <w:rsid w:val="00662FB6"/>
    <w:rsid w:val="00663804"/>
    <w:rsid w:val="00664193"/>
    <w:rsid w:val="006643DF"/>
    <w:rsid w:val="00664E12"/>
    <w:rsid w:val="006651D0"/>
    <w:rsid w:val="006653DB"/>
    <w:rsid w:val="0066573E"/>
    <w:rsid w:val="00665D65"/>
    <w:rsid w:val="006664BC"/>
    <w:rsid w:val="006665F2"/>
    <w:rsid w:val="00666FE8"/>
    <w:rsid w:val="006671DE"/>
    <w:rsid w:val="00667EA6"/>
    <w:rsid w:val="006702FE"/>
    <w:rsid w:val="00670AF3"/>
    <w:rsid w:val="00670B5E"/>
    <w:rsid w:val="00671C63"/>
    <w:rsid w:val="00671FF3"/>
    <w:rsid w:val="006726D4"/>
    <w:rsid w:val="00672BF0"/>
    <w:rsid w:val="00672EBC"/>
    <w:rsid w:val="006733E5"/>
    <w:rsid w:val="006736C1"/>
    <w:rsid w:val="006743BA"/>
    <w:rsid w:val="00674A18"/>
    <w:rsid w:val="0067528F"/>
    <w:rsid w:val="0067619F"/>
    <w:rsid w:val="00677784"/>
    <w:rsid w:val="0068001A"/>
    <w:rsid w:val="0068018B"/>
    <w:rsid w:val="00680B45"/>
    <w:rsid w:val="00680B97"/>
    <w:rsid w:val="006810FA"/>
    <w:rsid w:val="00681A38"/>
    <w:rsid w:val="00682F92"/>
    <w:rsid w:val="00683085"/>
    <w:rsid w:val="00683B4C"/>
    <w:rsid w:val="0068522C"/>
    <w:rsid w:val="0068609C"/>
    <w:rsid w:val="006874D8"/>
    <w:rsid w:val="00687E01"/>
    <w:rsid w:val="00687F19"/>
    <w:rsid w:val="00690220"/>
    <w:rsid w:val="00690638"/>
    <w:rsid w:val="00691098"/>
    <w:rsid w:val="00691980"/>
    <w:rsid w:val="006932B6"/>
    <w:rsid w:val="00694402"/>
    <w:rsid w:val="0069481D"/>
    <w:rsid w:val="00694887"/>
    <w:rsid w:val="00694C91"/>
    <w:rsid w:val="006950FD"/>
    <w:rsid w:val="006957C4"/>
    <w:rsid w:val="00696109"/>
    <w:rsid w:val="00696684"/>
    <w:rsid w:val="006967E5"/>
    <w:rsid w:val="00696B27"/>
    <w:rsid w:val="006A02CB"/>
    <w:rsid w:val="006A0D9E"/>
    <w:rsid w:val="006A10D8"/>
    <w:rsid w:val="006A1449"/>
    <w:rsid w:val="006A1797"/>
    <w:rsid w:val="006A1EAF"/>
    <w:rsid w:val="006A2403"/>
    <w:rsid w:val="006A25A4"/>
    <w:rsid w:val="006A298B"/>
    <w:rsid w:val="006A2FFC"/>
    <w:rsid w:val="006A3379"/>
    <w:rsid w:val="006A33C7"/>
    <w:rsid w:val="006A3701"/>
    <w:rsid w:val="006A39AF"/>
    <w:rsid w:val="006A3D83"/>
    <w:rsid w:val="006A5308"/>
    <w:rsid w:val="006A59BA"/>
    <w:rsid w:val="006A59DA"/>
    <w:rsid w:val="006A5D0C"/>
    <w:rsid w:val="006A6B2B"/>
    <w:rsid w:val="006A6CA2"/>
    <w:rsid w:val="006A7844"/>
    <w:rsid w:val="006B0212"/>
    <w:rsid w:val="006B1C46"/>
    <w:rsid w:val="006B1E20"/>
    <w:rsid w:val="006B2C55"/>
    <w:rsid w:val="006B32A5"/>
    <w:rsid w:val="006B38E7"/>
    <w:rsid w:val="006B404E"/>
    <w:rsid w:val="006B522D"/>
    <w:rsid w:val="006B5339"/>
    <w:rsid w:val="006B5367"/>
    <w:rsid w:val="006B5455"/>
    <w:rsid w:val="006B63AA"/>
    <w:rsid w:val="006B66C8"/>
    <w:rsid w:val="006B7579"/>
    <w:rsid w:val="006B7E61"/>
    <w:rsid w:val="006B7FD5"/>
    <w:rsid w:val="006B7FDD"/>
    <w:rsid w:val="006C0111"/>
    <w:rsid w:val="006C012F"/>
    <w:rsid w:val="006C0731"/>
    <w:rsid w:val="006C119B"/>
    <w:rsid w:val="006C1DF0"/>
    <w:rsid w:val="006C208C"/>
    <w:rsid w:val="006C3157"/>
    <w:rsid w:val="006C5277"/>
    <w:rsid w:val="006C54F9"/>
    <w:rsid w:val="006C6955"/>
    <w:rsid w:val="006C73EB"/>
    <w:rsid w:val="006C7B78"/>
    <w:rsid w:val="006D123A"/>
    <w:rsid w:val="006D2000"/>
    <w:rsid w:val="006D2689"/>
    <w:rsid w:val="006D3D6F"/>
    <w:rsid w:val="006D5A20"/>
    <w:rsid w:val="006D5FF4"/>
    <w:rsid w:val="006D6134"/>
    <w:rsid w:val="006D64C7"/>
    <w:rsid w:val="006D6704"/>
    <w:rsid w:val="006D6C92"/>
    <w:rsid w:val="006D6D53"/>
    <w:rsid w:val="006D76C3"/>
    <w:rsid w:val="006D7DF8"/>
    <w:rsid w:val="006E0634"/>
    <w:rsid w:val="006E17C0"/>
    <w:rsid w:val="006E188C"/>
    <w:rsid w:val="006E190E"/>
    <w:rsid w:val="006E2D7D"/>
    <w:rsid w:val="006E33B2"/>
    <w:rsid w:val="006E3A1F"/>
    <w:rsid w:val="006E42CB"/>
    <w:rsid w:val="006E49ED"/>
    <w:rsid w:val="006E5612"/>
    <w:rsid w:val="006E592D"/>
    <w:rsid w:val="006E62A3"/>
    <w:rsid w:val="006E6620"/>
    <w:rsid w:val="006E7719"/>
    <w:rsid w:val="006E7B1E"/>
    <w:rsid w:val="006F106B"/>
    <w:rsid w:val="006F108F"/>
    <w:rsid w:val="006F1BBF"/>
    <w:rsid w:val="006F2DED"/>
    <w:rsid w:val="006F46C4"/>
    <w:rsid w:val="006F4A9F"/>
    <w:rsid w:val="006F4FC7"/>
    <w:rsid w:val="006F5022"/>
    <w:rsid w:val="006F611E"/>
    <w:rsid w:val="006F74E4"/>
    <w:rsid w:val="006F770D"/>
    <w:rsid w:val="00700E28"/>
    <w:rsid w:val="007022E1"/>
    <w:rsid w:val="0070290A"/>
    <w:rsid w:val="0070320D"/>
    <w:rsid w:val="007033FB"/>
    <w:rsid w:val="007040AD"/>
    <w:rsid w:val="007049BE"/>
    <w:rsid w:val="00704A99"/>
    <w:rsid w:val="00704F7C"/>
    <w:rsid w:val="00705D76"/>
    <w:rsid w:val="0070660A"/>
    <w:rsid w:val="00706680"/>
    <w:rsid w:val="00706B95"/>
    <w:rsid w:val="00706F32"/>
    <w:rsid w:val="00707B58"/>
    <w:rsid w:val="00707B88"/>
    <w:rsid w:val="00707EC6"/>
    <w:rsid w:val="00707F3F"/>
    <w:rsid w:val="0071013E"/>
    <w:rsid w:val="00710702"/>
    <w:rsid w:val="007107B7"/>
    <w:rsid w:val="00710E26"/>
    <w:rsid w:val="0071121C"/>
    <w:rsid w:val="007113B6"/>
    <w:rsid w:val="007114B6"/>
    <w:rsid w:val="00711A71"/>
    <w:rsid w:val="00711C04"/>
    <w:rsid w:val="00712829"/>
    <w:rsid w:val="00713390"/>
    <w:rsid w:val="00713748"/>
    <w:rsid w:val="007151E5"/>
    <w:rsid w:val="00716902"/>
    <w:rsid w:val="007175D3"/>
    <w:rsid w:val="00717AFA"/>
    <w:rsid w:val="00717D7C"/>
    <w:rsid w:val="00720042"/>
    <w:rsid w:val="00720655"/>
    <w:rsid w:val="00720BA7"/>
    <w:rsid w:val="00722CF8"/>
    <w:rsid w:val="00723080"/>
    <w:rsid w:val="00723224"/>
    <w:rsid w:val="00723285"/>
    <w:rsid w:val="0072329B"/>
    <w:rsid w:val="00723CDC"/>
    <w:rsid w:val="0072525F"/>
    <w:rsid w:val="00725D4E"/>
    <w:rsid w:val="007272AF"/>
    <w:rsid w:val="007277E1"/>
    <w:rsid w:val="00727812"/>
    <w:rsid w:val="0072790F"/>
    <w:rsid w:val="007307A3"/>
    <w:rsid w:val="00731244"/>
    <w:rsid w:val="00731AE4"/>
    <w:rsid w:val="00731CBA"/>
    <w:rsid w:val="0073264B"/>
    <w:rsid w:val="00732771"/>
    <w:rsid w:val="007333C0"/>
    <w:rsid w:val="007349FD"/>
    <w:rsid w:val="00737C5E"/>
    <w:rsid w:val="007402C7"/>
    <w:rsid w:val="00740E95"/>
    <w:rsid w:val="00741B79"/>
    <w:rsid w:val="007425D6"/>
    <w:rsid w:val="00742777"/>
    <w:rsid w:val="00743424"/>
    <w:rsid w:val="00743AB1"/>
    <w:rsid w:val="0074550E"/>
    <w:rsid w:val="00745A48"/>
    <w:rsid w:val="00745C40"/>
    <w:rsid w:val="00747549"/>
    <w:rsid w:val="0075047D"/>
    <w:rsid w:val="00751B48"/>
    <w:rsid w:val="00752498"/>
    <w:rsid w:val="007535AE"/>
    <w:rsid w:val="00754F7F"/>
    <w:rsid w:val="00755589"/>
    <w:rsid w:val="0075760B"/>
    <w:rsid w:val="007576C7"/>
    <w:rsid w:val="00757D8F"/>
    <w:rsid w:val="00757DCD"/>
    <w:rsid w:val="00760288"/>
    <w:rsid w:val="00760490"/>
    <w:rsid w:val="00760ECE"/>
    <w:rsid w:val="00761014"/>
    <w:rsid w:val="007618D8"/>
    <w:rsid w:val="0076208F"/>
    <w:rsid w:val="00762219"/>
    <w:rsid w:val="007625DB"/>
    <w:rsid w:val="00762725"/>
    <w:rsid w:val="00762EF7"/>
    <w:rsid w:val="00762F07"/>
    <w:rsid w:val="0076323D"/>
    <w:rsid w:val="007638D6"/>
    <w:rsid w:val="00763B28"/>
    <w:rsid w:val="0076430C"/>
    <w:rsid w:val="00764A1D"/>
    <w:rsid w:val="00764DD4"/>
    <w:rsid w:val="0076535E"/>
    <w:rsid w:val="00765824"/>
    <w:rsid w:val="00766571"/>
    <w:rsid w:val="007666F9"/>
    <w:rsid w:val="00766F93"/>
    <w:rsid w:val="007704C6"/>
    <w:rsid w:val="00770543"/>
    <w:rsid w:val="007709DA"/>
    <w:rsid w:val="00770ABF"/>
    <w:rsid w:val="00770BAD"/>
    <w:rsid w:val="00772F22"/>
    <w:rsid w:val="00772F8D"/>
    <w:rsid w:val="00773132"/>
    <w:rsid w:val="0077349C"/>
    <w:rsid w:val="00773831"/>
    <w:rsid w:val="00773B22"/>
    <w:rsid w:val="00774512"/>
    <w:rsid w:val="00775C80"/>
    <w:rsid w:val="0078055F"/>
    <w:rsid w:val="00780CF2"/>
    <w:rsid w:val="007813CF"/>
    <w:rsid w:val="00784404"/>
    <w:rsid w:val="0078497E"/>
    <w:rsid w:val="00784B14"/>
    <w:rsid w:val="00784F2C"/>
    <w:rsid w:val="007850DF"/>
    <w:rsid w:val="00785674"/>
    <w:rsid w:val="00785690"/>
    <w:rsid w:val="0078692E"/>
    <w:rsid w:val="00790432"/>
    <w:rsid w:val="00790494"/>
    <w:rsid w:val="00790808"/>
    <w:rsid w:val="00790FA5"/>
    <w:rsid w:val="007913B6"/>
    <w:rsid w:val="007936DC"/>
    <w:rsid w:val="00794AFE"/>
    <w:rsid w:val="00794CA3"/>
    <w:rsid w:val="00794CEF"/>
    <w:rsid w:val="007974FA"/>
    <w:rsid w:val="0079757D"/>
    <w:rsid w:val="00797995"/>
    <w:rsid w:val="007A0212"/>
    <w:rsid w:val="007A034C"/>
    <w:rsid w:val="007A0AC9"/>
    <w:rsid w:val="007A10C2"/>
    <w:rsid w:val="007A1104"/>
    <w:rsid w:val="007A1A75"/>
    <w:rsid w:val="007A1D54"/>
    <w:rsid w:val="007A2E94"/>
    <w:rsid w:val="007A38B9"/>
    <w:rsid w:val="007A3CEB"/>
    <w:rsid w:val="007A413D"/>
    <w:rsid w:val="007A427A"/>
    <w:rsid w:val="007A4656"/>
    <w:rsid w:val="007A4D9D"/>
    <w:rsid w:val="007A59E3"/>
    <w:rsid w:val="007A6174"/>
    <w:rsid w:val="007A634A"/>
    <w:rsid w:val="007A63B5"/>
    <w:rsid w:val="007A6406"/>
    <w:rsid w:val="007A65E9"/>
    <w:rsid w:val="007A6A9E"/>
    <w:rsid w:val="007A6C84"/>
    <w:rsid w:val="007A7176"/>
    <w:rsid w:val="007A72CF"/>
    <w:rsid w:val="007A7638"/>
    <w:rsid w:val="007B0900"/>
    <w:rsid w:val="007B0B93"/>
    <w:rsid w:val="007B13C7"/>
    <w:rsid w:val="007B13EC"/>
    <w:rsid w:val="007B233C"/>
    <w:rsid w:val="007B2CBB"/>
    <w:rsid w:val="007B452D"/>
    <w:rsid w:val="007B462B"/>
    <w:rsid w:val="007B698D"/>
    <w:rsid w:val="007B7175"/>
    <w:rsid w:val="007C0011"/>
    <w:rsid w:val="007C0309"/>
    <w:rsid w:val="007C0C6B"/>
    <w:rsid w:val="007C154A"/>
    <w:rsid w:val="007C1842"/>
    <w:rsid w:val="007C24AA"/>
    <w:rsid w:val="007C2CD3"/>
    <w:rsid w:val="007C2E4D"/>
    <w:rsid w:val="007C3037"/>
    <w:rsid w:val="007C460F"/>
    <w:rsid w:val="007C65CD"/>
    <w:rsid w:val="007C71D9"/>
    <w:rsid w:val="007C77DE"/>
    <w:rsid w:val="007C7D63"/>
    <w:rsid w:val="007D0D07"/>
    <w:rsid w:val="007D0DFB"/>
    <w:rsid w:val="007D1746"/>
    <w:rsid w:val="007D1E14"/>
    <w:rsid w:val="007D2649"/>
    <w:rsid w:val="007D4838"/>
    <w:rsid w:val="007D516E"/>
    <w:rsid w:val="007D6896"/>
    <w:rsid w:val="007D6B1D"/>
    <w:rsid w:val="007D79B9"/>
    <w:rsid w:val="007D7FB5"/>
    <w:rsid w:val="007E0419"/>
    <w:rsid w:val="007E04C9"/>
    <w:rsid w:val="007E095D"/>
    <w:rsid w:val="007E15CA"/>
    <w:rsid w:val="007E2BC5"/>
    <w:rsid w:val="007E3271"/>
    <w:rsid w:val="007E3C04"/>
    <w:rsid w:val="007E4384"/>
    <w:rsid w:val="007E4E45"/>
    <w:rsid w:val="007E5646"/>
    <w:rsid w:val="007E61C8"/>
    <w:rsid w:val="007E62E8"/>
    <w:rsid w:val="007E63BF"/>
    <w:rsid w:val="007E66ED"/>
    <w:rsid w:val="007F017A"/>
    <w:rsid w:val="007F05B0"/>
    <w:rsid w:val="007F0ACA"/>
    <w:rsid w:val="007F21FB"/>
    <w:rsid w:val="007F2D2B"/>
    <w:rsid w:val="007F301F"/>
    <w:rsid w:val="007F5828"/>
    <w:rsid w:val="007F5DA7"/>
    <w:rsid w:val="007F60C9"/>
    <w:rsid w:val="007F7081"/>
    <w:rsid w:val="007F7256"/>
    <w:rsid w:val="00800178"/>
    <w:rsid w:val="00800743"/>
    <w:rsid w:val="008011CA"/>
    <w:rsid w:val="00802115"/>
    <w:rsid w:val="0080297F"/>
    <w:rsid w:val="00804653"/>
    <w:rsid w:val="008050D4"/>
    <w:rsid w:val="00805376"/>
    <w:rsid w:val="00805E6B"/>
    <w:rsid w:val="00806B48"/>
    <w:rsid w:val="00806B79"/>
    <w:rsid w:val="00807409"/>
    <w:rsid w:val="00807C05"/>
    <w:rsid w:val="00810142"/>
    <w:rsid w:val="00810D7D"/>
    <w:rsid w:val="00810E82"/>
    <w:rsid w:val="0081149E"/>
    <w:rsid w:val="0081255C"/>
    <w:rsid w:val="008139AE"/>
    <w:rsid w:val="00814123"/>
    <w:rsid w:val="008142DE"/>
    <w:rsid w:val="00814482"/>
    <w:rsid w:val="008144F4"/>
    <w:rsid w:val="00814509"/>
    <w:rsid w:val="00815814"/>
    <w:rsid w:val="0081713C"/>
    <w:rsid w:val="00817A3E"/>
    <w:rsid w:val="00817CE9"/>
    <w:rsid w:val="0082098C"/>
    <w:rsid w:val="00820C87"/>
    <w:rsid w:val="00822524"/>
    <w:rsid w:val="0082336A"/>
    <w:rsid w:val="008237D2"/>
    <w:rsid w:val="008248B1"/>
    <w:rsid w:val="00824A60"/>
    <w:rsid w:val="00824D94"/>
    <w:rsid w:val="00826543"/>
    <w:rsid w:val="00827420"/>
    <w:rsid w:val="00827500"/>
    <w:rsid w:val="00827D38"/>
    <w:rsid w:val="00830D77"/>
    <w:rsid w:val="00831610"/>
    <w:rsid w:val="0083401D"/>
    <w:rsid w:val="00834126"/>
    <w:rsid w:val="00834226"/>
    <w:rsid w:val="00834839"/>
    <w:rsid w:val="00835338"/>
    <w:rsid w:val="00835FAD"/>
    <w:rsid w:val="0083660F"/>
    <w:rsid w:val="00837CF8"/>
    <w:rsid w:val="00840530"/>
    <w:rsid w:val="00840EAF"/>
    <w:rsid w:val="0084102B"/>
    <w:rsid w:val="008411AD"/>
    <w:rsid w:val="008415D7"/>
    <w:rsid w:val="0084160B"/>
    <w:rsid w:val="00841666"/>
    <w:rsid w:val="00842134"/>
    <w:rsid w:val="00842394"/>
    <w:rsid w:val="00842B81"/>
    <w:rsid w:val="00843508"/>
    <w:rsid w:val="00844DE2"/>
    <w:rsid w:val="008452CB"/>
    <w:rsid w:val="0084548E"/>
    <w:rsid w:val="008477BC"/>
    <w:rsid w:val="00851032"/>
    <w:rsid w:val="0085148D"/>
    <w:rsid w:val="00851504"/>
    <w:rsid w:val="0085314A"/>
    <w:rsid w:val="00853ECF"/>
    <w:rsid w:val="0085439C"/>
    <w:rsid w:val="00854AD1"/>
    <w:rsid w:val="00855332"/>
    <w:rsid w:val="0085543E"/>
    <w:rsid w:val="0085578B"/>
    <w:rsid w:val="00855CB4"/>
    <w:rsid w:val="00856EEC"/>
    <w:rsid w:val="00857202"/>
    <w:rsid w:val="0085763D"/>
    <w:rsid w:val="008579B9"/>
    <w:rsid w:val="00857C72"/>
    <w:rsid w:val="00860637"/>
    <w:rsid w:val="00860E4D"/>
    <w:rsid w:val="00861337"/>
    <w:rsid w:val="00861906"/>
    <w:rsid w:val="008633F6"/>
    <w:rsid w:val="00863B59"/>
    <w:rsid w:val="00864415"/>
    <w:rsid w:val="008646F4"/>
    <w:rsid w:val="00864EE5"/>
    <w:rsid w:val="0086594A"/>
    <w:rsid w:val="00865A02"/>
    <w:rsid w:val="00865EE8"/>
    <w:rsid w:val="0086750F"/>
    <w:rsid w:val="008676F6"/>
    <w:rsid w:val="00870753"/>
    <w:rsid w:val="00870BED"/>
    <w:rsid w:val="00872B76"/>
    <w:rsid w:val="00873FFC"/>
    <w:rsid w:val="008742D4"/>
    <w:rsid w:val="00874F9C"/>
    <w:rsid w:val="00875B10"/>
    <w:rsid w:val="00875FB0"/>
    <w:rsid w:val="00880122"/>
    <w:rsid w:val="008803DB"/>
    <w:rsid w:val="0088059E"/>
    <w:rsid w:val="00880A20"/>
    <w:rsid w:val="00881014"/>
    <w:rsid w:val="0088132C"/>
    <w:rsid w:val="008814B9"/>
    <w:rsid w:val="00881613"/>
    <w:rsid w:val="008819D7"/>
    <w:rsid w:val="00881CE8"/>
    <w:rsid w:val="00882328"/>
    <w:rsid w:val="0088255E"/>
    <w:rsid w:val="00882B67"/>
    <w:rsid w:val="0088317C"/>
    <w:rsid w:val="00883B30"/>
    <w:rsid w:val="00884217"/>
    <w:rsid w:val="00884BA6"/>
    <w:rsid w:val="008855C7"/>
    <w:rsid w:val="0088645D"/>
    <w:rsid w:val="008868ED"/>
    <w:rsid w:val="00891286"/>
    <w:rsid w:val="00891B2E"/>
    <w:rsid w:val="00893590"/>
    <w:rsid w:val="00893596"/>
    <w:rsid w:val="00893C65"/>
    <w:rsid w:val="00894794"/>
    <w:rsid w:val="00894BAC"/>
    <w:rsid w:val="00894EEA"/>
    <w:rsid w:val="0089578A"/>
    <w:rsid w:val="00895CF2"/>
    <w:rsid w:val="00896B6C"/>
    <w:rsid w:val="008973DD"/>
    <w:rsid w:val="008978E4"/>
    <w:rsid w:val="008A084B"/>
    <w:rsid w:val="008A18DE"/>
    <w:rsid w:val="008A1976"/>
    <w:rsid w:val="008A1A55"/>
    <w:rsid w:val="008A2374"/>
    <w:rsid w:val="008A2709"/>
    <w:rsid w:val="008A3B0F"/>
    <w:rsid w:val="008A44CD"/>
    <w:rsid w:val="008A4910"/>
    <w:rsid w:val="008A53A8"/>
    <w:rsid w:val="008A60AD"/>
    <w:rsid w:val="008A60BD"/>
    <w:rsid w:val="008A6C6B"/>
    <w:rsid w:val="008A6CCF"/>
    <w:rsid w:val="008A76FD"/>
    <w:rsid w:val="008A7BCB"/>
    <w:rsid w:val="008B0347"/>
    <w:rsid w:val="008B03CD"/>
    <w:rsid w:val="008B0AB8"/>
    <w:rsid w:val="008B1368"/>
    <w:rsid w:val="008B2C6E"/>
    <w:rsid w:val="008B37D1"/>
    <w:rsid w:val="008B4713"/>
    <w:rsid w:val="008B4846"/>
    <w:rsid w:val="008B48F3"/>
    <w:rsid w:val="008B6593"/>
    <w:rsid w:val="008B6A09"/>
    <w:rsid w:val="008B7006"/>
    <w:rsid w:val="008C0B15"/>
    <w:rsid w:val="008C0FFE"/>
    <w:rsid w:val="008C2AB7"/>
    <w:rsid w:val="008C3219"/>
    <w:rsid w:val="008C4945"/>
    <w:rsid w:val="008C4ACB"/>
    <w:rsid w:val="008C59D3"/>
    <w:rsid w:val="008C7357"/>
    <w:rsid w:val="008D050A"/>
    <w:rsid w:val="008D08B1"/>
    <w:rsid w:val="008D1ADD"/>
    <w:rsid w:val="008D2AB4"/>
    <w:rsid w:val="008D31E0"/>
    <w:rsid w:val="008D4818"/>
    <w:rsid w:val="008D4E03"/>
    <w:rsid w:val="008D5327"/>
    <w:rsid w:val="008D6086"/>
    <w:rsid w:val="008D6A1C"/>
    <w:rsid w:val="008D6FA8"/>
    <w:rsid w:val="008D747C"/>
    <w:rsid w:val="008E0096"/>
    <w:rsid w:val="008E00B8"/>
    <w:rsid w:val="008E1259"/>
    <w:rsid w:val="008E1935"/>
    <w:rsid w:val="008E292F"/>
    <w:rsid w:val="008E29FF"/>
    <w:rsid w:val="008E31C0"/>
    <w:rsid w:val="008E329C"/>
    <w:rsid w:val="008E5051"/>
    <w:rsid w:val="008E5C69"/>
    <w:rsid w:val="008E65EC"/>
    <w:rsid w:val="008E6D1A"/>
    <w:rsid w:val="008E7021"/>
    <w:rsid w:val="008E79D3"/>
    <w:rsid w:val="008E7E7B"/>
    <w:rsid w:val="008F092E"/>
    <w:rsid w:val="008F0B62"/>
    <w:rsid w:val="008F133D"/>
    <w:rsid w:val="008F1365"/>
    <w:rsid w:val="008F1670"/>
    <w:rsid w:val="008F1B99"/>
    <w:rsid w:val="008F2132"/>
    <w:rsid w:val="008F2249"/>
    <w:rsid w:val="008F28AA"/>
    <w:rsid w:val="008F3D82"/>
    <w:rsid w:val="008F42C8"/>
    <w:rsid w:val="008F4DC2"/>
    <w:rsid w:val="008F572E"/>
    <w:rsid w:val="008F5A54"/>
    <w:rsid w:val="008F5D8C"/>
    <w:rsid w:val="008F63D2"/>
    <w:rsid w:val="008F64AE"/>
    <w:rsid w:val="008F6C65"/>
    <w:rsid w:val="00900033"/>
    <w:rsid w:val="009004DF"/>
    <w:rsid w:val="0090122B"/>
    <w:rsid w:val="009017F9"/>
    <w:rsid w:val="009019ED"/>
    <w:rsid w:val="00901D95"/>
    <w:rsid w:val="009027B1"/>
    <w:rsid w:val="00902D57"/>
    <w:rsid w:val="0090407C"/>
    <w:rsid w:val="00905504"/>
    <w:rsid w:val="00906B8F"/>
    <w:rsid w:val="00906BBF"/>
    <w:rsid w:val="00906CF9"/>
    <w:rsid w:val="009100A1"/>
    <w:rsid w:val="009102F3"/>
    <w:rsid w:val="00910587"/>
    <w:rsid w:val="00910D50"/>
    <w:rsid w:val="009114C1"/>
    <w:rsid w:val="009119E7"/>
    <w:rsid w:val="00913747"/>
    <w:rsid w:val="00913E62"/>
    <w:rsid w:val="009143FC"/>
    <w:rsid w:val="00915F1C"/>
    <w:rsid w:val="00916340"/>
    <w:rsid w:val="00917B17"/>
    <w:rsid w:val="009215B3"/>
    <w:rsid w:val="0092176E"/>
    <w:rsid w:val="00921771"/>
    <w:rsid w:val="00924006"/>
    <w:rsid w:val="009250E4"/>
    <w:rsid w:val="00925958"/>
    <w:rsid w:val="00925D5A"/>
    <w:rsid w:val="009263DA"/>
    <w:rsid w:val="0093028F"/>
    <w:rsid w:val="00930D6E"/>
    <w:rsid w:val="00931895"/>
    <w:rsid w:val="00933E6D"/>
    <w:rsid w:val="00934302"/>
    <w:rsid w:val="0093447D"/>
    <w:rsid w:val="00934ED4"/>
    <w:rsid w:val="00935C34"/>
    <w:rsid w:val="00936BB8"/>
    <w:rsid w:val="00937316"/>
    <w:rsid w:val="00937817"/>
    <w:rsid w:val="009407CC"/>
    <w:rsid w:val="00940969"/>
    <w:rsid w:val="00941460"/>
    <w:rsid w:val="009415E6"/>
    <w:rsid w:val="009416A8"/>
    <w:rsid w:val="00942307"/>
    <w:rsid w:val="009433D5"/>
    <w:rsid w:val="009436AD"/>
    <w:rsid w:val="00943C53"/>
    <w:rsid w:val="00944BB1"/>
    <w:rsid w:val="009453C4"/>
    <w:rsid w:val="0094785D"/>
    <w:rsid w:val="00947C94"/>
    <w:rsid w:val="00951727"/>
    <w:rsid w:val="00951846"/>
    <w:rsid w:val="00951F8F"/>
    <w:rsid w:val="009547A0"/>
    <w:rsid w:val="00955C3A"/>
    <w:rsid w:val="00955EFF"/>
    <w:rsid w:val="00956000"/>
    <w:rsid w:val="0095690D"/>
    <w:rsid w:val="00960CD9"/>
    <w:rsid w:val="00960E15"/>
    <w:rsid w:val="0096221C"/>
    <w:rsid w:val="009622B9"/>
    <w:rsid w:val="00962F51"/>
    <w:rsid w:val="0096360F"/>
    <w:rsid w:val="0096478B"/>
    <w:rsid w:val="009647EF"/>
    <w:rsid w:val="00966EBC"/>
    <w:rsid w:val="00967288"/>
    <w:rsid w:val="00967352"/>
    <w:rsid w:val="0096771D"/>
    <w:rsid w:val="00967CBD"/>
    <w:rsid w:val="0097026B"/>
    <w:rsid w:val="00971384"/>
    <w:rsid w:val="00972005"/>
    <w:rsid w:val="00972124"/>
    <w:rsid w:val="00973D76"/>
    <w:rsid w:val="0097450C"/>
    <w:rsid w:val="009746CD"/>
    <w:rsid w:val="00975419"/>
    <w:rsid w:val="00975672"/>
    <w:rsid w:val="00975891"/>
    <w:rsid w:val="0097591B"/>
    <w:rsid w:val="00975F53"/>
    <w:rsid w:val="009768E6"/>
    <w:rsid w:val="009809D4"/>
    <w:rsid w:val="00981545"/>
    <w:rsid w:val="009816D9"/>
    <w:rsid w:val="009818C1"/>
    <w:rsid w:val="00981D12"/>
    <w:rsid w:val="00982B4B"/>
    <w:rsid w:val="00983912"/>
    <w:rsid w:val="00983E29"/>
    <w:rsid w:val="00986183"/>
    <w:rsid w:val="00986691"/>
    <w:rsid w:val="00986F93"/>
    <w:rsid w:val="009870C7"/>
    <w:rsid w:val="009879AD"/>
    <w:rsid w:val="00990106"/>
    <w:rsid w:val="009901B3"/>
    <w:rsid w:val="009902FB"/>
    <w:rsid w:val="0099045A"/>
    <w:rsid w:val="0099063B"/>
    <w:rsid w:val="00990D70"/>
    <w:rsid w:val="00991417"/>
    <w:rsid w:val="00991731"/>
    <w:rsid w:val="00992311"/>
    <w:rsid w:val="00993604"/>
    <w:rsid w:val="00993814"/>
    <w:rsid w:val="009954B9"/>
    <w:rsid w:val="009964C4"/>
    <w:rsid w:val="00996C9B"/>
    <w:rsid w:val="009973BB"/>
    <w:rsid w:val="00997649"/>
    <w:rsid w:val="00997E5B"/>
    <w:rsid w:val="009A01DD"/>
    <w:rsid w:val="009A07F0"/>
    <w:rsid w:val="009A0E02"/>
    <w:rsid w:val="009A16EF"/>
    <w:rsid w:val="009A176E"/>
    <w:rsid w:val="009A1A84"/>
    <w:rsid w:val="009A2CCF"/>
    <w:rsid w:val="009A32AE"/>
    <w:rsid w:val="009A36FE"/>
    <w:rsid w:val="009A4AD1"/>
    <w:rsid w:val="009A5295"/>
    <w:rsid w:val="009A60BC"/>
    <w:rsid w:val="009A67B2"/>
    <w:rsid w:val="009B20FF"/>
    <w:rsid w:val="009B22BC"/>
    <w:rsid w:val="009B30FB"/>
    <w:rsid w:val="009B3593"/>
    <w:rsid w:val="009B41AF"/>
    <w:rsid w:val="009B491B"/>
    <w:rsid w:val="009B51E7"/>
    <w:rsid w:val="009B5A8B"/>
    <w:rsid w:val="009B6833"/>
    <w:rsid w:val="009B68BD"/>
    <w:rsid w:val="009B7953"/>
    <w:rsid w:val="009B7B21"/>
    <w:rsid w:val="009C11A8"/>
    <w:rsid w:val="009C23DD"/>
    <w:rsid w:val="009C242A"/>
    <w:rsid w:val="009C3469"/>
    <w:rsid w:val="009C3C24"/>
    <w:rsid w:val="009C424A"/>
    <w:rsid w:val="009C4DA6"/>
    <w:rsid w:val="009C50D9"/>
    <w:rsid w:val="009C514B"/>
    <w:rsid w:val="009C5DB1"/>
    <w:rsid w:val="009C5E4A"/>
    <w:rsid w:val="009C78F7"/>
    <w:rsid w:val="009C796C"/>
    <w:rsid w:val="009C7A44"/>
    <w:rsid w:val="009C7D7A"/>
    <w:rsid w:val="009D0398"/>
    <w:rsid w:val="009D0998"/>
    <w:rsid w:val="009D09C4"/>
    <w:rsid w:val="009D0F17"/>
    <w:rsid w:val="009D1679"/>
    <w:rsid w:val="009D176A"/>
    <w:rsid w:val="009D1D9B"/>
    <w:rsid w:val="009D1E2D"/>
    <w:rsid w:val="009D250D"/>
    <w:rsid w:val="009D39E9"/>
    <w:rsid w:val="009D3A7E"/>
    <w:rsid w:val="009D4A03"/>
    <w:rsid w:val="009D4BBA"/>
    <w:rsid w:val="009D5FBF"/>
    <w:rsid w:val="009D68F6"/>
    <w:rsid w:val="009D6930"/>
    <w:rsid w:val="009D7CB3"/>
    <w:rsid w:val="009E069C"/>
    <w:rsid w:val="009E1851"/>
    <w:rsid w:val="009E1E47"/>
    <w:rsid w:val="009E249C"/>
    <w:rsid w:val="009E2F96"/>
    <w:rsid w:val="009E40EF"/>
    <w:rsid w:val="009E4275"/>
    <w:rsid w:val="009E4A2A"/>
    <w:rsid w:val="009E4BCE"/>
    <w:rsid w:val="009E5B01"/>
    <w:rsid w:val="009E70DA"/>
    <w:rsid w:val="009E7DE5"/>
    <w:rsid w:val="009F18CE"/>
    <w:rsid w:val="009F2CF8"/>
    <w:rsid w:val="009F31B6"/>
    <w:rsid w:val="009F3EEF"/>
    <w:rsid w:val="009F4065"/>
    <w:rsid w:val="009F4552"/>
    <w:rsid w:val="009F4B67"/>
    <w:rsid w:val="009F4C1D"/>
    <w:rsid w:val="009F5503"/>
    <w:rsid w:val="009F5866"/>
    <w:rsid w:val="009F615F"/>
    <w:rsid w:val="009F6F81"/>
    <w:rsid w:val="009F71A9"/>
    <w:rsid w:val="00A01176"/>
    <w:rsid w:val="00A0257C"/>
    <w:rsid w:val="00A039E6"/>
    <w:rsid w:val="00A03F0D"/>
    <w:rsid w:val="00A0479D"/>
    <w:rsid w:val="00A05AF4"/>
    <w:rsid w:val="00A05CF3"/>
    <w:rsid w:val="00A0632E"/>
    <w:rsid w:val="00A0748F"/>
    <w:rsid w:val="00A0753F"/>
    <w:rsid w:val="00A07754"/>
    <w:rsid w:val="00A10319"/>
    <w:rsid w:val="00A10453"/>
    <w:rsid w:val="00A10C44"/>
    <w:rsid w:val="00A117A1"/>
    <w:rsid w:val="00A11FFF"/>
    <w:rsid w:val="00A120C7"/>
    <w:rsid w:val="00A1237F"/>
    <w:rsid w:val="00A12592"/>
    <w:rsid w:val="00A12B88"/>
    <w:rsid w:val="00A12B90"/>
    <w:rsid w:val="00A139C2"/>
    <w:rsid w:val="00A13A72"/>
    <w:rsid w:val="00A13CEC"/>
    <w:rsid w:val="00A15247"/>
    <w:rsid w:val="00A15567"/>
    <w:rsid w:val="00A15664"/>
    <w:rsid w:val="00A15A35"/>
    <w:rsid w:val="00A15D28"/>
    <w:rsid w:val="00A16C2D"/>
    <w:rsid w:val="00A16FAF"/>
    <w:rsid w:val="00A202D9"/>
    <w:rsid w:val="00A206EA"/>
    <w:rsid w:val="00A208DF"/>
    <w:rsid w:val="00A2097D"/>
    <w:rsid w:val="00A2121E"/>
    <w:rsid w:val="00A21BD9"/>
    <w:rsid w:val="00A22490"/>
    <w:rsid w:val="00A235C2"/>
    <w:rsid w:val="00A2437C"/>
    <w:rsid w:val="00A27CB5"/>
    <w:rsid w:val="00A27D6F"/>
    <w:rsid w:val="00A30CD0"/>
    <w:rsid w:val="00A3113C"/>
    <w:rsid w:val="00A3196C"/>
    <w:rsid w:val="00A34E38"/>
    <w:rsid w:val="00A35F68"/>
    <w:rsid w:val="00A36840"/>
    <w:rsid w:val="00A3735F"/>
    <w:rsid w:val="00A374CF"/>
    <w:rsid w:val="00A375FB"/>
    <w:rsid w:val="00A37CA6"/>
    <w:rsid w:val="00A37FDE"/>
    <w:rsid w:val="00A40174"/>
    <w:rsid w:val="00A40184"/>
    <w:rsid w:val="00A41747"/>
    <w:rsid w:val="00A41770"/>
    <w:rsid w:val="00A41B9C"/>
    <w:rsid w:val="00A422F9"/>
    <w:rsid w:val="00A42695"/>
    <w:rsid w:val="00A44AC4"/>
    <w:rsid w:val="00A450FD"/>
    <w:rsid w:val="00A45114"/>
    <w:rsid w:val="00A46894"/>
    <w:rsid w:val="00A46CBB"/>
    <w:rsid w:val="00A46E36"/>
    <w:rsid w:val="00A47A03"/>
    <w:rsid w:val="00A512F8"/>
    <w:rsid w:val="00A51E34"/>
    <w:rsid w:val="00A521ED"/>
    <w:rsid w:val="00A52588"/>
    <w:rsid w:val="00A534B2"/>
    <w:rsid w:val="00A54D04"/>
    <w:rsid w:val="00A54DE3"/>
    <w:rsid w:val="00A55626"/>
    <w:rsid w:val="00A55D1E"/>
    <w:rsid w:val="00A5673B"/>
    <w:rsid w:val="00A567D2"/>
    <w:rsid w:val="00A56E67"/>
    <w:rsid w:val="00A572A2"/>
    <w:rsid w:val="00A57D9B"/>
    <w:rsid w:val="00A60EE0"/>
    <w:rsid w:val="00A6193F"/>
    <w:rsid w:val="00A62702"/>
    <w:rsid w:val="00A62800"/>
    <w:rsid w:val="00A62A44"/>
    <w:rsid w:val="00A63099"/>
    <w:rsid w:val="00A63186"/>
    <w:rsid w:val="00A632D6"/>
    <w:rsid w:val="00A63AD6"/>
    <w:rsid w:val="00A64FBA"/>
    <w:rsid w:val="00A659F2"/>
    <w:rsid w:val="00A66887"/>
    <w:rsid w:val="00A6748D"/>
    <w:rsid w:val="00A67496"/>
    <w:rsid w:val="00A674A8"/>
    <w:rsid w:val="00A705DC"/>
    <w:rsid w:val="00A705F0"/>
    <w:rsid w:val="00A70FE2"/>
    <w:rsid w:val="00A719FC"/>
    <w:rsid w:val="00A71CD7"/>
    <w:rsid w:val="00A7331D"/>
    <w:rsid w:val="00A742C5"/>
    <w:rsid w:val="00A77171"/>
    <w:rsid w:val="00A77297"/>
    <w:rsid w:val="00A77377"/>
    <w:rsid w:val="00A7793E"/>
    <w:rsid w:val="00A77B5C"/>
    <w:rsid w:val="00A80323"/>
    <w:rsid w:val="00A80505"/>
    <w:rsid w:val="00A807C2"/>
    <w:rsid w:val="00A808E2"/>
    <w:rsid w:val="00A81616"/>
    <w:rsid w:val="00A818FF"/>
    <w:rsid w:val="00A81E2D"/>
    <w:rsid w:val="00A82819"/>
    <w:rsid w:val="00A8334B"/>
    <w:rsid w:val="00A8397B"/>
    <w:rsid w:val="00A8440D"/>
    <w:rsid w:val="00A84C32"/>
    <w:rsid w:val="00A85053"/>
    <w:rsid w:val="00A8521D"/>
    <w:rsid w:val="00A858B6"/>
    <w:rsid w:val="00A85BE2"/>
    <w:rsid w:val="00A876E2"/>
    <w:rsid w:val="00A90CBB"/>
    <w:rsid w:val="00A91064"/>
    <w:rsid w:val="00A922B6"/>
    <w:rsid w:val="00A92BDA"/>
    <w:rsid w:val="00A931B2"/>
    <w:rsid w:val="00A93D56"/>
    <w:rsid w:val="00A94E4F"/>
    <w:rsid w:val="00A96B4F"/>
    <w:rsid w:val="00AA0428"/>
    <w:rsid w:val="00AA0801"/>
    <w:rsid w:val="00AA0D56"/>
    <w:rsid w:val="00AA0DE8"/>
    <w:rsid w:val="00AA1D19"/>
    <w:rsid w:val="00AA2590"/>
    <w:rsid w:val="00AA273D"/>
    <w:rsid w:val="00AA2758"/>
    <w:rsid w:val="00AA3063"/>
    <w:rsid w:val="00AA3ADB"/>
    <w:rsid w:val="00AA4298"/>
    <w:rsid w:val="00AA47C8"/>
    <w:rsid w:val="00AA579E"/>
    <w:rsid w:val="00AA5A39"/>
    <w:rsid w:val="00AA6128"/>
    <w:rsid w:val="00AA7811"/>
    <w:rsid w:val="00AA7EAA"/>
    <w:rsid w:val="00AB004A"/>
    <w:rsid w:val="00AB04F4"/>
    <w:rsid w:val="00AB0536"/>
    <w:rsid w:val="00AB0757"/>
    <w:rsid w:val="00AB1AA8"/>
    <w:rsid w:val="00AB1E03"/>
    <w:rsid w:val="00AB1E5B"/>
    <w:rsid w:val="00AB200C"/>
    <w:rsid w:val="00AB227C"/>
    <w:rsid w:val="00AB244B"/>
    <w:rsid w:val="00AB3106"/>
    <w:rsid w:val="00AB3B84"/>
    <w:rsid w:val="00AB4A2B"/>
    <w:rsid w:val="00AB56CA"/>
    <w:rsid w:val="00AB5731"/>
    <w:rsid w:val="00AB5EA2"/>
    <w:rsid w:val="00AB6B57"/>
    <w:rsid w:val="00AB6F2C"/>
    <w:rsid w:val="00AC399B"/>
    <w:rsid w:val="00AC4381"/>
    <w:rsid w:val="00AC4AC9"/>
    <w:rsid w:val="00AC4BD5"/>
    <w:rsid w:val="00AC6506"/>
    <w:rsid w:val="00AC6F58"/>
    <w:rsid w:val="00AC7E02"/>
    <w:rsid w:val="00AD0CFD"/>
    <w:rsid w:val="00AD105A"/>
    <w:rsid w:val="00AD12F6"/>
    <w:rsid w:val="00AD15B0"/>
    <w:rsid w:val="00AD1D1A"/>
    <w:rsid w:val="00AD1E38"/>
    <w:rsid w:val="00AD221E"/>
    <w:rsid w:val="00AD2CA8"/>
    <w:rsid w:val="00AD307C"/>
    <w:rsid w:val="00AD30C8"/>
    <w:rsid w:val="00AD34D4"/>
    <w:rsid w:val="00AD3E2A"/>
    <w:rsid w:val="00AD41CC"/>
    <w:rsid w:val="00AD421D"/>
    <w:rsid w:val="00AD4DEC"/>
    <w:rsid w:val="00AD5CD6"/>
    <w:rsid w:val="00AD6CE1"/>
    <w:rsid w:val="00AE02EC"/>
    <w:rsid w:val="00AE1953"/>
    <w:rsid w:val="00AE1DFC"/>
    <w:rsid w:val="00AE2ADB"/>
    <w:rsid w:val="00AE2C01"/>
    <w:rsid w:val="00AE35E2"/>
    <w:rsid w:val="00AE4E58"/>
    <w:rsid w:val="00AE5259"/>
    <w:rsid w:val="00AE5C9B"/>
    <w:rsid w:val="00AE6772"/>
    <w:rsid w:val="00AE7646"/>
    <w:rsid w:val="00AE79E0"/>
    <w:rsid w:val="00AE7CEB"/>
    <w:rsid w:val="00AF0336"/>
    <w:rsid w:val="00AF0580"/>
    <w:rsid w:val="00AF080A"/>
    <w:rsid w:val="00AF208F"/>
    <w:rsid w:val="00AF2D16"/>
    <w:rsid w:val="00AF3186"/>
    <w:rsid w:val="00AF40BA"/>
    <w:rsid w:val="00AF4FD5"/>
    <w:rsid w:val="00AF58BD"/>
    <w:rsid w:val="00AF5CF3"/>
    <w:rsid w:val="00AF5E95"/>
    <w:rsid w:val="00AF5F90"/>
    <w:rsid w:val="00AF673A"/>
    <w:rsid w:val="00AF7284"/>
    <w:rsid w:val="00AF7926"/>
    <w:rsid w:val="00AF7F56"/>
    <w:rsid w:val="00B01A5E"/>
    <w:rsid w:val="00B01D40"/>
    <w:rsid w:val="00B021A2"/>
    <w:rsid w:val="00B02486"/>
    <w:rsid w:val="00B02C35"/>
    <w:rsid w:val="00B02FFE"/>
    <w:rsid w:val="00B04B6C"/>
    <w:rsid w:val="00B05154"/>
    <w:rsid w:val="00B05DCC"/>
    <w:rsid w:val="00B06CB4"/>
    <w:rsid w:val="00B072A3"/>
    <w:rsid w:val="00B07A86"/>
    <w:rsid w:val="00B1057A"/>
    <w:rsid w:val="00B12215"/>
    <w:rsid w:val="00B12B49"/>
    <w:rsid w:val="00B12BE1"/>
    <w:rsid w:val="00B12CC9"/>
    <w:rsid w:val="00B12E11"/>
    <w:rsid w:val="00B13263"/>
    <w:rsid w:val="00B13953"/>
    <w:rsid w:val="00B1663B"/>
    <w:rsid w:val="00B16A4F"/>
    <w:rsid w:val="00B16D49"/>
    <w:rsid w:val="00B17262"/>
    <w:rsid w:val="00B17DF6"/>
    <w:rsid w:val="00B2032E"/>
    <w:rsid w:val="00B208E7"/>
    <w:rsid w:val="00B20CAE"/>
    <w:rsid w:val="00B217E8"/>
    <w:rsid w:val="00B22EC9"/>
    <w:rsid w:val="00B232AF"/>
    <w:rsid w:val="00B25206"/>
    <w:rsid w:val="00B2573C"/>
    <w:rsid w:val="00B268BB"/>
    <w:rsid w:val="00B268F8"/>
    <w:rsid w:val="00B27682"/>
    <w:rsid w:val="00B277C1"/>
    <w:rsid w:val="00B27EE7"/>
    <w:rsid w:val="00B319D1"/>
    <w:rsid w:val="00B320BE"/>
    <w:rsid w:val="00B34323"/>
    <w:rsid w:val="00B358BA"/>
    <w:rsid w:val="00B366A1"/>
    <w:rsid w:val="00B36B52"/>
    <w:rsid w:val="00B3738C"/>
    <w:rsid w:val="00B37C19"/>
    <w:rsid w:val="00B400EF"/>
    <w:rsid w:val="00B40C1D"/>
    <w:rsid w:val="00B41572"/>
    <w:rsid w:val="00B42442"/>
    <w:rsid w:val="00B43EFE"/>
    <w:rsid w:val="00B44600"/>
    <w:rsid w:val="00B447D3"/>
    <w:rsid w:val="00B44F95"/>
    <w:rsid w:val="00B456EF"/>
    <w:rsid w:val="00B45C89"/>
    <w:rsid w:val="00B47884"/>
    <w:rsid w:val="00B5021E"/>
    <w:rsid w:val="00B508DA"/>
    <w:rsid w:val="00B5094E"/>
    <w:rsid w:val="00B50D86"/>
    <w:rsid w:val="00B50D8A"/>
    <w:rsid w:val="00B50FBC"/>
    <w:rsid w:val="00B50FF6"/>
    <w:rsid w:val="00B5125D"/>
    <w:rsid w:val="00B52414"/>
    <w:rsid w:val="00B5266A"/>
    <w:rsid w:val="00B535A1"/>
    <w:rsid w:val="00B535F4"/>
    <w:rsid w:val="00B53A6F"/>
    <w:rsid w:val="00B53CAD"/>
    <w:rsid w:val="00B54769"/>
    <w:rsid w:val="00B547A7"/>
    <w:rsid w:val="00B55363"/>
    <w:rsid w:val="00B55596"/>
    <w:rsid w:val="00B5599A"/>
    <w:rsid w:val="00B55AEE"/>
    <w:rsid w:val="00B55ECC"/>
    <w:rsid w:val="00B56EAE"/>
    <w:rsid w:val="00B57380"/>
    <w:rsid w:val="00B61080"/>
    <w:rsid w:val="00B61E45"/>
    <w:rsid w:val="00B62043"/>
    <w:rsid w:val="00B62A55"/>
    <w:rsid w:val="00B635D6"/>
    <w:rsid w:val="00B639F0"/>
    <w:rsid w:val="00B6438D"/>
    <w:rsid w:val="00B6469B"/>
    <w:rsid w:val="00B648D2"/>
    <w:rsid w:val="00B6518D"/>
    <w:rsid w:val="00B652EA"/>
    <w:rsid w:val="00B65A58"/>
    <w:rsid w:val="00B65DBB"/>
    <w:rsid w:val="00B67A3D"/>
    <w:rsid w:val="00B70670"/>
    <w:rsid w:val="00B7140F"/>
    <w:rsid w:val="00B71493"/>
    <w:rsid w:val="00B719E8"/>
    <w:rsid w:val="00B71EBF"/>
    <w:rsid w:val="00B72A0C"/>
    <w:rsid w:val="00B72DDC"/>
    <w:rsid w:val="00B7364C"/>
    <w:rsid w:val="00B73D5D"/>
    <w:rsid w:val="00B74007"/>
    <w:rsid w:val="00B74319"/>
    <w:rsid w:val="00B74320"/>
    <w:rsid w:val="00B743FE"/>
    <w:rsid w:val="00B753CD"/>
    <w:rsid w:val="00B7570C"/>
    <w:rsid w:val="00B75D60"/>
    <w:rsid w:val="00B7660D"/>
    <w:rsid w:val="00B7710E"/>
    <w:rsid w:val="00B775B8"/>
    <w:rsid w:val="00B77F0D"/>
    <w:rsid w:val="00B801AA"/>
    <w:rsid w:val="00B803B2"/>
    <w:rsid w:val="00B80855"/>
    <w:rsid w:val="00B82219"/>
    <w:rsid w:val="00B82761"/>
    <w:rsid w:val="00B827D7"/>
    <w:rsid w:val="00B82CDD"/>
    <w:rsid w:val="00B82EB1"/>
    <w:rsid w:val="00B83506"/>
    <w:rsid w:val="00B838CD"/>
    <w:rsid w:val="00B83C1A"/>
    <w:rsid w:val="00B86290"/>
    <w:rsid w:val="00B8656B"/>
    <w:rsid w:val="00B86A31"/>
    <w:rsid w:val="00B87913"/>
    <w:rsid w:val="00B87949"/>
    <w:rsid w:val="00B87B26"/>
    <w:rsid w:val="00B907DE"/>
    <w:rsid w:val="00B90B20"/>
    <w:rsid w:val="00B91F0D"/>
    <w:rsid w:val="00B92058"/>
    <w:rsid w:val="00B92BA4"/>
    <w:rsid w:val="00B9307D"/>
    <w:rsid w:val="00B93847"/>
    <w:rsid w:val="00B940D6"/>
    <w:rsid w:val="00B94110"/>
    <w:rsid w:val="00B95DB5"/>
    <w:rsid w:val="00B96D93"/>
    <w:rsid w:val="00B96E0A"/>
    <w:rsid w:val="00BA086D"/>
    <w:rsid w:val="00BA17C8"/>
    <w:rsid w:val="00BA1A83"/>
    <w:rsid w:val="00BA1AEE"/>
    <w:rsid w:val="00BA2F77"/>
    <w:rsid w:val="00BA38CF"/>
    <w:rsid w:val="00BA396A"/>
    <w:rsid w:val="00BA3B4D"/>
    <w:rsid w:val="00BA3BB9"/>
    <w:rsid w:val="00BA3E03"/>
    <w:rsid w:val="00BA440E"/>
    <w:rsid w:val="00BA5988"/>
    <w:rsid w:val="00BA5EA9"/>
    <w:rsid w:val="00BA6677"/>
    <w:rsid w:val="00BA6CF0"/>
    <w:rsid w:val="00BA7DB6"/>
    <w:rsid w:val="00BB07BE"/>
    <w:rsid w:val="00BB07CA"/>
    <w:rsid w:val="00BB107C"/>
    <w:rsid w:val="00BB2243"/>
    <w:rsid w:val="00BB26BD"/>
    <w:rsid w:val="00BB3259"/>
    <w:rsid w:val="00BB3BCA"/>
    <w:rsid w:val="00BB3FFB"/>
    <w:rsid w:val="00BB4A80"/>
    <w:rsid w:val="00BB5340"/>
    <w:rsid w:val="00BB5558"/>
    <w:rsid w:val="00BB6C1E"/>
    <w:rsid w:val="00BC0938"/>
    <w:rsid w:val="00BC0BD8"/>
    <w:rsid w:val="00BC2228"/>
    <w:rsid w:val="00BC2FB5"/>
    <w:rsid w:val="00BC5DFE"/>
    <w:rsid w:val="00BC6258"/>
    <w:rsid w:val="00BD14DA"/>
    <w:rsid w:val="00BD16A2"/>
    <w:rsid w:val="00BD16CA"/>
    <w:rsid w:val="00BD17B8"/>
    <w:rsid w:val="00BD17DC"/>
    <w:rsid w:val="00BD2385"/>
    <w:rsid w:val="00BD4AF8"/>
    <w:rsid w:val="00BD581A"/>
    <w:rsid w:val="00BD58F4"/>
    <w:rsid w:val="00BD6551"/>
    <w:rsid w:val="00BD6B29"/>
    <w:rsid w:val="00BD7267"/>
    <w:rsid w:val="00BD7941"/>
    <w:rsid w:val="00BD7959"/>
    <w:rsid w:val="00BD7AB8"/>
    <w:rsid w:val="00BE085B"/>
    <w:rsid w:val="00BE0887"/>
    <w:rsid w:val="00BE0D35"/>
    <w:rsid w:val="00BE266C"/>
    <w:rsid w:val="00BE2894"/>
    <w:rsid w:val="00BE2988"/>
    <w:rsid w:val="00BE43EF"/>
    <w:rsid w:val="00BE48A9"/>
    <w:rsid w:val="00BE4D39"/>
    <w:rsid w:val="00BE4DC8"/>
    <w:rsid w:val="00BE5175"/>
    <w:rsid w:val="00BE6E37"/>
    <w:rsid w:val="00BE6F4B"/>
    <w:rsid w:val="00BE7AE5"/>
    <w:rsid w:val="00BE7FDF"/>
    <w:rsid w:val="00BF05F5"/>
    <w:rsid w:val="00BF0B19"/>
    <w:rsid w:val="00BF0C21"/>
    <w:rsid w:val="00BF0C83"/>
    <w:rsid w:val="00BF0CD5"/>
    <w:rsid w:val="00BF10DC"/>
    <w:rsid w:val="00BF11EE"/>
    <w:rsid w:val="00BF1246"/>
    <w:rsid w:val="00BF30D4"/>
    <w:rsid w:val="00BF3216"/>
    <w:rsid w:val="00BF35F2"/>
    <w:rsid w:val="00BF454F"/>
    <w:rsid w:val="00BF480E"/>
    <w:rsid w:val="00BF4B19"/>
    <w:rsid w:val="00BF4BF4"/>
    <w:rsid w:val="00BF51F8"/>
    <w:rsid w:val="00BF60FB"/>
    <w:rsid w:val="00BF6BC2"/>
    <w:rsid w:val="00BF75DD"/>
    <w:rsid w:val="00BF7616"/>
    <w:rsid w:val="00BF7620"/>
    <w:rsid w:val="00C01054"/>
    <w:rsid w:val="00C012B3"/>
    <w:rsid w:val="00C012D5"/>
    <w:rsid w:val="00C0222E"/>
    <w:rsid w:val="00C02634"/>
    <w:rsid w:val="00C0398A"/>
    <w:rsid w:val="00C0420F"/>
    <w:rsid w:val="00C0470E"/>
    <w:rsid w:val="00C04D71"/>
    <w:rsid w:val="00C050DB"/>
    <w:rsid w:val="00C06666"/>
    <w:rsid w:val="00C06C13"/>
    <w:rsid w:val="00C074CA"/>
    <w:rsid w:val="00C07F30"/>
    <w:rsid w:val="00C10750"/>
    <w:rsid w:val="00C112F8"/>
    <w:rsid w:val="00C1189D"/>
    <w:rsid w:val="00C11ABA"/>
    <w:rsid w:val="00C12496"/>
    <w:rsid w:val="00C12C03"/>
    <w:rsid w:val="00C12EFC"/>
    <w:rsid w:val="00C130E8"/>
    <w:rsid w:val="00C1366B"/>
    <w:rsid w:val="00C1469A"/>
    <w:rsid w:val="00C14C24"/>
    <w:rsid w:val="00C155C9"/>
    <w:rsid w:val="00C16047"/>
    <w:rsid w:val="00C20872"/>
    <w:rsid w:val="00C20C2B"/>
    <w:rsid w:val="00C22F14"/>
    <w:rsid w:val="00C23BD9"/>
    <w:rsid w:val="00C23DE0"/>
    <w:rsid w:val="00C23E3F"/>
    <w:rsid w:val="00C248E4"/>
    <w:rsid w:val="00C24E48"/>
    <w:rsid w:val="00C30357"/>
    <w:rsid w:val="00C308AD"/>
    <w:rsid w:val="00C30E75"/>
    <w:rsid w:val="00C312C1"/>
    <w:rsid w:val="00C31EAC"/>
    <w:rsid w:val="00C31ED5"/>
    <w:rsid w:val="00C321BE"/>
    <w:rsid w:val="00C32A23"/>
    <w:rsid w:val="00C334CC"/>
    <w:rsid w:val="00C3468F"/>
    <w:rsid w:val="00C35560"/>
    <w:rsid w:val="00C35754"/>
    <w:rsid w:val="00C36452"/>
    <w:rsid w:val="00C37C37"/>
    <w:rsid w:val="00C40878"/>
    <w:rsid w:val="00C408BB"/>
    <w:rsid w:val="00C40A89"/>
    <w:rsid w:val="00C40B12"/>
    <w:rsid w:val="00C40BF0"/>
    <w:rsid w:val="00C40DA6"/>
    <w:rsid w:val="00C40EAB"/>
    <w:rsid w:val="00C411AB"/>
    <w:rsid w:val="00C425AA"/>
    <w:rsid w:val="00C433DF"/>
    <w:rsid w:val="00C44303"/>
    <w:rsid w:val="00C44393"/>
    <w:rsid w:val="00C448B7"/>
    <w:rsid w:val="00C45145"/>
    <w:rsid w:val="00C46202"/>
    <w:rsid w:val="00C46E5A"/>
    <w:rsid w:val="00C47624"/>
    <w:rsid w:val="00C47901"/>
    <w:rsid w:val="00C47F66"/>
    <w:rsid w:val="00C500FA"/>
    <w:rsid w:val="00C50869"/>
    <w:rsid w:val="00C51601"/>
    <w:rsid w:val="00C53602"/>
    <w:rsid w:val="00C54BBD"/>
    <w:rsid w:val="00C55023"/>
    <w:rsid w:val="00C55728"/>
    <w:rsid w:val="00C5585F"/>
    <w:rsid w:val="00C558D9"/>
    <w:rsid w:val="00C57223"/>
    <w:rsid w:val="00C6012A"/>
    <w:rsid w:val="00C612F0"/>
    <w:rsid w:val="00C61AEE"/>
    <w:rsid w:val="00C629F5"/>
    <w:rsid w:val="00C629FD"/>
    <w:rsid w:val="00C62B8A"/>
    <w:rsid w:val="00C63946"/>
    <w:rsid w:val="00C63D40"/>
    <w:rsid w:val="00C640D9"/>
    <w:rsid w:val="00C644A0"/>
    <w:rsid w:val="00C6488D"/>
    <w:rsid w:val="00C64CCF"/>
    <w:rsid w:val="00C66EE0"/>
    <w:rsid w:val="00C67A89"/>
    <w:rsid w:val="00C67E7E"/>
    <w:rsid w:val="00C700B2"/>
    <w:rsid w:val="00C700F9"/>
    <w:rsid w:val="00C704CE"/>
    <w:rsid w:val="00C70CCA"/>
    <w:rsid w:val="00C72794"/>
    <w:rsid w:val="00C72869"/>
    <w:rsid w:val="00C7318D"/>
    <w:rsid w:val="00C7389D"/>
    <w:rsid w:val="00C74011"/>
    <w:rsid w:val="00C74AD3"/>
    <w:rsid w:val="00C74FB7"/>
    <w:rsid w:val="00C7504C"/>
    <w:rsid w:val="00C75318"/>
    <w:rsid w:val="00C759C1"/>
    <w:rsid w:val="00C764DB"/>
    <w:rsid w:val="00C76BB7"/>
    <w:rsid w:val="00C77793"/>
    <w:rsid w:val="00C808CA"/>
    <w:rsid w:val="00C81E1A"/>
    <w:rsid w:val="00C83AA4"/>
    <w:rsid w:val="00C842C7"/>
    <w:rsid w:val="00C8532E"/>
    <w:rsid w:val="00C85DE4"/>
    <w:rsid w:val="00C866F6"/>
    <w:rsid w:val="00C86E3F"/>
    <w:rsid w:val="00C8793D"/>
    <w:rsid w:val="00C87B1E"/>
    <w:rsid w:val="00C90091"/>
    <w:rsid w:val="00C92600"/>
    <w:rsid w:val="00C93782"/>
    <w:rsid w:val="00C94032"/>
    <w:rsid w:val="00C9439C"/>
    <w:rsid w:val="00C94EA9"/>
    <w:rsid w:val="00C95011"/>
    <w:rsid w:val="00C95513"/>
    <w:rsid w:val="00C95C89"/>
    <w:rsid w:val="00C97834"/>
    <w:rsid w:val="00C97AEC"/>
    <w:rsid w:val="00C97CDD"/>
    <w:rsid w:val="00C97F5B"/>
    <w:rsid w:val="00CA03AB"/>
    <w:rsid w:val="00CA0B0A"/>
    <w:rsid w:val="00CA1540"/>
    <w:rsid w:val="00CA17EE"/>
    <w:rsid w:val="00CA2332"/>
    <w:rsid w:val="00CA3355"/>
    <w:rsid w:val="00CA4DA6"/>
    <w:rsid w:val="00CA7945"/>
    <w:rsid w:val="00CA7A4C"/>
    <w:rsid w:val="00CB109B"/>
    <w:rsid w:val="00CB1B6F"/>
    <w:rsid w:val="00CB1BC6"/>
    <w:rsid w:val="00CB2250"/>
    <w:rsid w:val="00CB289A"/>
    <w:rsid w:val="00CB328A"/>
    <w:rsid w:val="00CB3D0A"/>
    <w:rsid w:val="00CB4A4F"/>
    <w:rsid w:val="00CB5982"/>
    <w:rsid w:val="00CB59B4"/>
    <w:rsid w:val="00CB6058"/>
    <w:rsid w:val="00CB6081"/>
    <w:rsid w:val="00CB7142"/>
    <w:rsid w:val="00CB7ADB"/>
    <w:rsid w:val="00CC1AF7"/>
    <w:rsid w:val="00CC2A25"/>
    <w:rsid w:val="00CC2C3B"/>
    <w:rsid w:val="00CC608F"/>
    <w:rsid w:val="00CC60EA"/>
    <w:rsid w:val="00CC69CB"/>
    <w:rsid w:val="00CC78DD"/>
    <w:rsid w:val="00CC7A0B"/>
    <w:rsid w:val="00CC7AF9"/>
    <w:rsid w:val="00CD17D5"/>
    <w:rsid w:val="00CD185E"/>
    <w:rsid w:val="00CD1D2C"/>
    <w:rsid w:val="00CD216C"/>
    <w:rsid w:val="00CD34B3"/>
    <w:rsid w:val="00CD3933"/>
    <w:rsid w:val="00CD3E25"/>
    <w:rsid w:val="00CD44D3"/>
    <w:rsid w:val="00CD4F85"/>
    <w:rsid w:val="00CD5205"/>
    <w:rsid w:val="00CD54D9"/>
    <w:rsid w:val="00CD54DA"/>
    <w:rsid w:val="00CD6B8C"/>
    <w:rsid w:val="00CD73DC"/>
    <w:rsid w:val="00CE047F"/>
    <w:rsid w:val="00CE11FE"/>
    <w:rsid w:val="00CE279C"/>
    <w:rsid w:val="00CE2E5D"/>
    <w:rsid w:val="00CE3476"/>
    <w:rsid w:val="00CE3F73"/>
    <w:rsid w:val="00CE58BA"/>
    <w:rsid w:val="00CF0C11"/>
    <w:rsid w:val="00CF126E"/>
    <w:rsid w:val="00CF1B95"/>
    <w:rsid w:val="00CF2654"/>
    <w:rsid w:val="00CF2A17"/>
    <w:rsid w:val="00CF2C79"/>
    <w:rsid w:val="00CF2F34"/>
    <w:rsid w:val="00CF4433"/>
    <w:rsid w:val="00CF5640"/>
    <w:rsid w:val="00CF5872"/>
    <w:rsid w:val="00CF6C37"/>
    <w:rsid w:val="00CF7E51"/>
    <w:rsid w:val="00D001EF"/>
    <w:rsid w:val="00D00265"/>
    <w:rsid w:val="00D02657"/>
    <w:rsid w:val="00D0266E"/>
    <w:rsid w:val="00D041F1"/>
    <w:rsid w:val="00D04A21"/>
    <w:rsid w:val="00D04E0B"/>
    <w:rsid w:val="00D05A65"/>
    <w:rsid w:val="00D0635D"/>
    <w:rsid w:val="00D07D31"/>
    <w:rsid w:val="00D07F09"/>
    <w:rsid w:val="00D101D9"/>
    <w:rsid w:val="00D1126C"/>
    <w:rsid w:val="00D11A14"/>
    <w:rsid w:val="00D12228"/>
    <w:rsid w:val="00D12A1E"/>
    <w:rsid w:val="00D133F8"/>
    <w:rsid w:val="00D146FC"/>
    <w:rsid w:val="00D14B54"/>
    <w:rsid w:val="00D15336"/>
    <w:rsid w:val="00D16DF7"/>
    <w:rsid w:val="00D16F70"/>
    <w:rsid w:val="00D1768D"/>
    <w:rsid w:val="00D17B8B"/>
    <w:rsid w:val="00D17DCF"/>
    <w:rsid w:val="00D20F6E"/>
    <w:rsid w:val="00D21313"/>
    <w:rsid w:val="00D213C7"/>
    <w:rsid w:val="00D22168"/>
    <w:rsid w:val="00D22E0B"/>
    <w:rsid w:val="00D2318D"/>
    <w:rsid w:val="00D23463"/>
    <w:rsid w:val="00D23520"/>
    <w:rsid w:val="00D242C6"/>
    <w:rsid w:val="00D247B7"/>
    <w:rsid w:val="00D255C8"/>
    <w:rsid w:val="00D26BF4"/>
    <w:rsid w:val="00D2741E"/>
    <w:rsid w:val="00D27FC7"/>
    <w:rsid w:val="00D3001E"/>
    <w:rsid w:val="00D30AFC"/>
    <w:rsid w:val="00D30B3A"/>
    <w:rsid w:val="00D32873"/>
    <w:rsid w:val="00D32C4F"/>
    <w:rsid w:val="00D337A9"/>
    <w:rsid w:val="00D34183"/>
    <w:rsid w:val="00D349E6"/>
    <w:rsid w:val="00D353D9"/>
    <w:rsid w:val="00D36A63"/>
    <w:rsid w:val="00D36BE7"/>
    <w:rsid w:val="00D402A3"/>
    <w:rsid w:val="00D40AE2"/>
    <w:rsid w:val="00D41262"/>
    <w:rsid w:val="00D42E40"/>
    <w:rsid w:val="00D44487"/>
    <w:rsid w:val="00D44C3F"/>
    <w:rsid w:val="00D4559A"/>
    <w:rsid w:val="00D459B6"/>
    <w:rsid w:val="00D47242"/>
    <w:rsid w:val="00D479F2"/>
    <w:rsid w:val="00D50142"/>
    <w:rsid w:val="00D501B4"/>
    <w:rsid w:val="00D50C22"/>
    <w:rsid w:val="00D50CF9"/>
    <w:rsid w:val="00D523BE"/>
    <w:rsid w:val="00D52C26"/>
    <w:rsid w:val="00D52CB4"/>
    <w:rsid w:val="00D536BF"/>
    <w:rsid w:val="00D53932"/>
    <w:rsid w:val="00D54FBC"/>
    <w:rsid w:val="00D56ADB"/>
    <w:rsid w:val="00D60E9A"/>
    <w:rsid w:val="00D61141"/>
    <w:rsid w:val="00D61520"/>
    <w:rsid w:val="00D61CF0"/>
    <w:rsid w:val="00D6300D"/>
    <w:rsid w:val="00D63840"/>
    <w:rsid w:val="00D64361"/>
    <w:rsid w:val="00D64AAF"/>
    <w:rsid w:val="00D64ADE"/>
    <w:rsid w:val="00D659E4"/>
    <w:rsid w:val="00D65E99"/>
    <w:rsid w:val="00D661E3"/>
    <w:rsid w:val="00D6673E"/>
    <w:rsid w:val="00D67BCF"/>
    <w:rsid w:val="00D67EF9"/>
    <w:rsid w:val="00D709AD"/>
    <w:rsid w:val="00D7111B"/>
    <w:rsid w:val="00D71682"/>
    <w:rsid w:val="00D739A3"/>
    <w:rsid w:val="00D740A8"/>
    <w:rsid w:val="00D74585"/>
    <w:rsid w:val="00D745B3"/>
    <w:rsid w:val="00D74EA2"/>
    <w:rsid w:val="00D75129"/>
    <w:rsid w:val="00D75B60"/>
    <w:rsid w:val="00D77100"/>
    <w:rsid w:val="00D77997"/>
    <w:rsid w:val="00D801B6"/>
    <w:rsid w:val="00D80B9F"/>
    <w:rsid w:val="00D81BE3"/>
    <w:rsid w:val="00D829CD"/>
    <w:rsid w:val="00D82DE9"/>
    <w:rsid w:val="00D83412"/>
    <w:rsid w:val="00D835A7"/>
    <w:rsid w:val="00D83759"/>
    <w:rsid w:val="00D84ABE"/>
    <w:rsid w:val="00D85255"/>
    <w:rsid w:val="00D855E5"/>
    <w:rsid w:val="00D86D1E"/>
    <w:rsid w:val="00D87420"/>
    <w:rsid w:val="00D87B2E"/>
    <w:rsid w:val="00D91D13"/>
    <w:rsid w:val="00D91D38"/>
    <w:rsid w:val="00D927DD"/>
    <w:rsid w:val="00D92F8D"/>
    <w:rsid w:val="00D936AD"/>
    <w:rsid w:val="00D939EE"/>
    <w:rsid w:val="00D95501"/>
    <w:rsid w:val="00D95823"/>
    <w:rsid w:val="00D95E59"/>
    <w:rsid w:val="00D95EBC"/>
    <w:rsid w:val="00D96608"/>
    <w:rsid w:val="00D974CF"/>
    <w:rsid w:val="00D976F8"/>
    <w:rsid w:val="00D97F5F"/>
    <w:rsid w:val="00DA0F36"/>
    <w:rsid w:val="00DA181E"/>
    <w:rsid w:val="00DA1A1C"/>
    <w:rsid w:val="00DA21E6"/>
    <w:rsid w:val="00DA2F4B"/>
    <w:rsid w:val="00DA2F8B"/>
    <w:rsid w:val="00DA3253"/>
    <w:rsid w:val="00DA39B7"/>
    <w:rsid w:val="00DA3EA5"/>
    <w:rsid w:val="00DA496E"/>
    <w:rsid w:val="00DA5358"/>
    <w:rsid w:val="00DA5796"/>
    <w:rsid w:val="00DA5940"/>
    <w:rsid w:val="00DA5F8D"/>
    <w:rsid w:val="00DA618B"/>
    <w:rsid w:val="00DA6C8E"/>
    <w:rsid w:val="00DA7549"/>
    <w:rsid w:val="00DA7571"/>
    <w:rsid w:val="00DA7628"/>
    <w:rsid w:val="00DA78B6"/>
    <w:rsid w:val="00DA7CD3"/>
    <w:rsid w:val="00DB05E3"/>
    <w:rsid w:val="00DB1494"/>
    <w:rsid w:val="00DB1667"/>
    <w:rsid w:val="00DB22EC"/>
    <w:rsid w:val="00DB2842"/>
    <w:rsid w:val="00DB3A7F"/>
    <w:rsid w:val="00DB41CD"/>
    <w:rsid w:val="00DB6970"/>
    <w:rsid w:val="00DB6E92"/>
    <w:rsid w:val="00DC019B"/>
    <w:rsid w:val="00DC0695"/>
    <w:rsid w:val="00DC06CC"/>
    <w:rsid w:val="00DC0920"/>
    <w:rsid w:val="00DC2451"/>
    <w:rsid w:val="00DC2BB3"/>
    <w:rsid w:val="00DC4508"/>
    <w:rsid w:val="00DC4673"/>
    <w:rsid w:val="00DC4CE9"/>
    <w:rsid w:val="00DC4E38"/>
    <w:rsid w:val="00DC5325"/>
    <w:rsid w:val="00DC5349"/>
    <w:rsid w:val="00DC57B7"/>
    <w:rsid w:val="00DC5A5A"/>
    <w:rsid w:val="00DC5C08"/>
    <w:rsid w:val="00DC634F"/>
    <w:rsid w:val="00DC6DB7"/>
    <w:rsid w:val="00DC6F77"/>
    <w:rsid w:val="00DC759D"/>
    <w:rsid w:val="00DD05DB"/>
    <w:rsid w:val="00DD0974"/>
    <w:rsid w:val="00DD1447"/>
    <w:rsid w:val="00DD1BE8"/>
    <w:rsid w:val="00DD1EA0"/>
    <w:rsid w:val="00DD22C5"/>
    <w:rsid w:val="00DD32B7"/>
    <w:rsid w:val="00DD4059"/>
    <w:rsid w:val="00DD4C91"/>
    <w:rsid w:val="00DD50C5"/>
    <w:rsid w:val="00DD7F04"/>
    <w:rsid w:val="00DE041D"/>
    <w:rsid w:val="00DE0744"/>
    <w:rsid w:val="00DE0912"/>
    <w:rsid w:val="00DE10B9"/>
    <w:rsid w:val="00DE1962"/>
    <w:rsid w:val="00DE3EA2"/>
    <w:rsid w:val="00DE40EC"/>
    <w:rsid w:val="00DE42AF"/>
    <w:rsid w:val="00DE43B2"/>
    <w:rsid w:val="00DE4C68"/>
    <w:rsid w:val="00DE517F"/>
    <w:rsid w:val="00DE583F"/>
    <w:rsid w:val="00DE69D6"/>
    <w:rsid w:val="00DF0F6F"/>
    <w:rsid w:val="00DF2B2F"/>
    <w:rsid w:val="00DF383A"/>
    <w:rsid w:val="00DF419D"/>
    <w:rsid w:val="00DF5195"/>
    <w:rsid w:val="00DF601B"/>
    <w:rsid w:val="00E02DFF"/>
    <w:rsid w:val="00E03A48"/>
    <w:rsid w:val="00E03A69"/>
    <w:rsid w:val="00E0561C"/>
    <w:rsid w:val="00E0575B"/>
    <w:rsid w:val="00E10CA5"/>
    <w:rsid w:val="00E10F77"/>
    <w:rsid w:val="00E11102"/>
    <w:rsid w:val="00E111CE"/>
    <w:rsid w:val="00E12696"/>
    <w:rsid w:val="00E12CD0"/>
    <w:rsid w:val="00E12FC8"/>
    <w:rsid w:val="00E131BD"/>
    <w:rsid w:val="00E133DB"/>
    <w:rsid w:val="00E140FB"/>
    <w:rsid w:val="00E14D32"/>
    <w:rsid w:val="00E15D18"/>
    <w:rsid w:val="00E15DB7"/>
    <w:rsid w:val="00E163FB"/>
    <w:rsid w:val="00E16941"/>
    <w:rsid w:val="00E17235"/>
    <w:rsid w:val="00E17509"/>
    <w:rsid w:val="00E17DA9"/>
    <w:rsid w:val="00E20A78"/>
    <w:rsid w:val="00E21B81"/>
    <w:rsid w:val="00E22006"/>
    <w:rsid w:val="00E2240F"/>
    <w:rsid w:val="00E22A59"/>
    <w:rsid w:val="00E22E75"/>
    <w:rsid w:val="00E236A0"/>
    <w:rsid w:val="00E24853"/>
    <w:rsid w:val="00E24E2C"/>
    <w:rsid w:val="00E25E1A"/>
    <w:rsid w:val="00E25EBE"/>
    <w:rsid w:val="00E26367"/>
    <w:rsid w:val="00E27B5C"/>
    <w:rsid w:val="00E27B8C"/>
    <w:rsid w:val="00E3021E"/>
    <w:rsid w:val="00E30DB4"/>
    <w:rsid w:val="00E31715"/>
    <w:rsid w:val="00E31E1C"/>
    <w:rsid w:val="00E3247D"/>
    <w:rsid w:val="00E32DDC"/>
    <w:rsid w:val="00E33305"/>
    <w:rsid w:val="00E33611"/>
    <w:rsid w:val="00E33A5A"/>
    <w:rsid w:val="00E346CB"/>
    <w:rsid w:val="00E34BBE"/>
    <w:rsid w:val="00E37E76"/>
    <w:rsid w:val="00E410E7"/>
    <w:rsid w:val="00E41AAA"/>
    <w:rsid w:val="00E42C7B"/>
    <w:rsid w:val="00E43C15"/>
    <w:rsid w:val="00E453E2"/>
    <w:rsid w:val="00E4636B"/>
    <w:rsid w:val="00E46B21"/>
    <w:rsid w:val="00E47A9A"/>
    <w:rsid w:val="00E47D33"/>
    <w:rsid w:val="00E51D75"/>
    <w:rsid w:val="00E52B75"/>
    <w:rsid w:val="00E53911"/>
    <w:rsid w:val="00E53AD9"/>
    <w:rsid w:val="00E543FC"/>
    <w:rsid w:val="00E54C1A"/>
    <w:rsid w:val="00E556C8"/>
    <w:rsid w:val="00E5698B"/>
    <w:rsid w:val="00E57317"/>
    <w:rsid w:val="00E605CA"/>
    <w:rsid w:val="00E61DD8"/>
    <w:rsid w:val="00E623FA"/>
    <w:rsid w:val="00E62D0A"/>
    <w:rsid w:val="00E6333D"/>
    <w:rsid w:val="00E63409"/>
    <w:rsid w:val="00E63F28"/>
    <w:rsid w:val="00E64D67"/>
    <w:rsid w:val="00E65822"/>
    <w:rsid w:val="00E6628F"/>
    <w:rsid w:val="00E66B87"/>
    <w:rsid w:val="00E66CE3"/>
    <w:rsid w:val="00E67725"/>
    <w:rsid w:val="00E7007E"/>
    <w:rsid w:val="00E707CA"/>
    <w:rsid w:val="00E716F9"/>
    <w:rsid w:val="00E718E9"/>
    <w:rsid w:val="00E7190B"/>
    <w:rsid w:val="00E730C9"/>
    <w:rsid w:val="00E7398E"/>
    <w:rsid w:val="00E73B79"/>
    <w:rsid w:val="00E74078"/>
    <w:rsid w:val="00E74BEA"/>
    <w:rsid w:val="00E74E3A"/>
    <w:rsid w:val="00E75D2E"/>
    <w:rsid w:val="00E75D79"/>
    <w:rsid w:val="00E7605E"/>
    <w:rsid w:val="00E76186"/>
    <w:rsid w:val="00E77B2E"/>
    <w:rsid w:val="00E80386"/>
    <w:rsid w:val="00E80438"/>
    <w:rsid w:val="00E808C8"/>
    <w:rsid w:val="00E8111A"/>
    <w:rsid w:val="00E812F9"/>
    <w:rsid w:val="00E814C8"/>
    <w:rsid w:val="00E81554"/>
    <w:rsid w:val="00E81A0D"/>
    <w:rsid w:val="00E8220A"/>
    <w:rsid w:val="00E826AE"/>
    <w:rsid w:val="00E832F9"/>
    <w:rsid w:val="00E83309"/>
    <w:rsid w:val="00E84074"/>
    <w:rsid w:val="00E84BF8"/>
    <w:rsid w:val="00E84C7E"/>
    <w:rsid w:val="00E84D69"/>
    <w:rsid w:val="00E86E07"/>
    <w:rsid w:val="00E86E5E"/>
    <w:rsid w:val="00E87EE9"/>
    <w:rsid w:val="00E90F76"/>
    <w:rsid w:val="00E91D49"/>
    <w:rsid w:val="00E924F6"/>
    <w:rsid w:val="00E9292D"/>
    <w:rsid w:val="00E92ED0"/>
    <w:rsid w:val="00E93238"/>
    <w:rsid w:val="00E937E9"/>
    <w:rsid w:val="00E94268"/>
    <w:rsid w:val="00E9519D"/>
    <w:rsid w:val="00E9526A"/>
    <w:rsid w:val="00E95A9D"/>
    <w:rsid w:val="00E961FD"/>
    <w:rsid w:val="00E9705F"/>
    <w:rsid w:val="00E971B2"/>
    <w:rsid w:val="00E975CA"/>
    <w:rsid w:val="00E97FDF"/>
    <w:rsid w:val="00EA0274"/>
    <w:rsid w:val="00EA05C5"/>
    <w:rsid w:val="00EA1AE3"/>
    <w:rsid w:val="00EA1BB6"/>
    <w:rsid w:val="00EA1CC0"/>
    <w:rsid w:val="00EA20BE"/>
    <w:rsid w:val="00EA3D4C"/>
    <w:rsid w:val="00EA42C7"/>
    <w:rsid w:val="00EA42DA"/>
    <w:rsid w:val="00EA5675"/>
    <w:rsid w:val="00EA59E1"/>
    <w:rsid w:val="00EA5C70"/>
    <w:rsid w:val="00EA68BC"/>
    <w:rsid w:val="00EA6F04"/>
    <w:rsid w:val="00EB05F5"/>
    <w:rsid w:val="00EB1255"/>
    <w:rsid w:val="00EB2F2E"/>
    <w:rsid w:val="00EB4941"/>
    <w:rsid w:val="00EB4A95"/>
    <w:rsid w:val="00EB4B53"/>
    <w:rsid w:val="00EB4CC3"/>
    <w:rsid w:val="00EB533C"/>
    <w:rsid w:val="00EB5BB7"/>
    <w:rsid w:val="00EB641D"/>
    <w:rsid w:val="00EB6EC1"/>
    <w:rsid w:val="00EB7189"/>
    <w:rsid w:val="00EB7CAA"/>
    <w:rsid w:val="00EC0232"/>
    <w:rsid w:val="00EC0844"/>
    <w:rsid w:val="00EC0ABA"/>
    <w:rsid w:val="00EC2ED3"/>
    <w:rsid w:val="00EC333F"/>
    <w:rsid w:val="00EC354E"/>
    <w:rsid w:val="00EC375B"/>
    <w:rsid w:val="00EC4E1B"/>
    <w:rsid w:val="00EC5757"/>
    <w:rsid w:val="00EC59BE"/>
    <w:rsid w:val="00EC6190"/>
    <w:rsid w:val="00EC6F9C"/>
    <w:rsid w:val="00EC7131"/>
    <w:rsid w:val="00EC7566"/>
    <w:rsid w:val="00EC7676"/>
    <w:rsid w:val="00EC7F98"/>
    <w:rsid w:val="00ED199B"/>
    <w:rsid w:val="00ED1BE6"/>
    <w:rsid w:val="00ED1E66"/>
    <w:rsid w:val="00ED2248"/>
    <w:rsid w:val="00ED2E55"/>
    <w:rsid w:val="00ED4161"/>
    <w:rsid w:val="00ED5AB8"/>
    <w:rsid w:val="00ED6332"/>
    <w:rsid w:val="00ED7446"/>
    <w:rsid w:val="00ED7B42"/>
    <w:rsid w:val="00EE3592"/>
    <w:rsid w:val="00EE35C0"/>
    <w:rsid w:val="00EE371F"/>
    <w:rsid w:val="00EE3F6D"/>
    <w:rsid w:val="00EE4177"/>
    <w:rsid w:val="00EE45D0"/>
    <w:rsid w:val="00EE4733"/>
    <w:rsid w:val="00EE634B"/>
    <w:rsid w:val="00EE648B"/>
    <w:rsid w:val="00EE65A8"/>
    <w:rsid w:val="00EE7028"/>
    <w:rsid w:val="00EF03F1"/>
    <w:rsid w:val="00EF0BB8"/>
    <w:rsid w:val="00EF0E62"/>
    <w:rsid w:val="00EF1922"/>
    <w:rsid w:val="00EF235C"/>
    <w:rsid w:val="00EF23AE"/>
    <w:rsid w:val="00EF2713"/>
    <w:rsid w:val="00EF2817"/>
    <w:rsid w:val="00EF2956"/>
    <w:rsid w:val="00EF2C3A"/>
    <w:rsid w:val="00EF2E65"/>
    <w:rsid w:val="00EF35E0"/>
    <w:rsid w:val="00EF406E"/>
    <w:rsid w:val="00EF4457"/>
    <w:rsid w:val="00EF4F36"/>
    <w:rsid w:val="00EF5E0B"/>
    <w:rsid w:val="00EF5ED5"/>
    <w:rsid w:val="00EF63E9"/>
    <w:rsid w:val="00EF699F"/>
    <w:rsid w:val="00EF7015"/>
    <w:rsid w:val="00EF7271"/>
    <w:rsid w:val="00EF745B"/>
    <w:rsid w:val="00EF7A2C"/>
    <w:rsid w:val="00F001FE"/>
    <w:rsid w:val="00F00A68"/>
    <w:rsid w:val="00F00A84"/>
    <w:rsid w:val="00F00BA3"/>
    <w:rsid w:val="00F00D28"/>
    <w:rsid w:val="00F01554"/>
    <w:rsid w:val="00F02ACC"/>
    <w:rsid w:val="00F0317C"/>
    <w:rsid w:val="00F03E68"/>
    <w:rsid w:val="00F04A3D"/>
    <w:rsid w:val="00F0698C"/>
    <w:rsid w:val="00F069CD"/>
    <w:rsid w:val="00F070AC"/>
    <w:rsid w:val="00F07F19"/>
    <w:rsid w:val="00F1182D"/>
    <w:rsid w:val="00F11B1D"/>
    <w:rsid w:val="00F126FF"/>
    <w:rsid w:val="00F12CEB"/>
    <w:rsid w:val="00F12E45"/>
    <w:rsid w:val="00F14708"/>
    <w:rsid w:val="00F15255"/>
    <w:rsid w:val="00F152BC"/>
    <w:rsid w:val="00F15D2A"/>
    <w:rsid w:val="00F15E2F"/>
    <w:rsid w:val="00F1659B"/>
    <w:rsid w:val="00F17B6E"/>
    <w:rsid w:val="00F17CCB"/>
    <w:rsid w:val="00F202E8"/>
    <w:rsid w:val="00F2036F"/>
    <w:rsid w:val="00F21F66"/>
    <w:rsid w:val="00F229EA"/>
    <w:rsid w:val="00F233AA"/>
    <w:rsid w:val="00F23527"/>
    <w:rsid w:val="00F23E3B"/>
    <w:rsid w:val="00F23EE9"/>
    <w:rsid w:val="00F2636C"/>
    <w:rsid w:val="00F26AC3"/>
    <w:rsid w:val="00F26D51"/>
    <w:rsid w:val="00F270E6"/>
    <w:rsid w:val="00F274C3"/>
    <w:rsid w:val="00F30660"/>
    <w:rsid w:val="00F309AE"/>
    <w:rsid w:val="00F30E10"/>
    <w:rsid w:val="00F30E75"/>
    <w:rsid w:val="00F311DC"/>
    <w:rsid w:val="00F3180A"/>
    <w:rsid w:val="00F31C34"/>
    <w:rsid w:val="00F31F0A"/>
    <w:rsid w:val="00F31F33"/>
    <w:rsid w:val="00F31FC6"/>
    <w:rsid w:val="00F32175"/>
    <w:rsid w:val="00F3233D"/>
    <w:rsid w:val="00F323EA"/>
    <w:rsid w:val="00F325B2"/>
    <w:rsid w:val="00F3420D"/>
    <w:rsid w:val="00F346E5"/>
    <w:rsid w:val="00F34C32"/>
    <w:rsid w:val="00F361B0"/>
    <w:rsid w:val="00F36936"/>
    <w:rsid w:val="00F371C8"/>
    <w:rsid w:val="00F37B12"/>
    <w:rsid w:val="00F4004F"/>
    <w:rsid w:val="00F40A7D"/>
    <w:rsid w:val="00F40DF4"/>
    <w:rsid w:val="00F4130C"/>
    <w:rsid w:val="00F41788"/>
    <w:rsid w:val="00F41AA8"/>
    <w:rsid w:val="00F41C79"/>
    <w:rsid w:val="00F41F05"/>
    <w:rsid w:val="00F42085"/>
    <w:rsid w:val="00F420D8"/>
    <w:rsid w:val="00F43602"/>
    <w:rsid w:val="00F43736"/>
    <w:rsid w:val="00F44343"/>
    <w:rsid w:val="00F45082"/>
    <w:rsid w:val="00F45675"/>
    <w:rsid w:val="00F45A11"/>
    <w:rsid w:val="00F45B5A"/>
    <w:rsid w:val="00F46DA2"/>
    <w:rsid w:val="00F477B5"/>
    <w:rsid w:val="00F5006D"/>
    <w:rsid w:val="00F50AB0"/>
    <w:rsid w:val="00F51128"/>
    <w:rsid w:val="00F511D2"/>
    <w:rsid w:val="00F514C2"/>
    <w:rsid w:val="00F5173D"/>
    <w:rsid w:val="00F532D7"/>
    <w:rsid w:val="00F53C02"/>
    <w:rsid w:val="00F53DB7"/>
    <w:rsid w:val="00F554B1"/>
    <w:rsid w:val="00F558D1"/>
    <w:rsid w:val="00F55ADC"/>
    <w:rsid w:val="00F564DD"/>
    <w:rsid w:val="00F56628"/>
    <w:rsid w:val="00F5666C"/>
    <w:rsid w:val="00F566BA"/>
    <w:rsid w:val="00F56BE6"/>
    <w:rsid w:val="00F56CC8"/>
    <w:rsid w:val="00F578F1"/>
    <w:rsid w:val="00F57B80"/>
    <w:rsid w:val="00F57CA6"/>
    <w:rsid w:val="00F60472"/>
    <w:rsid w:val="00F604D1"/>
    <w:rsid w:val="00F609C7"/>
    <w:rsid w:val="00F60F9F"/>
    <w:rsid w:val="00F612F5"/>
    <w:rsid w:val="00F61384"/>
    <w:rsid w:val="00F61AF2"/>
    <w:rsid w:val="00F6209B"/>
    <w:rsid w:val="00F6252F"/>
    <w:rsid w:val="00F628AF"/>
    <w:rsid w:val="00F62F22"/>
    <w:rsid w:val="00F63A74"/>
    <w:rsid w:val="00F64354"/>
    <w:rsid w:val="00F64798"/>
    <w:rsid w:val="00F64A4B"/>
    <w:rsid w:val="00F64AC6"/>
    <w:rsid w:val="00F65288"/>
    <w:rsid w:val="00F6588E"/>
    <w:rsid w:val="00F66F40"/>
    <w:rsid w:val="00F676EB"/>
    <w:rsid w:val="00F67E0A"/>
    <w:rsid w:val="00F70005"/>
    <w:rsid w:val="00F71012"/>
    <w:rsid w:val="00F734A4"/>
    <w:rsid w:val="00F7394B"/>
    <w:rsid w:val="00F73C1B"/>
    <w:rsid w:val="00F73E84"/>
    <w:rsid w:val="00F74577"/>
    <w:rsid w:val="00F74A43"/>
    <w:rsid w:val="00F7676F"/>
    <w:rsid w:val="00F7717A"/>
    <w:rsid w:val="00F77233"/>
    <w:rsid w:val="00F778E0"/>
    <w:rsid w:val="00F80277"/>
    <w:rsid w:val="00F80AB8"/>
    <w:rsid w:val="00F811C9"/>
    <w:rsid w:val="00F81234"/>
    <w:rsid w:val="00F812D5"/>
    <w:rsid w:val="00F81AD1"/>
    <w:rsid w:val="00F82545"/>
    <w:rsid w:val="00F829A5"/>
    <w:rsid w:val="00F83C08"/>
    <w:rsid w:val="00F83CD2"/>
    <w:rsid w:val="00F8499E"/>
    <w:rsid w:val="00F86091"/>
    <w:rsid w:val="00F86B43"/>
    <w:rsid w:val="00F90560"/>
    <w:rsid w:val="00F90864"/>
    <w:rsid w:val="00F91AD4"/>
    <w:rsid w:val="00F9202C"/>
    <w:rsid w:val="00F92421"/>
    <w:rsid w:val="00F92531"/>
    <w:rsid w:val="00F92A28"/>
    <w:rsid w:val="00F93778"/>
    <w:rsid w:val="00F948A4"/>
    <w:rsid w:val="00F94C79"/>
    <w:rsid w:val="00F95067"/>
    <w:rsid w:val="00F95ED3"/>
    <w:rsid w:val="00F963DD"/>
    <w:rsid w:val="00F972CD"/>
    <w:rsid w:val="00F97950"/>
    <w:rsid w:val="00F97DF5"/>
    <w:rsid w:val="00FA0BB9"/>
    <w:rsid w:val="00FA0F12"/>
    <w:rsid w:val="00FA155D"/>
    <w:rsid w:val="00FA17B0"/>
    <w:rsid w:val="00FA3553"/>
    <w:rsid w:val="00FA365D"/>
    <w:rsid w:val="00FA3776"/>
    <w:rsid w:val="00FA37CC"/>
    <w:rsid w:val="00FA4416"/>
    <w:rsid w:val="00FA55AA"/>
    <w:rsid w:val="00FA6871"/>
    <w:rsid w:val="00FA7A2E"/>
    <w:rsid w:val="00FB18E9"/>
    <w:rsid w:val="00FB19FF"/>
    <w:rsid w:val="00FB1BBF"/>
    <w:rsid w:val="00FB1CC0"/>
    <w:rsid w:val="00FB234F"/>
    <w:rsid w:val="00FB2AB7"/>
    <w:rsid w:val="00FB4720"/>
    <w:rsid w:val="00FB472A"/>
    <w:rsid w:val="00FB491F"/>
    <w:rsid w:val="00FB4970"/>
    <w:rsid w:val="00FB49F4"/>
    <w:rsid w:val="00FB67B4"/>
    <w:rsid w:val="00FB68BB"/>
    <w:rsid w:val="00FB6ADF"/>
    <w:rsid w:val="00FB71F1"/>
    <w:rsid w:val="00FB731B"/>
    <w:rsid w:val="00FB7553"/>
    <w:rsid w:val="00FC052F"/>
    <w:rsid w:val="00FC13EA"/>
    <w:rsid w:val="00FC2C14"/>
    <w:rsid w:val="00FC2CF1"/>
    <w:rsid w:val="00FC30FA"/>
    <w:rsid w:val="00FC336B"/>
    <w:rsid w:val="00FC3E3B"/>
    <w:rsid w:val="00FC5154"/>
    <w:rsid w:val="00FC73AB"/>
    <w:rsid w:val="00FC7E36"/>
    <w:rsid w:val="00FC7E99"/>
    <w:rsid w:val="00FD0C5B"/>
    <w:rsid w:val="00FD10D1"/>
    <w:rsid w:val="00FD173C"/>
    <w:rsid w:val="00FD1FC1"/>
    <w:rsid w:val="00FD3324"/>
    <w:rsid w:val="00FD34D9"/>
    <w:rsid w:val="00FD4129"/>
    <w:rsid w:val="00FD487A"/>
    <w:rsid w:val="00FD4EBA"/>
    <w:rsid w:val="00FD6419"/>
    <w:rsid w:val="00FD6646"/>
    <w:rsid w:val="00FD7028"/>
    <w:rsid w:val="00FE11E1"/>
    <w:rsid w:val="00FE190E"/>
    <w:rsid w:val="00FE2424"/>
    <w:rsid w:val="00FE2703"/>
    <w:rsid w:val="00FE3D94"/>
    <w:rsid w:val="00FE41B8"/>
    <w:rsid w:val="00FE4B47"/>
    <w:rsid w:val="00FE5B80"/>
    <w:rsid w:val="00FE61D8"/>
    <w:rsid w:val="00FE6574"/>
    <w:rsid w:val="00FE67CB"/>
    <w:rsid w:val="00FE7E4B"/>
    <w:rsid w:val="00FE7FA3"/>
    <w:rsid w:val="00FF0273"/>
    <w:rsid w:val="00FF0C25"/>
    <w:rsid w:val="00FF151A"/>
    <w:rsid w:val="00FF158F"/>
    <w:rsid w:val="00FF2228"/>
    <w:rsid w:val="00FF2FEC"/>
    <w:rsid w:val="00FF3172"/>
    <w:rsid w:val="00FF39A0"/>
    <w:rsid w:val="00FF39B4"/>
    <w:rsid w:val="00FF3CCF"/>
    <w:rsid w:val="00FF3EBA"/>
    <w:rsid w:val="00FF4025"/>
    <w:rsid w:val="00FF41B1"/>
    <w:rsid w:val="00FF53A5"/>
    <w:rsid w:val="00FF5723"/>
    <w:rsid w:val="00FF72AB"/>
    <w:rsid w:val="01080A12"/>
    <w:rsid w:val="01111B7C"/>
    <w:rsid w:val="01317BAC"/>
    <w:rsid w:val="0156352C"/>
    <w:rsid w:val="0160078A"/>
    <w:rsid w:val="016025FC"/>
    <w:rsid w:val="01727AD4"/>
    <w:rsid w:val="018C519F"/>
    <w:rsid w:val="01910A08"/>
    <w:rsid w:val="01A56261"/>
    <w:rsid w:val="01CE57B8"/>
    <w:rsid w:val="01E00D2D"/>
    <w:rsid w:val="01F30A1B"/>
    <w:rsid w:val="02136A35"/>
    <w:rsid w:val="02263E9A"/>
    <w:rsid w:val="02276CDB"/>
    <w:rsid w:val="02602E58"/>
    <w:rsid w:val="026A14A8"/>
    <w:rsid w:val="0284108D"/>
    <w:rsid w:val="02846ED2"/>
    <w:rsid w:val="029F0F02"/>
    <w:rsid w:val="02AB3F80"/>
    <w:rsid w:val="02F92D08"/>
    <w:rsid w:val="02FF011F"/>
    <w:rsid w:val="0306625F"/>
    <w:rsid w:val="0314369E"/>
    <w:rsid w:val="032B6C3A"/>
    <w:rsid w:val="03433F84"/>
    <w:rsid w:val="034D4E02"/>
    <w:rsid w:val="03636F78"/>
    <w:rsid w:val="038E49F0"/>
    <w:rsid w:val="038F7198"/>
    <w:rsid w:val="03905CE5"/>
    <w:rsid w:val="03925EFB"/>
    <w:rsid w:val="03960557"/>
    <w:rsid w:val="03AC7D7B"/>
    <w:rsid w:val="03B41164"/>
    <w:rsid w:val="03B659B7"/>
    <w:rsid w:val="03BE2FFA"/>
    <w:rsid w:val="03C055D4"/>
    <w:rsid w:val="03E33071"/>
    <w:rsid w:val="03E56DE9"/>
    <w:rsid w:val="04215F12"/>
    <w:rsid w:val="04221DEB"/>
    <w:rsid w:val="043072F8"/>
    <w:rsid w:val="043F0BEF"/>
    <w:rsid w:val="0441254B"/>
    <w:rsid w:val="044874C7"/>
    <w:rsid w:val="044B0EDF"/>
    <w:rsid w:val="04650E5C"/>
    <w:rsid w:val="04673CA2"/>
    <w:rsid w:val="04775A3C"/>
    <w:rsid w:val="047A7CF9"/>
    <w:rsid w:val="04BD2AAB"/>
    <w:rsid w:val="04C00E1E"/>
    <w:rsid w:val="04C90D1F"/>
    <w:rsid w:val="050138D2"/>
    <w:rsid w:val="05037796"/>
    <w:rsid w:val="05072DB3"/>
    <w:rsid w:val="05713E65"/>
    <w:rsid w:val="05777F14"/>
    <w:rsid w:val="057F7413"/>
    <w:rsid w:val="059302F0"/>
    <w:rsid w:val="05B55DC4"/>
    <w:rsid w:val="05C56ED2"/>
    <w:rsid w:val="05EB7E30"/>
    <w:rsid w:val="0600615C"/>
    <w:rsid w:val="0619721E"/>
    <w:rsid w:val="062459A5"/>
    <w:rsid w:val="06304C93"/>
    <w:rsid w:val="064510DB"/>
    <w:rsid w:val="06581AF4"/>
    <w:rsid w:val="06620B3A"/>
    <w:rsid w:val="066E7569"/>
    <w:rsid w:val="069717B9"/>
    <w:rsid w:val="06D0451E"/>
    <w:rsid w:val="06DA6FC6"/>
    <w:rsid w:val="06EB6E0C"/>
    <w:rsid w:val="06F34B4B"/>
    <w:rsid w:val="06FF299A"/>
    <w:rsid w:val="070A729C"/>
    <w:rsid w:val="07342561"/>
    <w:rsid w:val="073C599D"/>
    <w:rsid w:val="073E5575"/>
    <w:rsid w:val="074128B0"/>
    <w:rsid w:val="074A10F8"/>
    <w:rsid w:val="074D3623"/>
    <w:rsid w:val="0761194E"/>
    <w:rsid w:val="076432D3"/>
    <w:rsid w:val="0781151E"/>
    <w:rsid w:val="07B54D24"/>
    <w:rsid w:val="07B63215"/>
    <w:rsid w:val="07B77A9C"/>
    <w:rsid w:val="07BC624E"/>
    <w:rsid w:val="07DC7A53"/>
    <w:rsid w:val="08000695"/>
    <w:rsid w:val="08081FA5"/>
    <w:rsid w:val="080B7557"/>
    <w:rsid w:val="08181E21"/>
    <w:rsid w:val="08184EC7"/>
    <w:rsid w:val="081C0B89"/>
    <w:rsid w:val="082B48A9"/>
    <w:rsid w:val="082D6348"/>
    <w:rsid w:val="084F5179"/>
    <w:rsid w:val="085264A2"/>
    <w:rsid w:val="085D7896"/>
    <w:rsid w:val="08684A24"/>
    <w:rsid w:val="0878647D"/>
    <w:rsid w:val="08924472"/>
    <w:rsid w:val="08A62997"/>
    <w:rsid w:val="08A969C4"/>
    <w:rsid w:val="08AF6108"/>
    <w:rsid w:val="08B001C4"/>
    <w:rsid w:val="08D00FFA"/>
    <w:rsid w:val="08EF5F46"/>
    <w:rsid w:val="090441B5"/>
    <w:rsid w:val="09086D86"/>
    <w:rsid w:val="090F12E9"/>
    <w:rsid w:val="09367BAA"/>
    <w:rsid w:val="09381D73"/>
    <w:rsid w:val="09473B2C"/>
    <w:rsid w:val="096A3477"/>
    <w:rsid w:val="097C361B"/>
    <w:rsid w:val="09AB5942"/>
    <w:rsid w:val="09B064D1"/>
    <w:rsid w:val="09BF2ED7"/>
    <w:rsid w:val="09BF7674"/>
    <w:rsid w:val="09F45FD8"/>
    <w:rsid w:val="09F806A3"/>
    <w:rsid w:val="0A0B50CF"/>
    <w:rsid w:val="0A0D1190"/>
    <w:rsid w:val="0A2456C5"/>
    <w:rsid w:val="0A2543E3"/>
    <w:rsid w:val="0A474057"/>
    <w:rsid w:val="0A641E3D"/>
    <w:rsid w:val="0AA34B1B"/>
    <w:rsid w:val="0AAD7CD9"/>
    <w:rsid w:val="0AB6328D"/>
    <w:rsid w:val="0ABD15CE"/>
    <w:rsid w:val="0ABF263A"/>
    <w:rsid w:val="0AD12B8F"/>
    <w:rsid w:val="0AF618DB"/>
    <w:rsid w:val="0B0A6314"/>
    <w:rsid w:val="0B212C3A"/>
    <w:rsid w:val="0B335CF7"/>
    <w:rsid w:val="0B5C5BE2"/>
    <w:rsid w:val="0B6B051B"/>
    <w:rsid w:val="0B6E6353"/>
    <w:rsid w:val="0B7B2E88"/>
    <w:rsid w:val="0B8415DD"/>
    <w:rsid w:val="0B842ECF"/>
    <w:rsid w:val="0BA53A0C"/>
    <w:rsid w:val="0BA8462C"/>
    <w:rsid w:val="0BD10EF4"/>
    <w:rsid w:val="0BEC0639"/>
    <w:rsid w:val="0BED19DF"/>
    <w:rsid w:val="0C130BB2"/>
    <w:rsid w:val="0C193B8E"/>
    <w:rsid w:val="0C1C4E30"/>
    <w:rsid w:val="0C2653A0"/>
    <w:rsid w:val="0C271088"/>
    <w:rsid w:val="0C392862"/>
    <w:rsid w:val="0C403BDE"/>
    <w:rsid w:val="0C447B66"/>
    <w:rsid w:val="0C4B726D"/>
    <w:rsid w:val="0C563442"/>
    <w:rsid w:val="0C56723C"/>
    <w:rsid w:val="0C6172A8"/>
    <w:rsid w:val="0C782EF0"/>
    <w:rsid w:val="0C7B0EF4"/>
    <w:rsid w:val="0C8E44C1"/>
    <w:rsid w:val="0C9C7EE1"/>
    <w:rsid w:val="0CA20839"/>
    <w:rsid w:val="0CA21D1B"/>
    <w:rsid w:val="0CB14648"/>
    <w:rsid w:val="0CB21A52"/>
    <w:rsid w:val="0CB63A18"/>
    <w:rsid w:val="0CBD3A66"/>
    <w:rsid w:val="0CD72DE2"/>
    <w:rsid w:val="0CED2FC7"/>
    <w:rsid w:val="0CF1374F"/>
    <w:rsid w:val="0D0429D6"/>
    <w:rsid w:val="0D0B3D64"/>
    <w:rsid w:val="0D126D3D"/>
    <w:rsid w:val="0D194DAA"/>
    <w:rsid w:val="0D3D634E"/>
    <w:rsid w:val="0D4472E3"/>
    <w:rsid w:val="0D5374B9"/>
    <w:rsid w:val="0D56790F"/>
    <w:rsid w:val="0D622EB4"/>
    <w:rsid w:val="0D63594E"/>
    <w:rsid w:val="0D83708C"/>
    <w:rsid w:val="0D854328"/>
    <w:rsid w:val="0DDB1F25"/>
    <w:rsid w:val="0DE34346"/>
    <w:rsid w:val="0DF465A6"/>
    <w:rsid w:val="0DFC545B"/>
    <w:rsid w:val="0E004116"/>
    <w:rsid w:val="0E077E36"/>
    <w:rsid w:val="0E0E22E1"/>
    <w:rsid w:val="0E110D22"/>
    <w:rsid w:val="0E554C8F"/>
    <w:rsid w:val="0E5A2C39"/>
    <w:rsid w:val="0E736B11"/>
    <w:rsid w:val="0E7F3562"/>
    <w:rsid w:val="0E8E126E"/>
    <w:rsid w:val="0EBD2885"/>
    <w:rsid w:val="0EC34B2B"/>
    <w:rsid w:val="0ECA6B2D"/>
    <w:rsid w:val="0ECB5D10"/>
    <w:rsid w:val="0ECC1E18"/>
    <w:rsid w:val="0EE11257"/>
    <w:rsid w:val="0EE35EF2"/>
    <w:rsid w:val="0EEE7499"/>
    <w:rsid w:val="0EFA5849"/>
    <w:rsid w:val="0F16254C"/>
    <w:rsid w:val="0F1E6594"/>
    <w:rsid w:val="0F295746"/>
    <w:rsid w:val="0F2B6888"/>
    <w:rsid w:val="0F4F5F19"/>
    <w:rsid w:val="0F547B71"/>
    <w:rsid w:val="0F590199"/>
    <w:rsid w:val="0F7936CC"/>
    <w:rsid w:val="0F882744"/>
    <w:rsid w:val="0F8F3081"/>
    <w:rsid w:val="0FA5195F"/>
    <w:rsid w:val="0FAD4701"/>
    <w:rsid w:val="0FC621C4"/>
    <w:rsid w:val="0FE825FD"/>
    <w:rsid w:val="0FF61E2B"/>
    <w:rsid w:val="10280789"/>
    <w:rsid w:val="104D6442"/>
    <w:rsid w:val="106F4618"/>
    <w:rsid w:val="10735462"/>
    <w:rsid w:val="10760938"/>
    <w:rsid w:val="10771710"/>
    <w:rsid w:val="10934AB9"/>
    <w:rsid w:val="109E4EEF"/>
    <w:rsid w:val="10B64B12"/>
    <w:rsid w:val="10B7072A"/>
    <w:rsid w:val="10B93AD7"/>
    <w:rsid w:val="10C04E65"/>
    <w:rsid w:val="10D57578"/>
    <w:rsid w:val="10E83584"/>
    <w:rsid w:val="10F245C8"/>
    <w:rsid w:val="10FD18AA"/>
    <w:rsid w:val="11136BE5"/>
    <w:rsid w:val="112244C7"/>
    <w:rsid w:val="113E38BD"/>
    <w:rsid w:val="11531836"/>
    <w:rsid w:val="11633A20"/>
    <w:rsid w:val="11700B96"/>
    <w:rsid w:val="117A7D9D"/>
    <w:rsid w:val="117B6FDE"/>
    <w:rsid w:val="117D1895"/>
    <w:rsid w:val="1189681F"/>
    <w:rsid w:val="118D065E"/>
    <w:rsid w:val="119111DD"/>
    <w:rsid w:val="119D0D92"/>
    <w:rsid w:val="11B01C7F"/>
    <w:rsid w:val="11C72224"/>
    <w:rsid w:val="11D16BFE"/>
    <w:rsid w:val="11E20E0C"/>
    <w:rsid w:val="11EB5F12"/>
    <w:rsid w:val="11F63B39"/>
    <w:rsid w:val="11F811A4"/>
    <w:rsid w:val="121534BC"/>
    <w:rsid w:val="12321755"/>
    <w:rsid w:val="12392DC6"/>
    <w:rsid w:val="123A0C48"/>
    <w:rsid w:val="125735A8"/>
    <w:rsid w:val="125E4649"/>
    <w:rsid w:val="12653E6A"/>
    <w:rsid w:val="127658D7"/>
    <w:rsid w:val="12864FA7"/>
    <w:rsid w:val="12957C2C"/>
    <w:rsid w:val="12CC7D65"/>
    <w:rsid w:val="12F466E5"/>
    <w:rsid w:val="12FB3F33"/>
    <w:rsid w:val="130D010A"/>
    <w:rsid w:val="130E5DFE"/>
    <w:rsid w:val="1318492B"/>
    <w:rsid w:val="13195D86"/>
    <w:rsid w:val="133415D2"/>
    <w:rsid w:val="13390EFF"/>
    <w:rsid w:val="134659BB"/>
    <w:rsid w:val="13534D6F"/>
    <w:rsid w:val="135D699C"/>
    <w:rsid w:val="1362355A"/>
    <w:rsid w:val="136B46BF"/>
    <w:rsid w:val="13860D94"/>
    <w:rsid w:val="138A779A"/>
    <w:rsid w:val="138D2BCA"/>
    <w:rsid w:val="139879D4"/>
    <w:rsid w:val="13A12FBB"/>
    <w:rsid w:val="13C44C6D"/>
    <w:rsid w:val="13EB044B"/>
    <w:rsid w:val="13F53078"/>
    <w:rsid w:val="13FD017F"/>
    <w:rsid w:val="1400703C"/>
    <w:rsid w:val="14024E31"/>
    <w:rsid w:val="142F0857"/>
    <w:rsid w:val="1436652A"/>
    <w:rsid w:val="1437543F"/>
    <w:rsid w:val="1444680B"/>
    <w:rsid w:val="14473B09"/>
    <w:rsid w:val="14526E7B"/>
    <w:rsid w:val="145853B5"/>
    <w:rsid w:val="147246C9"/>
    <w:rsid w:val="14834C84"/>
    <w:rsid w:val="14840D97"/>
    <w:rsid w:val="14861F22"/>
    <w:rsid w:val="148D4AEF"/>
    <w:rsid w:val="14A32AD4"/>
    <w:rsid w:val="14CA62B3"/>
    <w:rsid w:val="14CF3D47"/>
    <w:rsid w:val="14D94AE9"/>
    <w:rsid w:val="14EB2AE0"/>
    <w:rsid w:val="14F50E56"/>
    <w:rsid w:val="14F7288F"/>
    <w:rsid w:val="14FC59FF"/>
    <w:rsid w:val="15063688"/>
    <w:rsid w:val="151E65FF"/>
    <w:rsid w:val="15336151"/>
    <w:rsid w:val="156275CE"/>
    <w:rsid w:val="157952EA"/>
    <w:rsid w:val="157B75AD"/>
    <w:rsid w:val="15876E40"/>
    <w:rsid w:val="158C2DC7"/>
    <w:rsid w:val="15A718D7"/>
    <w:rsid w:val="15BF64B6"/>
    <w:rsid w:val="15D975F0"/>
    <w:rsid w:val="15EC6D9F"/>
    <w:rsid w:val="15F64207"/>
    <w:rsid w:val="15FB6C69"/>
    <w:rsid w:val="160B3752"/>
    <w:rsid w:val="161B13E4"/>
    <w:rsid w:val="1626576B"/>
    <w:rsid w:val="163F2811"/>
    <w:rsid w:val="16442095"/>
    <w:rsid w:val="164E7686"/>
    <w:rsid w:val="165322D8"/>
    <w:rsid w:val="16535142"/>
    <w:rsid w:val="165665A6"/>
    <w:rsid w:val="165C2B80"/>
    <w:rsid w:val="16630A92"/>
    <w:rsid w:val="16704820"/>
    <w:rsid w:val="16850E26"/>
    <w:rsid w:val="16893F4C"/>
    <w:rsid w:val="1699418F"/>
    <w:rsid w:val="16A22419"/>
    <w:rsid w:val="16BB08D6"/>
    <w:rsid w:val="16C33CD0"/>
    <w:rsid w:val="16C86EEE"/>
    <w:rsid w:val="16CF74AC"/>
    <w:rsid w:val="16D62899"/>
    <w:rsid w:val="16D86AD9"/>
    <w:rsid w:val="16E24DAF"/>
    <w:rsid w:val="16E478E9"/>
    <w:rsid w:val="16E86EC4"/>
    <w:rsid w:val="16F21AF1"/>
    <w:rsid w:val="16F45869"/>
    <w:rsid w:val="17025136"/>
    <w:rsid w:val="17080CB3"/>
    <w:rsid w:val="17104E33"/>
    <w:rsid w:val="172779EC"/>
    <w:rsid w:val="172C5003"/>
    <w:rsid w:val="17435B9A"/>
    <w:rsid w:val="17481711"/>
    <w:rsid w:val="17530278"/>
    <w:rsid w:val="1770488D"/>
    <w:rsid w:val="177251DB"/>
    <w:rsid w:val="179F403B"/>
    <w:rsid w:val="17B46DA6"/>
    <w:rsid w:val="17E07B23"/>
    <w:rsid w:val="17F04282"/>
    <w:rsid w:val="181D21AB"/>
    <w:rsid w:val="18241EFA"/>
    <w:rsid w:val="182551D2"/>
    <w:rsid w:val="18302625"/>
    <w:rsid w:val="183C5221"/>
    <w:rsid w:val="184B770B"/>
    <w:rsid w:val="188056B2"/>
    <w:rsid w:val="1887731B"/>
    <w:rsid w:val="18A312F5"/>
    <w:rsid w:val="18A71570"/>
    <w:rsid w:val="18AF5EEB"/>
    <w:rsid w:val="18B06992"/>
    <w:rsid w:val="18BF29A5"/>
    <w:rsid w:val="18C43019"/>
    <w:rsid w:val="18D95C4B"/>
    <w:rsid w:val="18E33521"/>
    <w:rsid w:val="18EB67F8"/>
    <w:rsid w:val="18FA4C8D"/>
    <w:rsid w:val="18FF7748"/>
    <w:rsid w:val="19133920"/>
    <w:rsid w:val="19296091"/>
    <w:rsid w:val="19526877"/>
    <w:rsid w:val="196C36C2"/>
    <w:rsid w:val="19733208"/>
    <w:rsid w:val="1978271D"/>
    <w:rsid w:val="197E7B00"/>
    <w:rsid w:val="19933B34"/>
    <w:rsid w:val="19C96DDB"/>
    <w:rsid w:val="19CF01B9"/>
    <w:rsid w:val="19DC46F7"/>
    <w:rsid w:val="19DE34A8"/>
    <w:rsid w:val="19E52623"/>
    <w:rsid w:val="19FA6457"/>
    <w:rsid w:val="1A0B2274"/>
    <w:rsid w:val="1A187AC0"/>
    <w:rsid w:val="1A393B90"/>
    <w:rsid w:val="1A535B25"/>
    <w:rsid w:val="1A7208D9"/>
    <w:rsid w:val="1A764FB0"/>
    <w:rsid w:val="1A767F97"/>
    <w:rsid w:val="1A8C60A2"/>
    <w:rsid w:val="1A932C82"/>
    <w:rsid w:val="1A9F789A"/>
    <w:rsid w:val="1AA37850"/>
    <w:rsid w:val="1AA650CC"/>
    <w:rsid w:val="1AA864FA"/>
    <w:rsid w:val="1AB97B24"/>
    <w:rsid w:val="1AC90DBB"/>
    <w:rsid w:val="1AD930B1"/>
    <w:rsid w:val="1AFA71C6"/>
    <w:rsid w:val="1B267FBB"/>
    <w:rsid w:val="1B3C77DE"/>
    <w:rsid w:val="1B3E1360"/>
    <w:rsid w:val="1B453F87"/>
    <w:rsid w:val="1B4A02FA"/>
    <w:rsid w:val="1B6D0A69"/>
    <w:rsid w:val="1B7D2468"/>
    <w:rsid w:val="1B886580"/>
    <w:rsid w:val="1BAB30F2"/>
    <w:rsid w:val="1BB64807"/>
    <w:rsid w:val="1BC45815"/>
    <w:rsid w:val="1BCA6B98"/>
    <w:rsid w:val="1BEC2FB3"/>
    <w:rsid w:val="1BEE345E"/>
    <w:rsid w:val="1BF209FD"/>
    <w:rsid w:val="1BF530EC"/>
    <w:rsid w:val="1C044843"/>
    <w:rsid w:val="1C165429"/>
    <w:rsid w:val="1C4C7B54"/>
    <w:rsid w:val="1C6D30D8"/>
    <w:rsid w:val="1C7911F1"/>
    <w:rsid w:val="1C7B60E4"/>
    <w:rsid w:val="1CCB47C0"/>
    <w:rsid w:val="1CE27F12"/>
    <w:rsid w:val="1CF3330B"/>
    <w:rsid w:val="1D0C2883"/>
    <w:rsid w:val="1D3B1144"/>
    <w:rsid w:val="1D44297A"/>
    <w:rsid w:val="1D4E4561"/>
    <w:rsid w:val="1D703128"/>
    <w:rsid w:val="1D7C5FBA"/>
    <w:rsid w:val="1D81336E"/>
    <w:rsid w:val="1D8B67FB"/>
    <w:rsid w:val="1D9F19C4"/>
    <w:rsid w:val="1DA575B0"/>
    <w:rsid w:val="1DAF24EA"/>
    <w:rsid w:val="1DB375C5"/>
    <w:rsid w:val="1DB46449"/>
    <w:rsid w:val="1DBC69B5"/>
    <w:rsid w:val="1DC332DD"/>
    <w:rsid w:val="1DDB0E18"/>
    <w:rsid w:val="1DE80C95"/>
    <w:rsid w:val="1DEF6D8A"/>
    <w:rsid w:val="1E061E25"/>
    <w:rsid w:val="1E226345"/>
    <w:rsid w:val="1E37428D"/>
    <w:rsid w:val="1E3A6C06"/>
    <w:rsid w:val="1E424E8A"/>
    <w:rsid w:val="1E6C5E06"/>
    <w:rsid w:val="1E736290"/>
    <w:rsid w:val="1E8C6387"/>
    <w:rsid w:val="1E9A6CF6"/>
    <w:rsid w:val="1EAA4A5F"/>
    <w:rsid w:val="1EB06519"/>
    <w:rsid w:val="1EB458DE"/>
    <w:rsid w:val="1EC00497"/>
    <w:rsid w:val="1EDA5344"/>
    <w:rsid w:val="1EE613D0"/>
    <w:rsid w:val="1EF1268E"/>
    <w:rsid w:val="1EF21855"/>
    <w:rsid w:val="1EF501D6"/>
    <w:rsid w:val="1F1830CB"/>
    <w:rsid w:val="1F1D4CEA"/>
    <w:rsid w:val="1F3431EF"/>
    <w:rsid w:val="1F412ACD"/>
    <w:rsid w:val="1F896D6A"/>
    <w:rsid w:val="1FA51C58"/>
    <w:rsid w:val="1FA7649E"/>
    <w:rsid w:val="1FBE7B22"/>
    <w:rsid w:val="1FCD4EA9"/>
    <w:rsid w:val="20061562"/>
    <w:rsid w:val="200A7EAB"/>
    <w:rsid w:val="2017317A"/>
    <w:rsid w:val="201D0468"/>
    <w:rsid w:val="202857A9"/>
    <w:rsid w:val="202D76F6"/>
    <w:rsid w:val="203D7B26"/>
    <w:rsid w:val="20B10327"/>
    <w:rsid w:val="20B15A28"/>
    <w:rsid w:val="20C655D1"/>
    <w:rsid w:val="20C77B4A"/>
    <w:rsid w:val="20C92795"/>
    <w:rsid w:val="20D65FDF"/>
    <w:rsid w:val="20DB0CE4"/>
    <w:rsid w:val="20E961FA"/>
    <w:rsid w:val="211A14D6"/>
    <w:rsid w:val="211F34E2"/>
    <w:rsid w:val="2132735C"/>
    <w:rsid w:val="21564CC5"/>
    <w:rsid w:val="21725E20"/>
    <w:rsid w:val="217F21D3"/>
    <w:rsid w:val="21894835"/>
    <w:rsid w:val="219F6403"/>
    <w:rsid w:val="21A148C9"/>
    <w:rsid w:val="21A84B20"/>
    <w:rsid w:val="21A97250"/>
    <w:rsid w:val="21D06ED2"/>
    <w:rsid w:val="21D547D9"/>
    <w:rsid w:val="21E36C06"/>
    <w:rsid w:val="21F841CB"/>
    <w:rsid w:val="22094970"/>
    <w:rsid w:val="2224426F"/>
    <w:rsid w:val="224C10D0"/>
    <w:rsid w:val="225222AD"/>
    <w:rsid w:val="22541289"/>
    <w:rsid w:val="22560474"/>
    <w:rsid w:val="225C24EF"/>
    <w:rsid w:val="226433E0"/>
    <w:rsid w:val="22685BE4"/>
    <w:rsid w:val="22786DC6"/>
    <w:rsid w:val="22951269"/>
    <w:rsid w:val="22952C4B"/>
    <w:rsid w:val="22A07A2E"/>
    <w:rsid w:val="22AE1FD7"/>
    <w:rsid w:val="22B00DA9"/>
    <w:rsid w:val="22B1460E"/>
    <w:rsid w:val="22F10EAE"/>
    <w:rsid w:val="230D3F37"/>
    <w:rsid w:val="231128EB"/>
    <w:rsid w:val="23307C29"/>
    <w:rsid w:val="233415C5"/>
    <w:rsid w:val="234C07DB"/>
    <w:rsid w:val="23566F63"/>
    <w:rsid w:val="2362143C"/>
    <w:rsid w:val="23645B24"/>
    <w:rsid w:val="23887A65"/>
    <w:rsid w:val="238E2BA1"/>
    <w:rsid w:val="239A6033"/>
    <w:rsid w:val="23A418A2"/>
    <w:rsid w:val="23AE1EA3"/>
    <w:rsid w:val="23C40371"/>
    <w:rsid w:val="23D11B74"/>
    <w:rsid w:val="23D5432C"/>
    <w:rsid w:val="23EE71CC"/>
    <w:rsid w:val="2404346B"/>
    <w:rsid w:val="24172B97"/>
    <w:rsid w:val="24292475"/>
    <w:rsid w:val="242977C5"/>
    <w:rsid w:val="24351601"/>
    <w:rsid w:val="24375486"/>
    <w:rsid w:val="24390A60"/>
    <w:rsid w:val="243E33BC"/>
    <w:rsid w:val="246F7026"/>
    <w:rsid w:val="2495534F"/>
    <w:rsid w:val="24A773D3"/>
    <w:rsid w:val="24B65FDB"/>
    <w:rsid w:val="24DB6D9D"/>
    <w:rsid w:val="24F904EE"/>
    <w:rsid w:val="25237319"/>
    <w:rsid w:val="25276E09"/>
    <w:rsid w:val="253311F6"/>
    <w:rsid w:val="253B3193"/>
    <w:rsid w:val="25552E9E"/>
    <w:rsid w:val="255866F6"/>
    <w:rsid w:val="25654FC9"/>
    <w:rsid w:val="25851E17"/>
    <w:rsid w:val="2586379D"/>
    <w:rsid w:val="25DF1492"/>
    <w:rsid w:val="25EB1207"/>
    <w:rsid w:val="25F723E2"/>
    <w:rsid w:val="26377520"/>
    <w:rsid w:val="263C274B"/>
    <w:rsid w:val="264B7744"/>
    <w:rsid w:val="2651082C"/>
    <w:rsid w:val="267E7EE2"/>
    <w:rsid w:val="26A804CA"/>
    <w:rsid w:val="26C66AA9"/>
    <w:rsid w:val="26DD1E76"/>
    <w:rsid w:val="26F64CE5"/>
    <w:rsid w:val="26F87EF2"/>
    <w:rsid w:val="271703C5"/>
    <w:rsid w:val="27351CB2"/>
    <w:rsid w:val="27361586"/>
    <w:rsid w:val="275163C0"/>
    <w:rsid w:val="277D1B2D"/>
    <w:rsid w:val="27835FFC"/>
    <w:rsid w:val="2794279E"/>
    <w:rsid w:val="279E7050"/>
    <w:rsid w:val="27A466B8"/>
    <w:rsid w:val="27AF6D80"/>
    <w:rsid w:val="27B0198F"/>
    <w:rsid w:val="27B92AB7"/>
    <w:rsid w:val="27D43FB1"/>
    <w:rsid w:val="27DE552A"/>
    <w:rsid w:val="27E022D4"/>
    <w:rsid w:val="27F84A8D"/>
    <w:rsid w:val="27FC3AE4"/>
    <w:rsid w:val="28065AFB"/>
    <w:rsid w:val="280C4E96"/>
    <w:rsid w:val="281B7D88"/>
    <w:rsid w:val="282E4FCE"/>
    <w:rsid w:val="28342B35"/>
    <w:rsid w:val="2834568E"/>
    <w:rsid w:val="283F0442"/>
    <w:rsid w:val="284E32AF"/>
    <w:rsid w:val="286D1F27"/>
    <w:rsid w:val="287E1436"/>
    <w:rsid w:val="28924EE2"/>
    <w:rsid w:val="28975940"/>
    <w:rsid w:val="28A2738B"/>
    <w:rsid w:val="28A86838"/>
    <w:rsid w:val="28C4031B"/>
    <w:rsid w:val="28CB6760"/>
    <w:rsid w:val="28DA7C9C"/>
    <w:rsid w:val="28EC71CA"/>
    <w:rsid w:val="290B259E"/>
    <w:rsid w:val="291D0C4F"/>
    <w:rsid w:val="2924258A"/>
    <w:rsid w:val="29274E04"/>
    <w:rsid w:val="293F46A3"/>
    <w:rsid w:val="296D1EE4"/>
    <w:rsid w:val="29944EB8"/>
    <w:rsid w:val="299C4433"/>
    <w:rsid w:val="29DB4666"/>
    <w:rsid w:val="29E4351B"/>
    <w:rsid w:val="29E736D3"/>
    <w:rsid w:val="29EC0622"/>
    <w:rsid w:val="29FB1FE8"/>
    <w:rsid w:val="29FE68AE"/>
    <w:rsid w:val="2A031B89"/>
    <w:rsid w:val="2A070C32"/>
    <w:rsid w:val="2A0B0AA8"/>
    <w:rsid w:val="2A1F6D8E"/>
    <w:rsid w:val="2A32072A"/>
    <w:rsid w:val="2A3C5105"/>
    <w:rsid w:val="2A491993"/>
    <w:rsid w:val="2A567D20"/>
    <w:rsid w:val="2A6F4131"/>
    <w:rsid w:val="2A821832"/>
    <w:rsid w:val="2AA77572"/>
    <w:rsid w:val="2ABC3312"/>
    <w:rsid w:val="2AC50660"/>
    <w:rsid w:val="2ACE42A1"/>
    <w:rsid w:val="2AD156A5"/>
    <w:rsid w:val="2AD73080"/>
    <w:rsid w:val="2AE44BDB"/>
    <w:rsid w:val="2AFA0B1C"/>
    <w:rsid w:val="2B1334DC"/>
    <w:rsid w:val="2B1505A0"/>
    <w:rsid w:val="2B165951"/>
    <w:rsid w:val="2B165956"/>
    <w:rsid w:val="2B214434"/>
    <w:rsid w:val="2B3559A3"/>
    <w:rsid w:val="2B3B716B"/>
    <w:rsid w:val="2B471B7C"/>
    <w:rsid w:val="2B4E474F"/>
    <w:rsid w:val="2B553EE9"/>
    <w:rsid w:val="2B674404"/>
    <w:rsid w:val="2B6E1B3C"/>
    <w:rsid w:val="2B801021"/>
    <w:rsid w:val="2B91322F"/>
    <w:rsid w:val="2B9A7696"/>
    <w:rsid w:val="2B9C153F"/>
    <w:rsid w:val="2BA56CDA"/>
    <w:rsid w:val="2BB255CF"/>
    <w:rsid w:val="2BBE3714"/>
    <w:rsid w:val="2BD24D2D"/>
    <w:rsid w:val="2BDE71AB"/>
    <w:rsid w:val="2BEE51CA"/>
    <w:rsid w:val="2BF8505C"/>
    <w:rsid w:val="2C3B319A"/>
    <w:rsid w:val="2C3C1A6A"/>
    <w:rsid w:val="2C540D91"/>
    <w:rsid w:val="2C6537E2"/>
    <w:rsid w:val="2C6C7279"/>
    <w:rsid w:val="2C8965FC"/>
    <w:rsid w:val="2C903C46"/>
    <w:rsid w:val="2CA14AE9"/>
    <w:rsid w:val="2CAB6572"/>
    <w:rsid w:val="2CAC2D20"/>
    <w:rsid w:val="2CC10625"/>
    <w:rsid w:val="2CC47634"/>
    <w:rsid w:val="2CD326FB"/>
    <w:rsid w:val="2CD33D72"/>
    <w:rsid w:val="2CDD2170"/>
    <w:rsid w:val="2CEA7FC6"/>
    <w:rsid w:val="2CEF46B1"/>
    <w:rsid w:val="2CF220D0"/>
    <w:rsid w:val="2D032370"/>
    <w:rsid w:val="2D056154"/>
    <w:rsid w:val="2D094BEA"/>
    <w:rsid w:val="2D2A52C6"/>
    <w:rsid w:val="2D4D7629"/>
    <w:rsid w:val="2D880661"/>
    <w:rsid w:val="2D8F1DD6"/>
    <w:rsid w:val="2D915A33"/>
    <w:rsid w:val="2D954534"/>
    <w:rsid w:val="2D9800A5"/>
    <w:rsid w:val="2DC3712A"/>
    <w:rsid w:val="2DE171DF"/>
    <w:rsid w:val="2DEF1551"/>
    <w:rsid w:val="2E0200C9"/>
    <w:rsid w:val="2E3C6ABB"/>
    <w:rsid w:val="2E4345B4"/>
    <w:rsid w:val="2E5A3DAC"/>
    <w:rsid w:val="2E5D53FD"/>
    <w:rsid w:val="2E61599C"/>
    <w:rsid w:val="2E6332CF"/>
    <w:rsid w:val="2EA63495"/>
    <w:rsid w:val="2EBA0298"/>
    <w:rsid w:val="2EBF09B3"/>
    <w:rsid w:val="2ED22F7C"/>
    <w:rsid w:val="2ED73784"/>
    <w:rsid w:val="2EDF3673"/>
    <w:rsid w:val="2EE213C2"/>
    <w:rsid w:val="2EFC30B5"/>
    <w:rsid w:val="2F486989"/>
    <w:rsid w:val="2F653004"/>
    <w:rsid w:val="2F684953"/>
    <w:rsid w:val="2F8135BA"/>
    <w:rsid w:val="2F8D622E"/>
    <w:rsid w:val="2F9037FD"/>
    <w:rsid w:val="2F917CA1"/>
    <w:rsid w:val="2F982E42"/>
    <w:rsid w:val="2FCB7EDC"/>
    <w:rsid w:val="2FD951A4"/>
    <w:rsid w:val="2FE60F0B"/>
    <w:rsid w:val="2FFE3400"/>
    <w:rsid w:val="301B0290"/>
    <w:rsid w:val="303C4D07"/>
    <w:rsid w:val="306461F7"/>
    <w:rsid w:val="30647164"/>
    <w:rsid w:val="306C3ED5"/>
    <w:rsid w:val="306C6C6A"/>
    <w:rsid w:val="306D3F93"/>
    <w:rsid w:val="30711C4D"/>
    <w:rsid w:val="308A649E"/>
    <w:rsid w:val="308E5A68"/>
    <w:rsid w:val="30A2226B"/>
    <w:rsid w:val="30BB2AFC"/>
    <w:rsid w:val="30C22649"/>
    <w:rsid w:val="30DC08E6"/>
    <w:rsid w:val="30E97669"/>
    <w:rsid w:val="312E022B"/>
    <w:rsid w:val="314221E6"/>
    <w:rsid w:val="314A45AB"/>
    <w:rsid w:val="314D7BF8"/>
    <w:rsid w:val="31534D0D"/>
    <w:rsid w:val="317118EE"/>
    <w:rsid w:val="318555E4"/>
    <w:rsid w:val="318A3760"/>
    <w:rsid w:val="31C84C92"/>
    <w:rsid w:val="31D163B5"/>
    <w:rsid w:val="31D976DD"/>
    <w:rsid w:val="31DE4220"/>
    <w:rsid w:val="3201528F"/>
    <w:rsid w:val="322F3FB8"/>
    <w:rsid w:val="32391589"/>
    <w:rsid w:val="32454D73"/>
    <w:rsid w:val="324C06E6"/>
    <w:rsid w:val="324C4353"/>
    <w:rsid w:val="32537654"/>
    <w:rsid w:val="327775A4"/>
    <w:rsid w:val="32794A1C"/>
    <w:rsid w:val="327B7589"/>
    <w:rsid w:val="32931F82"/>
    <w:rsid w:val="32B36180"/>
    <w:rsid w:val="32BB5035"/>
    <w:rsid w:val="32C43EEA"/>
    <w:rsid w:val="32CD6692"/>
    <w:rsid w:val="32D71710"/>
    <w:rsid w:val="32D94B0D"/>
    <w:rsid w:val="32E70612"/>
    <w:rsid w:val="32ED5A24"/>
    <w:rsid w:val="32F966F8"/>
    <w:rsid w:val="33010C9A"/>
    <w:rsid w:val="33171483"/>
    <w:rsid w:val="332C4891"/>
    <w:rsid w:val="332E38A7"/>
    <w:rsid w:val="332F3D9F"/>
    <w:rsid w:val="33380434"/>
    <w:rsid w:val="334703EE"/>
    <w:rsid w:val="335E1849"/>
    <w:rsid w:val="335F4F26"/>
    <w:rsid w:val="33625BED"/>
    <w:rsid w:val="337F6063"/>
    <w:rsid w:val="3380392C"/>
    <w:rsid w:val="3381627F"/>
    <w:rsid w:val="33A37FA3"/>
    <w:rsid w:val="33B73A4E"/>
    <w:rsid w:val="33B946F2"/>
    <w:rsid w:val="33B95A18"/>
    <w:rsid w:val="33D4718D"/>
    <w:rsid w:val="33DC0716"/>
    <w:rsid w:val="33E54418"/>
    <w:rsid w:val="33F07509"/>
    <w:rsid w:val="33F627C9"/>
    <w:rsid w:val="341A5E10"/>
    <w:rsid w:val="34272982"/>
    <w:rsid w:val="342804A8"/>
    <w:rsid w:val="343C7EFD"/>
    <w:rsid w:val="34472085"/>
    <w:rsid w:val="34572B3B"/>
    <w:rsid w:val="346D0033"/>
    <w:rsid w:val="3474193F"/>
    <w:rsid w:val="347A4AA6"/>
    <w:rsid w:val="347C3D10"/>
    <w:rsid w:val="34BA5036"/>
    <w:rsid w:val="34BC5AFA"/>
    <w:rsid w:val="34C91AA1"/>
    <w:rsid w:val="34D337DA"/>
    <w:rsid w:val="34D6600F"/>
    <w:rsid w:val="34EE34A0"/>
    <w:rsid w:val="34FA7F15"/>
    <w:rsid w:val="34FB24F0"/>
    <w:rsid w:val="352930DB"/>
    <w:rsid w:val="353B59DD"/>
    <w:rsid w:val="35534E88"/>
    <w:rsid w:val="35633752"/>
    <w:rsid w:val="3569521C"/>
    <w:rsid w:val="35823489"/>
    <w:rsid w:val="35897E8C"/>
    <w:rsid w:val="35953A4C"/>
    <w:rsid w:val="35A66D4C"/>
    <w:rsid w:val="35B5404A"/>
    <w:rsid w:val="35CA6E6E"/>
    <w:rsid w:val="35F950CF"/>
    <w:rsid w:val="35FA1CB2"/>
    <w:rsid w:val="36050AA1"/>
    <w:rsid w:val="361E1B63"/>
    <w:rsid w:val="361E6D32"/>
    <w:rsid w:val="36301896"/>
    <w:rsid w:val="36320657"/>
    <w:rsid w:val="36321AB2"/>
    <w:rsid w:val="36673AC2"/>
    <w:rsid w:val="3683401A"/>
    <w:rsid w:val="369D7707"/>
    <w:rsid w:val="36AB2FBA"/>
    <w:rsid w:val="36C3270A"/>
    <w:rsid w:val="371448CE"/>
    <w:rsid w:val="371D2877"/>
    <w:rsid w:val="372A0A3B"/>
    <w:rsid w:val="372A4537"/>
    <w:rsid w:val="373C4996"/>
    <w:rsid w:val="374A1E98"/>
    <w:rsid w:val="37533C0B"/>
    <w:rsid w:val="375F68D7"/>
    <w:rsid w:val="37794D4F"/>
    <w:rsid w:val="37A02925"/>
    <w:rsid w:val="37B3277F"/>
    <w:rsid w:val="37B34CA4"/>
    <w:rsid w:val="37BD7469"/>
    <w:rsid w:val="37D9327F"/>
    <w:rsid w:val="37E93A81"/>
    <w:rsid w:val="37F75EE1"/>
    <w:rsid w:val="38172D0E"/>
    <w:rsid w:val="38317A04"/>
    <w:rsid w:val="38430BE0"/>
    <w:rsid w:val="384B5B0E"/>
    <w:rsid w:val="38591578"/>
    <w:rsid w:val="385B0E4C"/>
    <w:rsid w:val="385C66C2"/>
    <w:rsid w:val="38645F08"/>
    <w:rsid w:val="38697E97"/>
    <w:rsid w:val="387168C2"/>
    <w:rsid w:val="3888121E"/>
    <w:rsid w:val="389B1BDF"/>
    <w:rsid w:val="38A1659F"/>
    <w:rsid w:val="38AF2F46"/>
    <w:rsid w:val="38C95821"/>
    <w:rsid w:val="38F02478"/>
    <w:rsid w:val="390239BE"/>
    <w:rsid w:val="39180C1C"/>
    <w:rsid w:val="392A1B36"/>
    <w:rsid w:val="392A34F7"/>
    <w:rsid w:val="392A4E38"/>
    <w:rsid w:val="393A6E69"/>
    <w:rsid w:val="39675500"/>
    <w:rsid w:val="396B1563"/>
    <w:rsid w:val="39754190"/>
    <w:rsid w:val="39BF57BB"/>
    <w:rsid w:val="39CD2DB0"/>
    <w:rsid w:val="39D92970"/>
    <w:rsid w:val="39FE7012"/>
    <w:rsid w:val="3A0D5454"/>
    <w:rsid w:val="3A1172F4"/>
    <w:rsid w:val="3A23599A"/>
    <w:rsid w:val="3A255086"/>
    <w:rsid w:val="3A2E4C8D"/>
    <w:rsid w:val="3A35147E"/>
    <w:rsid w:val="3A446EBF"/>
    <w:rsid w:val="3A4B4EF0"/>
    <w:rsid w:val="3A514258"/>
    <w:rsid w:val="3A6802CC"/>
    <w:rsid w:val="3A684F47"/>
    <w:rsid w:val="3A6A4A9F"/>
    <w:rsid w:val="3A7D77A0"/>
    <w:rsid w:val="3A810023"/>
    <w:rsid w:val="3A860F49"/>
    <w:rsid w:val="3AA1177A"/>
    <w:rsid w:val="3ABC194A"/>
    <w:rsid w:val="3AF37A62"/>
    <w:rsid w:val="3AF61300"/>
    <w:rsid w:val="3AFB6916"/>
    <w:rsid w:val="3AFD73E8"/>
    <w:rsid w:val="3B381919"/>
    <w:rsid w:val="3B615DAA"/>
    <w:rsid w:val="3B944458"/>
    <w:rsid w:val="3B954675"/>
    <w:rsid w:val="3B9823B7"/>
    <w:rsid w:val="3BAF7463"/>
    <w:rsid w:val="3BB271C7"/>
    <w:rsid w:val="3BB557AB"/>
    <w:rsid w:val="3BBF5B96"/>
    <w:rsid w:val="3BC744EA"/>
    <w:rsid w:val="3BCE135D"/>
    <w:rsid w:val="3BD60968"/>
    <w:rsid w:val="3C4414D2"/>
    <w:rsid w:val="3C595B04"/>
    <w:rsid w:val="3C5C17D2"/>
    <w:rsid w:val="3C5F42F8"/>
    <w:rsid w:val="3C6C0F9B"/>
    <w:rsid w:val="3C7301F1"/>
    <w:rsid w:val="3C7356FA"/>
    <w:rsid w:val="3C860462"/>
    <w:rsid w:val="3CA1704A"/>
    <w:rsid w:val="3CD4741F"/>
    <w:rsid w:val="3CFB3A43"/>
    <w:rsid w:val="3CFB661F"/>
    <w:rsid w:val="3D0B626C"/>
    <w:rsid w:val="3D0F4D1C"/>
    <w:rsid w:val="3D167A38"/>
    <w:rsid w:val="3D487A50"/>
    <w:rsid w:val="3D5139EC"/>
    <w:rsid w:val="3D7A6218"/>
    <w:rsid w:val="3D8552FA"/>
    <w:rsid w:val="3D8C367A"/>
    <w:rsid w:val="3DB039E8"/>
    <w:rsid w:val="3DCF2188"/>
    <w:rsid w:val="3DD1570D"/>
    <w:rsid w:val="3DDE7492"/>
    <w:rsid w:val="3DF2026B"/>
    <w:rsid w:val="3DF80EEB"/>
    <w:rsid w:val="3DFA1107"/>
    <w:rsid w:val="3DFF04CC"/>
    <w:rsid w:val="3E0E6961"/>
    <w:rsid w:val="3E24689A"/>
    <w:rsid w:val="3E557A55"/>
    <w:rsid w:val="3E5D2794"/>
    <w:rsid w:val="3E8134BC"/>
    <w:rsid w:val="3E864749"/>
    <w:rsid w:val="3E8D1F7B"/>
    <w:rsid w:val="3E9073D3"/>
    <w:rsid w:val="3EAC582F"/>
    <w:rsid w:val="3EC80F65"/>
    <w:rsid w:val="3ED35D96"/>
    <w:rsid w:val="3EE0310F"/>
    <w:rsid w:val="3F21764F"/>
    <w:rsid w:val="3F270382"/>
    <w:rsid w:val="3F4D34B9"/>
    <w:rsid w:val="3F5C61BC"/>
    <w:rsid w:val="3F7E18C4"/>
    <w:rsid w:val="3F821E5A"/>
    <w:rsid w:val="3F826617"/>
    <w:rsid w:val="3F882148"/>
    <w:rsid w:val="3FAD5B09"/>
    <w:rsid w:val="3FAF5707"/>
    <w:rsid w:val="3FD61700"/>
    <w:rsid w:val="3FD85683"/>
    <w:rsid w:val="3FF130F6"/>
    <w:rsid w:val="3FFA5B87"/>
    <w:rsid w:val="3FFF6096"/>
    <w:rsid w:val="40044B90"/>
    <w:rsid w:val="40153FD6"/>
    <w:rsid w:val="402042D4"/>
    <w:rsid w:val="40273D0A"/>
    <w:rsid w:val="40310071"/>
    <w:rsid w:val="4045485F"/>
    <w:rsid w:val="4081166C"/>
    <w:rsid w:val="40A01D3A"/>
    <w:rsid w:val="40C652D1"/>
    <w:rsid w:val="40C92CD2"/>
    <w:rsid w:val="40EE1315"/>
    <w:rsid w:val="410B7187"/>
    <w:rsid w:val="411249BA"/>
    <w:rsid w:val="41166258"/>
    <w:rsid w:val="414172BF"/>
    <w:rsid w:val="416A190F"/>
    <w:rsid w:val="416E7E42"/>
    <w:rsid w:val="416F3BBA"/>
    <w:rsid w:val="418770B8"/>
    <w:rsid w:val="41B6712E"/>
    <w:rsid w:val="41BA6A45"/>
    <w:rsid w:val="41C85859"/>
    <w:rsid w:val="41CA339C"/>
    <w:rsid w:val="41D103D1"/>
    <w:rsid w:val="41D758D6"/>
    <w:rsid w:val="41DF2F7B"/>
    <w:rsid w:val="41F63994"/>
    <w:rsid w:val="42277327"/>
    <w:rsid w:val="422F448D"/>
    <w:rsid w:val="42312C1E"/>
    <w:rsid w:val="42366258"/>
    <w:rsid w:val="424514EC"/>
    <w:rsid w:val="424C228D"/>
    <w:rsid w:val="424E40FE"/>
    <w:rsid w:val="427E4A81"/>
    <w:rsid w:val="428C524B"/>
    <w:rsid w:val="42927D62"/>
    <w:rsid w:val="429B3874"/>
    <w:rsid w:val="429F5DD9"/>
    <w:rsid w:val="42AD499A"/>
    <w:rsid w:val="42B61086"/>
    <w:rsid w:val="42C26869"/>
    <w:rsid w:val="42DD6902"/>
    <w:rsid w:val="42ED02B3"/>
    <w:rsid w:val="42FE6FA4"/>
    <w:rsid w:val="43040332"/>
    <w:rsid w:val="430F518E"/>
    <w:rsid w:val="43152860"/>
    <w:rsid w:val="431762B8"/>
    <w:rsid w:val="431A4176"/>
    <w:rsid w:val="431B17D2"/>
    <w:rsid w:val="434A043B"/>
    <w:rsid w:val="43560B8E"/>
    <w:rsid w:val="43607C5E"/>
    <w:rsid w:val="43772A58"/>
    <w:rsid w:val="438761B4"/>
    <w:rsid w:val="4389474A"/>
    <w:rsid w:val="43923B90"/>
    <w:rsid w:val="43A4707C"/>
    <w:rsid w:val="43D67B4D"/>
    <w:rsid w:val="43DF0926"/>
    <w:rsid w:val="43F15324"/>
    <w:rsid w:val="440B706C"/>
    <w:rsid w:val="44110F59"/>
    <w:rsid w:val="441A605F"/>
    <w:rsid w:val="441D70DF"/>
    <w:rsid w:val="441E176A"/>
    <w:rsid w:val="44292D63"/>
    <w:rsid w:val="443B0E5E"/>
    <w:rsid w:val="4445330B"/>
    <w:rsid w:val="44484B78"/>
    <w:rsid w:val="44550816"/>
    <w:rsid w:val="445826E4"/>
    <w:rsid w:val="44592AFA"/>
    <w:rsid w:val="445C06B9"/>
    <w:rsid w:val="445F3A72"/>
    <w:rsid w:val="446077EA"/>
    <w:rsid w:val="44665E49"/>
    <w:rsid w:val="446C618F"/>
    <w:rsid w:val="448F024A"/>
    <w:rsid w:val="44B26298"/>
    <w:rsid w:val="44BE2E8F"/>
    <w:rsid w:val="44C86593"/>
    <w:rsid w:val="44D02189"/>
    <w:rsid w:val="44D73F50"/>
    <w:rsid w:val="44FC1D24"/>
    <w:rsid w:val="44FE1514"/>
    <w:rsid w:val="451008C2"/>
    <w:rsid w:val="451277B0"/>
    <w:rsid w:val="45246F22"/>
    <w:rsid w:val="452470E5"/>
    <w:rsid w:val="45280308"/>
    <w:rsid w:val="45435142"/>
    <w:rsid w:val="45464C32"/>
    <w:rsid w:val="45492AC0"/>
    <w:rsid w:val="45513D03"/>
    <w:rsid w:val="45675331"/>
    <w:rsid w:val="458021A9"/>
    <w:rsid w:val="45834749"/>
    <w:rsid w:val="458D7ACD"/>
    <w:rsid w:val="45AB63C3"/>
    <w:rsid w:val="45D73ADC"/>
    <w:rsid w:val="45D93CF8"/>
    <w:rsid w:val="45F20395"/>
    <w:rsid w:val="45FE72BB"/>
    <w:rsid w:val="45FE7CC8"/>
    <w:rsid w:val="46053A9B"/>
    <w:rsid w:val="460A3EB2"/>
    <w:rsid w:val="46121C64"/>
    <w:rsid w:val="46162856"/>
    <w:rsid w:val="46226EB0"/>
    <w:rsid w:val="4658671E"/>
    <w:rsid w:val="465C2A22"/>
    <w:rsid w:val="466E205D"/>
    <w:rsid w:val="467911B3"/>
    <w:rsid w:val="46812B8D"/>
    <w:rsid w:val="46832413"/>
    <w:rsid w:val="46885E2A"/>
    <w:rsid w:val="469F2601"/>
    <w:rsid w:val="46A82FBF"/>
    <w:rsid w:val="46AB40C3"/>
    <w:rsid w:val="46BA58D8"/>
    <w:rsid w:val="46C439A8"/>
    <w:rsid w:val="46CE7995"/>
    <w:rsid w:val="46D7323F"/>
    <w:rsid w:val="46E0501A"/>
    <w:rsid w:val="46FC1214"/>
    <w:rsid w:val="47021DBA"/>
    <w:rsid w:val="471F2FD5"/>
    <w:rsid w:val="475D3DAD"/>
    <w:rsid w:val="47705F96"/>
    <w:rsid w:val="479C5383"/>
    <w:rsid w:val="479F646B"/>
    <w:rsid w:val="47A56FB4"/>
    <w:rsid w:val="47AD7CF1"/>
    <w:rsid w:val="47B9547A"/>
    <w:rsid w:val="47D67F88"/>
    <w:rsid w:val="4803505C"/>
    <w:rsid w:val="480831B5"/>
    <w:rsid w:val="480D66CD"/>
    <w:rsid w:val="480F105A"/>
    <w:rsid w:val="48194880"/>
    <w:rsid w:val="482849BA"/>
    <w:rsid w:val="483D056E"/>
    <w:rsid w:val="483F2BC9"/>
    <w:rsid w:val="485A1120"/>
    <w:rsid w:val="48A7549C"/>
    <w:rsid w:val="48B545A9"/>
    <w:rsid w:val="48BA15B1"/>
    <w:rsid w:val="48D273AC"/>
    <w:rsid w:val="48D76D49"/>
    <w:rsid w:val="48E97759"/>
    <w:rsid w:val="491F1E48"/>
    <w:rsid w:val="492139EC"/>
    <w:rsid w:val="49337978"/>
    <w:rsid w:val="495D26EB"/>
    <w:rsid w:val="49600707"/>
    <w:rsid w:val="49656EDC"/>
    <w:rsid w:val="49793828"/>
    <w:rsid w:val="4987138C"/>
    <w:rsid w:val="49883A6B"/>
    <w:rsid w:val="49B91793"/>
    <w:rsid w:val="49C37596"/>
    <w:rsid w:val="49CD147E"/>
    <w:rsid w:val="49CF169A"/>
    <w:rsid w:val="49D348F2"/>
    <w:rsid w:val="49E204D8"/>
    <w:rsid w:val="49FA66B9"/>
    <w:rsid w:val="4A0D3F70"/>
    <w:rsid w:val="4A103FF4"/>
    <w:rsid w:val="4A1277D9"/>
    <w:rsid w:val="4A2F2139"/>
    <w:rsid w:val="4A5D0A54"/>
    <w:rsid w:val="4A666565"/>
    <w:rsid w:val="4A7B66E4"/>
    <w:rsid w:val="4A7D5113"/>
    <w:rsid w:val="4A7F4FCB"/>
    <w:rsid w:val="4A812A30"/>
    <w:rsid w:val="4A89523C"/>
    <w:rsid w:val="4AB019AF"/>
    <w:rsid w:val="4AC54E91"/>
    <w:rsid w:val="4AD5154D"/>
    <w:rsid w:val="4AEA3364"/>
    <w:rsid w:val="4AF73617"/>
    <w:rsid w:val="4B101F6A"/>
    <w:rsid w:val="4B593BC4"/>
    <w:rsid w:val="4B6A463C"/>
    <w:rsid w:val="4B902FB1"/>
    <w:rsid w:val="4B9E0E3F"/>
    <w:rsid w:val="4BB63B5B"/>
    <w:rsid w:val="4BB9615E"/>
    <w:rsid w:val="4BCC283D"/>
    <w:rsid w:val="4BD35E6D"/>
    <w:rsid w:val="4BDC1E4C"/>
    <w:rsid w:val="4BE1231B"/>
    <w:rsid w:val="4BFF5353"/>
    <w:rsid w:val="4C1F6EFC"/>
    <w:rsid w:val="4C2F265F"/>
    <w:rsid w:val="4C5B5DF1"/>
    <w:rsid w:val="4C6D6DCE"/>
    <w:rsid w:val="4C752052"/>
    <w:rsid w:val="4C7D3694"/>
    <w:rsid w:val="4C9F27AB"/>
    <w:rsid w:val="4CBD4A44"/>
    <w:rsid w:val="4CD40D75"/>
    <w:rsid w:val="4CDE3815"/>
    <w:rsid w:val="4CED2983"/>
    <w:rsid w:val="4D0D2958"/>
    <w:rsid w:val="4D145493"/>
    <w:rsid w:val="4D2D4855"/>
    <w:rsid w:val="4D393332"/>
    <w:rsid w:val="4D3B01A7"/>
    <w:rsid w:val="4D4746C5"/>
    <w:rsid w:val="4D4D1254"/>
    <w:rsid w:val="4D5A74CD"/>
    <w:rsid w:val="4D6759FB"/>
    <w:rsid w:val="4D6E3517"/>
    <w:rsid w:val="4DB14B03"/>
    <w:rsid w:val="4DB639B0"/>
    <w:rsid w:val="4DB7491F"/>
    <w:rsid w:val="4DE70682"/>
    <w:rsid w:val="4DF53699"/>
    <w:rsid w:val="4DFD50C1"/>
    <w:rsid w:val="4E2B70BB"/>
    <w:rsid w:val="4E4645AE"/>
    <w:rsid w:val="4E496865"/>
    <w:rsid w:val="4E58321E"/>
    <w:rsid w:val="4E6B2193"/>
    <w:rsid w:val="4E9B1B4B"/>
    <w:rsid w:val="4EB91CD7"/>
    <w:rsid w:val="4EDE7C89"/>
    <w:rsid w:val="4EE72FE2"/>
    <w:rsid w:val="4EFF135C"/>
    <w:rsid w:val="4F035942"/>
    <w:rsid w:val="4F0E00E7"/>
    <w:rsid w:val="4F22412F"/>
    <w:rsid w:val="4F285863"/>
    <w:rsid w:val="4F2A1121"/>
    <w:rsid w:val="4F6264CF"/>
    <w:rsid w:val="4F6E6D3E"/>
    <w:rsid w:val="4F7F68E8"/>
    <w:rsid w:val="4F864B42"/>
    <w:rsid w:val="4F926200"/>
    <w:rsid w:val="4F9A0295"/>
    <w:rsid w:val="4FA1745C"/>
    <w:rsid w:val="4FBA4253"/>
    <w:rsid w:val="4FC55461"/>
    <w:rsid w:val="4FCE7CFE"/>
    <w:rsid w:val="4FDC12AC"/>
    <w:rsid w:val="4FE20FB2"/>
    <w:rsid w:val="501C4F0D"/>
    <w:rsid w:val="502B7CA9"/>
    <w:rsid w:val="503046E2"/>
    <w:rsid w:val="5038679F"/>
    <w:rsid w:val="50463D38"/>
    <w:rsid w:val="5047222E"/>
    <w:rsid w:val="50670571"/>
    <w:rsid w:val="50B95E75"/>
    <w:rsid w:val="50C54952"/>
    <w:rsid w:val="50CA6916"/>
    <w:rsid w:val="50CD6207"/>
    <w:rsid w:val="51015649"/>
    <w:rsid w:val="51034416"/>
    <w:rsid w:val="512151F2"/>
    <w:rsid w:val="512656C9"/>
    <w:rsid w:val="5139564B"/>
    <w:rsid w:val="5156444F"/>
    <w:rsid w:val="516B70CD"/>
    <w:rsid w:val="516C74EC"/>
    <w:rsid w:val="516E5337"/>
    <w:rsid w:val="51775721"/>
    <w:rsid w:val="517B5A9D"/>
    <w:rsid w:val="51801D58"/>
    <w:rsid w:val="51917235"/>
    <w:rsid w:val="519B4E54"/>
    <w:rsid w:val="51AC22C1"/>
    <w:rsid w:val="51B51175"/>
    <w:rsid w:val="51BF1FF4"/>
    <w:rsid w:val="51C740E1"/>
    <w:rsid w:val="51CD69E1"/>
    <w:rsid w:val="51E77F87"/>
    <w:rsid w:val="51EA372D"/>
    <w:rsid w:val="51EE696A"/>
    <w:rsid w:val="51F15F26"/>
    <w:rsid w:val="51F37EF0"/>
    <w:rsid w:val="51F87B88"/>
    <w:rsid w:val="520D0FB1"/>
    <w:rsid w:val="521142C4"/>
    <w:rsid w:val="5224097B"/>
    <w:rsid w:val="522508B8"/>
    <w:rsid w:val="523E1BC7"/>
    <w:rsid w:val="523F6E00"/>
    <w:rsid w:val="524B22B7"/>
    <w:rsid w:val="52692D61"/>
    <w:rsid w:val="527728CF"/>
    <w:rsid w:val="528172AA"/>
    <w:rsid w:val="52B8492E"/>
    <w:rsid w:val="52CD201A"/>
    <w:rsid w:val="52DB316A"/>
    <w:rsid w:val="52DF5523"/>
    <w:rsid w:val="530C01BA"/>
    <w:rsid w:val="530F02BC"/>
    <w:rsid w:val="53130F14"/>
    <w:rsid w:val="531C6A38"/>
    <w:rsid w:val="534972AB"/>
    <w:rsid w:val="5373169B"/>
    <w:rsid w:val="53747D16"/>
    <w:rsid w:val="5378497F"/>
    <w:rsid w:val="53C6061F"/>
    <w:rsid w:val="53E544DB"/>
    <w:rsid w:val="53F046E7"/>
    <w:rsid w:val="53F82EC8"/>
    <w:rsid w:val="540B1521"/>
    <w:rsid w:val="5415227F"/>
    <w:rsid w:val="542258CB"/>
    <w:rsid w:val="542D741B"/>
    <w:rsid w:val="543211F5"/>
    <w:rsid w:val="54330AC6"/>
    <w:rsid w:val="543640C4"/>
    <w:rsid w:val="544B4013"/>
    <w:rsid w:val="5456472A"/>
    <w:rsid w:val="54667951"/>
    <w:rsid w:val="548C1FAB"/>
    <w:rsid w:val="549E4143"/>
    <w:rsid w:val="54B5148C"/>
    <w:rsid w:val="54E63064"/>
    <w:rsid w:val="54F41028"/>
    <w:rsid w:val="54F75F49"/>
    <w:rsid w:val="54FE72D7"/>
    <w:rsid w:val="550F5D8E"/>
    <w:rsid w:val="552F326D"/>
    <w:rsid w:val="553D5D3A"/>
    <w:rsid w:val="554D7917"/>
    <w:rsid w:val="55663533"/>
    <w:rsid w:val="556F6CD4"/>
    <w:rsid w:val="558B0806"/>
    <w:rsid w:val="55944949"/>
    <w:rsid w:val="559C154A"/>
    <w:rsid w:val="55A21094"/>
    <w:rsid w:val="55B24181"/>
    <w:rsid w:val="55B96238"/>
    <w:rsid w:val="560501F2"/>
    <w:rsid w:val="564447FE"/>
    <w:rsid w:val="56466840"/>
    <w:rsid w:val="565467A5"/>
    <w:rsid w:val="56644224"/>
    <w:rsid w:val="5666680E"/>
    <w:rsid w:val="5669634B"/>
    <w:rsid w:val="56735DD8"/>
    <w:rsid w:val="567A473C"/>
    <w:rsid w:val="5685797A"/>
    <w:rsid w:val="568C1A21"/>
    <w:rsid w:val="569F4D37"/>
    <w:rsid w:val="56AB2F3F"/>
    <w:rsid w:val="56C42FEC"/>
    <w:rsid w:val="56EA73AE"/>
    <w:rsid w:val="56F0657B"/>
    <w:rsid w:val="56F20621"/>
    <w:rsid w:val="56F20776"/>
    <w:rsid w:val="56F37AB8"/>
    <w:rsid w:val="56FC15F5"/>
    <w:rsid w:val="57122BC6"/>
    <w:rsid w:val="572D6623"/>
    <w:rsid w:val="57364C46"/>
    <w:rsid w:val="575A47E7"/>
    <w:rsid w:val="575C02E5"/>
    <w:rsid w:val="577473DD"/>
    <w:rsid w:val="57911484"/>
    <w:rsid w:val="57BE00CF"/>
    <w:rsid w:val="57C33EC0"/>
    <w:rsid w:val="57CF104F"/>
    <w:rsid w:val="57CF47C9"/>
    <w:rsid w:val="57D939CD"/>
    <w:rsid w:val="57FF0946"/>
    <w:rsid w:val="58075B26"/>
    <w:rsid w:val="580A355F"/>
    <w:rsid w:val="58127ED2"/>
    <w:rsid w:val="58172F6B"/>
    <w:rsid w:val="58281E5B"/>
    <w:rsid w:val="582C247D"/>
    <w:rsid w:val="583D29A8"/>
    <w:rsid w:val="58406187"/>
    <w:rsid w:val="58537A63"/>
    <w:rsid w:val="58643CC2"/>
    <w:rsid w:val="588075E9"/>
    <w:rsid w:val="588C2AEC"/>
    <w:rsid w:val="58CA7BFC"/>
    <w:rsid w:val="58E83887"/>
    <w:rsid w:val="58F90DE0"/>
    <w:rsid w:val="59106321"/>
    <w:rsid w:val="59140C82"/>
    <w:rsid w:val="59202A8D"/>
    <w:rsid w:val="59372DB8"/>
    <w:rsid w:val="593B01E1"/>
    <w:rsid w:val="59493F76"/>
    <w:rsid w:val="59550FA6"/>
    <w:rsid w:val="595650B7"/>
    <w:rsid w:val="59576FB6"/>
    <w:rsid w:val="596005C1"/>
    <w:rsid w:val="59622FBF"/>
    <w:rsid w:val="59651728"/>
    <w:rsid w:val="5978642A"/>
    <w:rsid w:val="597F1341"/>
    <w:rsid w:val="599057E7"/>
    <w:rsid w:val="599F4CD5"/>
    <w:rsid w:val="59A27420"/>
    <w:rsid w:val="59AD1F85"/>
    <w:rsid w:val="59D654A8"/>
    <w:rsid w:val="59D80CBB"/>
    <w:rsid w:val="5A011459"/>
    <w:rsid w:val="5A013CE4"/>
    <w:rsid w:val="5A0141A4"/>
    <w:rsid w:val="5A053904"/>
    <w:rsid w:val="5A196B54"/>
    <w:rsid w:val="5A1E47AC"/>
    <w:rsid w:val="5A447687"/>
    <w:rsid w:val="5A4C2893"/>
    <w:rsid w:val="5A603305"/>
    <w:rsid w:val="5A701838"/>
    <w:rsid w:val="5A8156DE"/>
    <w:rsid w:val="5ADF3707"/>
    <w:rsid w:val="5AE3249E"/>
    <w:rsid w:val="5AE56545"/>
    <w:rsid w:val="5AE92129"/>
    <w:rsid w:val="5AF102AB"/>
    <w:rsid w:val="5B163201"/>
    <w:rsid w:val="5B1A473F"/>
    <w:rsid w:val="5B2E3D47"/>
    <w:rsid w:val="5B37709F"/>
    <w:rsid w:val="5B6149A2"/>
    <w:rsid w:val="5B636D7E"/>
    <w:rsid w:val="5B7A6DEA"/>
    <w:rsid w:val="5B7E6A7C"/>
    <w:rsid w:val="5BA20303"/>
    <w:rsid w:val="5BB26726"/>
    <w:rsid w:val="5BB701E0"/>
    <w:rsid w:val="5BB926FC"/>
    <w:rsid w:val="5BF54320"/>
    <w:rsid w:val="5C1633F6"/>
    <w:rsid w:val="5C246971"/>
    <w:rsid w:val="5C4867F4"/>
    <w:rsid w:val="5C6737F1"/>
    <w:rsid w:val="5C9C18B0"/>
    <w:rsid w:val="5C9E7970"/>
    <w:rsid w:val="5CBD1826"/>
    <w:rsid w:val="5CC37F37"/>
    <w:rsid w:val="5CE943C9"/>
    <w:rsid w:val="5CF96FBB"/>
    <w:rsid w:val="5CFD1C22"/>
    <w:rsid w:val="5D044DFB"/>
    <w:rsid w:val="5D2A3C5C"/>
    <w:rsid w:val="5D2E4206"/>
    <w:rsid w:val="5D6F2B20"/>
    <w:rsid w:val="5D8B5480"/>
    <w:rsid w:val="5DA21809"/>
    <w:rsid w:val="5DAB5B22"/>
    <w:rsid w:val="5DD0374A"/>
    <w:rsid w:val="5DD064FA"/>
    <w:rsid w:val="5DDA30BD"/>
    <w:rsid w:val="5DE33611"/>
    <w:rsid w:val="5DEA03F9"/>
    <w:rsid w:val="5DEB5F1F"/>
    <w:rsid w:val="5DEB608F"/>
    <w:rsid w:val="5E211941"/>
    <w:rsid w:val="5E2719AF"/>
    <w:rsid w:val="5E2C7B5F"/>
    <w:rsid w:val="5E37388C"/>
    <w:rsid w:val="5E49652D"/>
    <w:rsid w:val="5E55621E"/>
    <w:rsid w:val="5E556A51"/>
    <w:rsid w:val="5E6C7060"/>
    <w:rsid w:val="5EA7453C"/>
    <w:rsid w:val="5EAE0F71"/>
    <w:rsid w:val="5ED27BE1"/>
    <w:rsid w:val="5ED35BB4"/>
    <w:rsid w:val="5ED75612"/>
    <w:rsid w:val="5F1F1B33"/>
    <w:rsid w:val="5F2136D8"/>
    <w:rsid w:val="5F2D0AE0"/>
    <w:rsid w:val="5F432EF8"/>
    <w:rsid w:val="5F47659C"/>
    <w:rsid w:val="5F526256"/>
    <w:rsid w:val="5F555D46"/>
    <w:rsid w:val="5F7E529D"/>
    <w:rsid w:val="5FB40CBE"/>
    <w:rsid w:val="5FC2239B"/>
    <w:rsid w:val="5FCA04E2"/>
    <w:rsid w:val="5FDF1F8A"/>
    <w:rsid w:val="5FE356A8"/>
    <w:rsid w:val="5FF40024"/>
    <w:rsid w:val="602676E1"/>
    <w:rsid w:val="602E4F74"/>
    <w:rsid w:val="603418A5"/>
    <w:rsid w:val="60366D51"/>
    <w:rsid w:val="604D4C6F"/>
    <w:rsid w:val="606002D2"/>
    <w:rsid w:val="60936B26"/>
    <w:rsid w:val="60A457EB"/>
    <w:rsid w:val="60A74497"/>
    <w:rsid w:val="60B61030"/>
    <w:rsid w:val="60BE1C9B"/>
    <w:rsid w:val="60C356C4"/>
    <w:rsid w:val="60E92BEA"/>
    <w:rsid w:val="60FF41BB"/>
    <w:rsid w:val="61020C7F"/>
    <w:rsid w:val="612B3202"/>
    <w:rsid w:val="612C0D28"/>
    <w:rsid w:val="61406582"/>
    <w:rsid w:val="61543299"/>
    <w:rsid w:val="61592960"/>
    <w:rsid w:val="615A5A4D"/>
    <w:rsid w:val="61706E67"/>
    <w:rsid w:val="61AC41D6"/>
    <w:rsid w:val="61D70DF9"/>
    <w:rsid w:val="61D77A00"/>
    <w:rsid w:val="61EE148D"/>
    <w:rsid w:val="621B3277"/>
    <w:rsid w:val="6228211F"/>
    <w:rsid w:val="6229771A"/>
    <w:rsid w:val="622C555D"/>
    <w:rsid w:val="623B7475"/>
    <w:rsid w:val="626478C2"/>
    <w:rsid w:val="626529F4"/>
    <w:rsid w:val="626C4988"/>
    <w:rsid w:val="62854B94"/>
    <w:rsid w:val="62C610B8"/>
    <w:rsid w:val="62E224E8"/>
    <w:rsid w:val="62FE497B"/>
    <w:rsid w:val="62FF03D9"/>
    <w:rsid w:val="62FF64C2"/>
    <w:rsid w:val="630E4B89"/>
    <w:rsid w:val="63352116"/>
    <w:rsid w:val="63377DE5"/>
    <w:rsid w:val="633C769A"/>
    <w:rsid w:val="63452A53"/>
    <w:rsid w:val="63485127"/>
    <w:rsid w:val="635B58F5"/>
    <w:rsid w:val="637531A0"/>
    <w:rsid w:val="63966FB4"/>
    <w:rsid w:val="63973036"/>
    <w:rsid w:val="639B6291"/>
    <w:rsid w:val="639C2D33"/>
    <w:rsid w:val="63A105E6"/>
    <w:rsid w:val="63AD6150"/>
    <w:rsid w:val="63C96D02"/>
    <w:rsid w:val="63D36046"/>
    <w:rsid w:val="63D6255C"/>
    <w:rsid w:val="63E61F5F"/>
    <w:rsid w:val="63F00811"/>
    <w:rsid w:val="63F657AA"/>
    <w:rsid w:val="64065861"/>
    <w:rsid w:val="64144421"/>
    <w:rsid w:val="643A7DF2"/>
    <w:rsid w:val="644D7933"/>
    <w:rsid w:val="645152C2"/>
    <w:rsid w:val="64607667"/>
    <w:rsid w:val="64800394"/>
    <w:rsid w:val="648814BB"/>
    <w:rsid w:val="64975171"/>
    <w:rsid w:val="64A15589"/>
    <w:rsid w:val="64AA0614"/>
    <w:rsid w:val="64AB4ABB"/>
    <w:rsid w:val="64BE5FF1"/>
    <w:rsid w:val="64C549E2"/>
    <w:rsid w:val="64D4770D"/>
    <w:rsid w:val="64E831B8"/>
    <w:rsid w:val="64EA2425"/>
    <w:rsid w:val="64F1206D"/>
    <w:rsid w:val="65031DA0"/>
    <w:rsid w:val="65220A06"/>
    <w:rsid w:val="65384140"/>
    <w:rsid w:val="653A1C66"/>
    <w:rsid w:val="65426D6C"/>
    <w:rsid w:val="65540C76"/>
    <w:rsid w:val="656E7B61"/>
    <w:rsid w:val="657753A5"/>
    <w:rsid w:val="657A5833"/>
    <w:rsid w:val="65812DF0"/>
    <w:rsid w:val="65842EE1"/>
    <w:rsid w:val="659B022A"/>
    <w:rsid w:val="65A767B0"/>
    <w:rsid w:val="65AE3104"/>
    <w:rsid w:val="65B838A4"/>
    <w:rsid w:val="65C94D98"/>
    <w:rsid w:val="6602534E"/>
    <w:rsid w:val="66065FEC"/>
    <w:rsid w:val="660A5F17"/>
    <w:rsid w:val="66332DC3"/>
    <w:rsid w:val="6639006E"/>
    <w:rsid w:val="663C7C5F"/>
    <w:rsid w:val="663F7785"/>
    <w:rsid w:val="664804B3"/>
    <w:rsid w:val="665E7BD6"/>
    <w:rsid w:val="66632EA0"/>
    <w:rsid w:val="66633E9A"/>
    <w:rsid w:val="66651C8A"/>
    <w:rsid w:val="66656C51"/>
    <w:rsid w:val="66664CDC"/>
    <w:rsid w:val="668D3AA7"/>
    <w:rsid w:val="668D6304"/>
    <w:rsid w:val="669C6028"/>
    <w:rsid w:val="669F0689"/>
    <w:rsid w:val="66A87A0F"/>
    <w:rsid w:val="66B20509"/>
    <w:rsid w:val="66C50541"/>
    <w:rsid w:val="66C509D5"/>
    <w:rsid w:val="66DA2CB3"/>
    <w:rsid w:val="66F40793"/>
    <w:rsid w:val="6717038D"/>
    <w:rsid w:val="671706D3"/>
    <w:rsid w:val="672F48CC"/>
    <w:rsid w:val="6730396A"/>
    <w:rsid w:val="67346B89"/>
    <w:rsid w:val="6751773B"/>
    <w:rsid w:val="67801EB9"/>
    <w:rsid w:val="67A71109"/>
    <w:rsid w:val="67C76B2D"/>
    <w:rsid w:val="67CE0D8B"/>
    <w:rsid w:val="67EE2A60"/>
    <w:rsid w:val="68036CFD"/>
    <w:rsid w:val="681A38D9"/>
    <w:rsid w:val="68324E76"/>
    <w:rsid w:val="6839795B"/>
    <w:rsid w:val="683E5252"/>
    <w:rsid w:val="68456C28"/>
    <w:rsid w:val="684C67E9"/>
    <w:rsid w:val="685118DE"/>
    <w:rsid w:val="685E101E"/>
    <w:rsid w:val="688233FF"/>
    <w:rsid w:val="68883E6D"/>
    <w:rsid w:val="68AD6BF3"/>
    <w:rsid w:val="68D56A00"/>
    <w:rsid w:val="68DA1F54"/>
    <w:rsid w:val="68EB078F"/>
    <w:rsid w:val="69280C5E"/>
    <w:rsid w:val="693A3226"/>
    <w:rsid w:val="693E4935"/>
    <w:rsid w:val="694D54E1"/>
    <w:rsid w:val="699944EC"/>
    <w:rsid w:val="69995724"/>
    <w:rsid w:val="69B47EE5"/>
    <w:rsid w:val="69C4686C"/>
    <w:rsid w:val="6A176F2F"/>
    <w:rsid w:val="6A23687A"/>
    <w:rsid w:val="6A240036"/>
    <w:rsid w:val="6A372756"/>
    <w:rsid w:val="6A3B19C7"/>
    <w:rsid w:val="6A4B20C8"/>
    <w:rsid w:val="6A4B5F33"/>
    <w:rsid w:val="6A577BBA"/>
    <w:rsid w:val="6A590439"/>
    <w:rsid w:val="6A597D4C"/>
    <w:rsid w:val="6A680FC7"/>
    <w:rsid w:val="6A880A74"/>
    <w:rsid w:val="6A942216"/>
    <w:rsid w:val="6A9B0075"/>
    <w:rsid w:val="6AC51D73"/>
    <w:rsid w:val="6AC82C33"/>
    <w:rsid w:val="6AD67F71"/>
    <w:rsid w:val="6AE213F9"/>
    <w:rsid w:val="6AE85CC0"/>
    <w:rsid w:val="6AF7771D"/>
    <w:rsid w:val="6B036F9E"/>
    <w:rsid w:val="6B311795"/>
    <w:rsid w:val="6B4D0219"/>
    <w:rsid w:val="6BA17867"/>
    <w:rsid w:val="6BA8544F"/>
    <w:rsid w:val="6BB141CE"/>
    <w:rsid w:val="6BBA58AE"/>
    <w:rsid w:val="6BBE4C73"/>
    <w:rsid w:val="6BD45513"/>
    <w:rsid w:val="6BEF0C80"/>
    <w:rsid w:val="6BF41DBA"/>
    <w:rsid w:val="6C102618"/>
    <w:rsid w:val="6C1F3963"/>
    <w:rsid w:val="6C1F5711"/>
    <w:rsid w:val="6C276CBC"/>
    <w:rsid w:val="6C2A0D97"/>
    <w:rsid w:val="6C3664AD"/>
    <w:rsid w:val="6C3D203B"/>
    <w:rsid w:val="6C477211"/>
    <w:rsid w:val="6C62746F"/>
    <w:rsid w:val="6C7B0D4F"/>
    <w:rsid w:val="6C7C7008"/>
    <w:rsid w:val="6CA36342"/>
    <w:rsid w:val="6CAB3449"/>
    <w:rsid w:val="6CAE2F39"/>
    <w:rsid w:val="6CAF118B"/>
    <w:rsid w:val="6CB22A29"/>
    <w:rsid w:val="6CBA18DE"/>
    <w:rsid w:val="6CBD0545"/>
    <w:rsid w:val="6CC30793"/>
    <w:rsid w:val="6CC37BAF"/>
    <w:rsid w:val="6CC73DF6"/>
    <w:rsid w:val="6CE13277"/>
    <w:rsid w:val="6CEA6058"/>
    <w:rsid w:val="6CF92FDB"/>
    <w:rsid w:val="6D0F2115"/>
    <w:rsid w:val="6D237483"/>
    <w:rsid w:val="6D3173EA"/>
    <w:rsid w:val="6D385E21"/>
    <w:rsid w:val="6D737889"/>
    <w:rsid w:val="6D787B59"/>
    <w:rsid w:val="6D7F4662"/>
    <w:rsid w:val="6D832E39"/>
    <w:rsid w:val="6D8A7542"/>
    <w:rsid w:val="6D916E4E"/>
    <w:rsid w:val="6DA94419"/>
    <w:rsid w:val="6DB3108B"/>
    <w:rsid w:val="6DBD5004"/>
    <w:rsid w:val="6DC63E68"/>
    <w:rsid w:val="6DCF4F15"/>
    <w:rsid w:val="6DD447A6"/>
    <w:rsid w:val="6DEF4626"/>
    <w:rsid w:val="6E066FBB"/>
    <w:rsid w:val="6E1152C9"/>
    <w:rsid w:val="6E4678CD"/>
    <w:rsid w:val="6E531FEA"/>
    <w:rsid w:val="6E5C6B75"/>
    <w:rsid w:val="6E6D037E"/>
    <w:rsid w:val="6E95214E"/>
    <w:rsid w:val="6E9B7282"/>
    <w:rsid w:val="6EA3225C"/>
    <w:rsid w:val="6EA84CF4"/>
    <w:rsid w:val="6EAC10F7"/>
    <w:rsid w:val="6EB135A6"/>
    <w:rsid w:val="6EBF1FE4"/>
    <w:rsid w:val="6EC5163F"/>
    <w:rsid w:val="6F003A11"/>
    <w:rsid w:val="6F0A08FB"/>
    <w:rsid w:val="6F153111"/>
    <w:rsid w:val="6F3B3D99"/>
    <w:rsid w:val="6F415A91"/>
    <w:rsid w:val="6F5479EB"/>
    <w:rsid w:val="6F5558BD"/>
    <w:rsid w:val="6F5C177F"/>
    <w:rsid w:val="6F5E47A3"/>
    <w:rsid w:val="6F622446"/>
    <w:rsid w:val="6F6373A3"/>
    <w:rsid w:val="6F6B6EC0"/>
    <w:rsid w:val="6F866FBD"/>
    <w:rsid w:val="6F870169"/>
    <w:rsid w:val="6F8B1310"/>
    <w:rsid w:val="6F927913"/>
    <w:rsid w:val="6F9D176F"/>
    <w:rsid w:val="6F9E1043"/>
    <w:rsid w:val="6FA13625"/>
    <w:rsid w:val="6FA77FDB"/>
    <w:rsid w:val="6FBB1BF5"/>
    <w:rsid w:val="6FBB5193"/>
    <w:rsid w:val="6FDE7692"/>
    <w:rsid w:val="6FE3114C"/>
    <w:rsid w:val="6FE77690"/>
    <w:rsid w:val="6FE949B4"/>
    <w:rsid w:val="6FF6159B"/>
    <w:rsid w:val="6FF8081F"/>
    <w:rsid w:val="70032313"/>
    <w:rsid w:val="70057314"/>
    <w:rsid w:val="700A492A"/>
    <w:rsid w:val="701049D0"/>
    <w:rsid w:val="701653C9"/>
    <w:rsid w:val="70195AED"/>
    <w:rsid w:val="702F13E2"/>
    <w:rsid w:val="70335C2F"/>
    <w:rsid w:val="704C1556"/>
    <w:rsid w:val="705D5373"/>
    <w:rsid w:val="707D50FC"/>
    <w:rsid w:val="707E0FD5"/>
    <w:rsid w:val="70867402"/>
    <w:rsid w:val="70A95654"/>
    <w:rsid w:val="70C312D3"/>
    <w:rsid w:val="70D43718"/>
    <w:rsid w:val="70F73101"/>
    <w:rsid w:val="7116172E"/>
    <w:rsid w:val="71241D10"/>
    <w:rsid w:val="712437CA"/>
    <w:rsid w:val="712D0854"/>
    <w:rsid w:val="713B389B"/>
    <w:rsid w:val="7142463B"/>
    <w:rsid w:val="71910D2E"/>
    <w:rsid w:val="71A010A2"/>
    <w:rsid w:val="71AC2056"/>
    <w:rsid w:val="71C1345D"/>
    <w:rsid w:val="71CB2462"/>
    <w:rsid w:val="71D445CE"/>
    <w:rsid w:val="71DA38CD"/>
    <w:rsid w:val="71E25B41"/>
    <w:rsid w:val="71F650B9"/>
    <w:rsid w:val="71FB277D"/>
    <w:rsid w:val="720F6001"/>
    <w:rsid w:val="72473CB6"/>
    <w:rsid w:val="72686E3D"/>
    <w:rsid w:val="727A26CE"/>
    <w:rsid w:val="72983176"/>
    <w:rsid w:val="72AB51FE"/>
    <w:rsid w:val="72BE2D27"/>
    <w:rsid w:val="72D92A8F"/>
    <w:rsid w:val="72DA2EC0"/>
    <w:rsid w:val="72F739A7"/>
    <w:rsid w:val="73016068"/>
    <w:rsid w:val="73504D4A"/>
    <w:rsid w:val="7363682B"/>
    <w:rsid w:val="73816CB2"/>
    <w:rsid w:val="73893830"/>
    <w:rsid w:val="73A125FD"/>
    <w:rsid w:val="73C03C7E"/>
    <w:rsid w:val="73C81640"/>
    <w:rsid w:val="73CD6A9A"/>
    <w:rsid w:val="73DD6D17"/>
    <w:rsid w:val="73E2776E"/>
    <w:rsid w:val="73F52103"/>
    <w:rsid w:val="73FE0302"/>
    <w:rsid w:val="74022067"/>
    <w:rsid w:val="74097116"/>
    <w:rsid w:val="740A4EF9"/>
    <w:rsid w:val="740A7DB8"/>
    <w:rsid w:val="740E54D1"/>
    <w:rsid w:val="741B5358"/>
    <w:rsid w:val="742170E9"/>
    <w:rsid w:val="745B4F58"/>
    <w:rsid w:val="748527D2"/>
    <w:rsid w:val="74921493"/>
    <w:rsid w:val="74A509B1"/>
    <w:rsid w:val="74B01B4A"/>
    <w:rsid w:val="74CA3328"/>
    <w:rsid w:val="74DF4B7F"/>
    <w:rsid w:val="74DF4EF4"/>
    <w:rsid w:val="74F62CED"/>
    <w:rsid w:val="74F83595"/>
    <w:rsid w:val="75120509"/>
    <w:rsid w:val="75133BF1"/>
    <w:rsid w:val="7518727D"/>
    <w:rsid w:val="752173ED"/>
    <w:rsid w:val="75355FA6"/>
    <w:rsid w:val="75370EA5"/>
    <w:rsid w:val="7538094B"/>
    <w:rsid w:val="754730F9"/>
    <w:rsid w:val="754937FF"/>
    <w:rsid w:val="75502B1F"/>
    <w:rsid w:val="75544BB9"/>
    <w:rsid w:val="75752A67"/>
    <w:rsid w:val="75D35377"/>
    <w:rsid w:val="75F93477"/>
    <w:rsid w:val="76063D02"/>
    <w:rsid w:val="7631116A"/>
    <w:rsid w:val="76312C11"/>
    <w:rsid w:val="76345B3A"/>
    <w:rsid w:val="764346F2"/>
    <w:rsid w:val="76454D95"/>
    <w:rsid w:val="767317AC"/>
    <w:rsid w:val="7686064F"/>
    <w:rsid w:val="769474D0"/>
    <w:rsid w:val="769E4F43"/>
    <w:rsid w:val="76A95033"/>
    <w:rsid w:val="76B858B5"/>
    <w:rsid w:val="76BF021D"/>
    <w:rsid w:val="76DF0673"/>
    <w:rsid w:val="77176354"/>
    <w:rsid w:val="773310E1"/>
    <w:rsid w:val="773D3F97"/>
    <w:rsid w:val="774910E8"/>
    <w:rsid w:val="774950AA"/>
    <w:rsid w:val="774A0F8C"/>
    <w:rsid w:val="774A385E"/>
    <w:rsid w:val="77951A25"/>
    <w:rsid w:val="77960CE5"/>
    <w:rsid w:val="77CB650B"/>
    <w:rsid w:val="77CC2A1C"/>
    <w:rsid w:val="77CE4490"/>
    <w:rsid w:val="77E67A2B"/>
    <w:rsid w:val="78042DEB"/>
    <w:rsid w:val="78236589"/>
    <w:rsid w:val="78261305"/>
    <w:rsid w:val="784974F5"/>
    <w:rsid w:val="784B19A6"/>
    <w:rsid w:val="78540E39"/>
    <w:rsid w:val="78681083"/>
    <w:rsid w:val="788B24B1"/>
    <w:rsid w:val="789079E5"/>
    <w:rsid w:val="7891016B"/>
    <w:rsid w:val="789B0816"/>
    <w:rsid w:val="78A04C44"/>
    <w:rsid w:val="78C338C8"/>
    <w:rsid w:val="78E72828"/>
    <w:rsid w:val="78EA7B9F"/>
    <w:rsid w:val="79224F56"/>
    <w:rsid w:val="79336CA0"/>
    <w:rsid w:val="793A7966"/>
    <w:rsid w:val="793B1C09"/>
    <w:rsid w:val="7947274B"/>
    <w:rsid w:val="79BA79F3"/>
    <w:rsid w:val="79BB215E"/>
    <w:rsid w:val="79D87646"/>
    <w:rsid w:val="79E82BC7"/>
    <w:rsid w:val="7A1067EC"/>
    <w:rsid w:val="7A192CE7"/>
    <w:rsid w:val="7A2E2EA3"/>
    <w:rsid w:val="7A3007C8"/>
    <w:rsid w:val="7A3231AD"/>
    <w:rsid w:val="7A4A77F3"/>
    <w:rsid w:val="7A5A72EE"/>
    <w:rsid w:val="7A844288"/>
    <w:rsid w:val="7AA82540"/>
    <w:rsid w:val="7AB931D5"/>
    <w:rsid w:val="7ADC02AF"/>
    <w:rsid w:val="7AE56AF0"/>
    <w:rsid w:val="7B002DC3"/>
    <w:rsid w:val="7B080E99"/>
    <w:rsid w:val="7B0C23FF"/>
    <w:rsid w:val="7B110428"/>
    <w:rsid w:val="7B113011"/>
    <w:rsid w:val="7B205002"/>
    <w:rsid w:val="7B220D7A"/>
    <w:rsid w:val="7B2F5349"/>
    <w:rsid w:val="7B5666FB"/>
    <w:rsid w:val="7B5C232E"/>
    <w:rsid w:val="7B5E12BB"/>
    <w:rsid w:val="7B637C47"/>
    <w:rsid w:val="7BA43E85"/>
    <w:rsid w:val="7BAB6FC2"/>
    <w:rsid w:val="7BBF4208"/>
    <w:rsid w:val="7BC0312E"/>
    <w:rsid w:val="7BC62E25"/>
    <w:rsid w:val="7BD02203"/>
    <w:rsid w:val="7BD22006"/>
    <w:rsid w:val="7BE349AD"/>
    <w:rsid w:val="7BFC0690"/>
    <w:rsid w:val="7BFE17E7"/>
    <w:rsid w:val="7C013085"/>
    <w:rsid w:val="7C0E2B1C"/>
    <w:rsid w:val="7C0E57A2"/>
    <w:rsid w:val="7C151079"/>
    <w:rsid w:val="7C2253BC"/>
    <w:rsid w:val="7C2E374F"/>
    <w:rsid w:val="7C4756C9"/>
    <w:rsid w:val="7C582C3F"/>
    <w:rsid w:val="7C593EE8"/>
    <w:rsid w:val="7C753C13"/>
    <w:rsid w:val="7C7A6994"/>
    <w:rsid w:val="7C855A65"/>
    <w:rsid w:val="7C9932BE"/>
    <w:rsid w:val="7C9B286D"/>
    <w:rsid w:val="7C9B7FF0"/>
    <w:rsid w:val="7C9C44FE"/>
    <w:rsid w:val="7CB53251"/>
    <w:rsid w:val="7CB62D19"/>
    <w:rsid w:val="7CD93821"/>
    <w:rsid w:val="7CD95805"/>
    <w:rsid w:val="7D13314E"/>
    <w:rsid w:val="7D230DDA"/>
    <w:rsid w:val="7D365DD8"/>
    <w:rsid w:val="7D3A23FC"/>
    <w:rsid w:val="7D625FC7"/>
    <w:rsid w:val="7D650CA3"/>
    <w:rsid w:val="7D6A0419"/>
    <w:rsid w:val="7D6B7727"/>
    <w:rsid w:val="7D7A5D33"/>
    <w:rsid w:val="7DB12889"/>
    <w:rsid w:val="7DB52379"/>
    <w:rsid w:val="7DBC3708"/>
    <w:rsid w:val="7DD018F6"/>
    <w:rsid w:val="7DD4016C"/>
    <w:rsid w:val="7DEE5D3D"/>
    <w:rsid w:val="7E167D92"/>
    <w:rsid w:val="7E1A50EB"/>
    <w:rsid w:val="7E1D2CB4"/>
    <w:rsid w:val="7E222BD7"/>
    <w:rsid w:val="7E24305B"/>
    <w:rsid w:val="7E290672"/>
    <w:rsid w:val="7E4266E2"/>
    <w:rsid w:val="7E576F8D"/>
    <w:rsid w:val="7E6C2A49"/>
    <w:rsid w:val="7E6D4A02"/>
    <w:rsid w:val="7E722A66"/>
    <w:rsid w:val="7E794FBB"/>
    <w:rsid w:val="7E806AA4"/>
    <w:rsid w:val="7E8F4979"/>
    <w:rsid w:val="7E9C305C"/>
    <w:rsid w:val="7EA06B86"/>
    <w:rsid w:val="7EA26042"/>
    <w:rsid w:val="7EAF6879"/>
    <w:rsid w:val="7EB45D48"/>
    <w:rsid w:val="7EC17031"/>
    <w:rsid w:val="7EEA7E01"/>
    <w:rsid w:val="7F0417A2"/>
    <w:rsid w:val="7F360FA8"/>
    <w:rsid w:val="7F3D43D5"/>
    <w:rsid w:val="7F427C3D"/>
    <w:rsid w:val="7F517E80"/>
    <w:rsid w:val="7F7211CD"/>
    <w:rsid w:val="7F8B3961"/>
    <w:rsid w:val="7F8F3102"/>
    <w:rsid w:val="7F9C0E05"/>
    <w:rsid w:val="7F9F140C"/>
    <w:rsid w:val="7FA76140"/>
    <w:rsid w:val="7FC17096"/>
    <w:rsid w:val="7FE82E11"/>
    <w:rsid w:val="7FF970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53"/>
    <w:autoRedefine/>
    <w:qFormat/>
    <w:uiPriority w:val="0"/>
    <w:pPr>
      <w:keepNext/>
      <w:keepLines/>
      <w:spacing w:before="340" w:after="330" w:line="578" w:lineRule="auto"/>
      <w:outlineLvl w:val="0"/>
    </w:pPr>
    <w:rPr>
      <w:b/>
      <w:bCs/>
      <w:kern w:val="44"/>
      <w:sz w:val="44"/>
      <w:szCs w:val="44"/>
    </w:rPr>
  </w:style>
  <w:style w:type="paragraph" w:styleId="7">
    <w:name w:val="heading 2"/>
    <w:basedOn w:val="1"/>
    <w:next w:val="1"/>
    <w:autoRedefine/>
    <w:qFormat/>
    <w:uiPriority w:val="0"/>
    <w:pPr>
      <w:keepNext/>
      <w:keepLines/>
      <w:numPr>
        <w:ilvl w:val="1"/>
        <w:numId w:val="1"/>
      </w:numPr>
      <w:adjustRightInd w:val="0"/>
      <w:spacing w:line="360" w:lineRule="atLeast"/>
      <w:textAlignment w:val="baseline"/>
      <w:outlineLvl w:val="1"/>
    </w:pPr>
    <w:rPr>
      <w:kern w:val="0"/>
      <w:sz w:val="24"/>
      <w:szCs w:val="20"/>
    </w:rPr>
  </w:style>
  <w:style w:type="paragraph" w:styleId="8">
    <w:name w:val="heading 3"/>
    <w:basedOn w:val="1"/>
    <w:next w:val="1"/>
    <w:autoRedefine/>
    <w:qFormat/>
    <w:uiPriority w:val="0"/>
    <w:pPr>
      <w:keepNext/>
      <w:keepLines/>
      <w:spacing w:before="260" w:after="260" w:line="416" w:lineRule="atLeast"/>
      <w:jc w:val="both"/>
      <w:textAlignment w:val="baseline"/>
      <w:outlineLvl w:val="2"/>
    </w:pPr>
    <w:rPr>
      <w:b/>
      <w:bCs/>
      <w:color w:val="000000"/>
      <w:sz w:val="32"/>
      <w:szCs w:val="32"/>
      <w:u w:val="none" w:color="000000"/>
      <w:lang w:val="en-US" w:eastAsia="zh-CN" w:bidi="ar-SA"/>
    </w:rPr>
  </w:style>
  <w:style w:type="paragraph" w:styleId="9">
    <w:name w:val="heading 4"/>
    <w:basedOn w:val="1"/>
    <w:next w:val="1"/>
    <w:link w:val="54"/>
    <w:autoRedefine/>
    <w:qFormat/>
    <w:uiPriority w:val="0"/>
    <w:pPr>
      <w:keepNext/>
      <w:keepLines/>
      <w:widowControl/>
      <w:spacing w:before="280" w:after="290" w:line="376" w:lineRule="atLeast"/>
      <w:textAlignment w:val="baseline"/>
      <w:outlineLvl w:val="3"/>
    </w:pPr>
    <w:rPr>
      <w:rFonts w:ascii="Arial" w:hAnsi="Arial" w:eastAsia="黑体"/>
      <w:b/>
      <w:bCs/>
      <w:color w:val="000000"/>
      <w:kern w:val="0"/>
      <w:sz w:val="28"/>
      <w:szCs w:val="28"/>
      <w:u w:val="none" w:color="000000"/>
    </w:rPr>
  </w:style>
  <w:style w:type="paragraph" w:styleId="10">
    <w:name w:val="heading 5"/>
    <w:basedOn w:val="1"/>
    <w:next w:val="1"/>
    <w:link w:val="55"/>
    <w:autoRedefine/>
    <w:qFormat/>
    <w:uiPriority w:val="0"/>
    <w:pPr>
      <w:keepNext/>
      <w:keepLines/>
      <w:spacing w:before="280" w:after="290" w:line="376" w:lineRule="auto"/>
      <w:outlineLvl w:val="4"/>
    </w:pPr>
    <w:rPr>
      <w:b/>
      <w:bCs/>
      <w:sz w:val="28"/>
      <w:szCs w:val="28"/>
    </w:rPr>
  </w:style>
  <w:style w:type="paragraph" w:styleId="11">
    <w:name w:val="heading 6"/>
    <w:basedOn w:val="1"/>
    <w:next w:val="1"/>
    <w:link w:val="56"/>
    <w:autoRedefine/>
    <w:qFormat/>
    <w:uiPriority w:val="0"/>
    <w:pPr>
      <w:keepNext/>
      <w:keepLines/>
      <w:spacing w:before="240" w:after="64" w:line="320" w:lineRule="auto"/>
      <w:outlineLvl w:val="5"/>
    </w:pPr>
    <w:rPr>
      <w:rFonts w:ascii="Cambria" w:hAnsi="Cambria"/>
      <w:b/>
      <w:bCs/>
      <w:sz w:val="24"/>
    </w:rPr>
  </w:style>
  <w:style w:type="paragraph" w:styleId="12">
    <w:name w:val="heading 7"/>
    <w:basedOn w:val="1"/>
    <w:next w:val="1"/>
    <w:link w:val="57"/>
    <w:autoRedefine/>
    <w:qFormat/>
    <w:uiPriority w:val="0"/>
    <w:pPr>
      <w:keepNext/>
      <w:keepLines/>
      <w:spacing w:before="240" w:after="64" w:line="320" w:lineRule="auto"/>
      <w:outlineLvl w:val="6"/>
    </w:pPr>
    <w:rPr>
      <w:b/>
      <w:bCs/>
      <w:sz w:val="24"/>
    </w:rPr>
  </w:style>
  <w:style w:type="character" w:default="1" w:styleId="36">
    <w:name w:val="Default Paragraph Font"/>
    <w:autoRedefine/>
    <w:semiHidden/>
    <w:qFormat/>
    <w:uiPriority w:val="0"/>
  </w:style>
  <w:style w:type="table" w:default="1" w:styleId="34">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link w:val="52"/>
    <w:autoRedefine/>
    <w:qFormat/>
    <w:uiPriority w:val="0"/>
    <w:pPr>
      <w:ind w:left="420" w:firstLine="420" w:firstLineChars="200"/>
    </w:pPr>
  </w:style>
  <w:style w:type="paragraph" w:styleId="3">
    <w:name w:val="Body Text Indent"/>
    <w:basedOn w:val="1"/>
    <w:next w:val="4"/>
    <w:link w:val="51"/>
    <w:autoRedefine/>
    <w:qFormat/>
    <w:uiPriority w:val="0"/>
    <w:pPr>
      <w:spacing w:after="120"/>
      <w:ind w:left="200" w:leftChars="200"/>
    </w:pPr>
  </w:style>
  <w:style w:type="paragraph" w:styleId="4">
    <w:name w:val="envelope return"/>
    <w:basedOn w:val="1"/>
    <w:next w:val="5"/>
    <w:autoRedefine/>
    <w:qFormat/>
    <w:uiPriority w:val="0"/>
    <w:pPr>
      <w:snapToGrid w:val="0"/>
    </w:pPr>
    <w:rPr>
      <w:rFonts w:ascii="Arial" w:hAnsi="Arial"/>
    </w:rPr>
  </w:style>
  <w:style w:type="paragraph" w:styleId="5">
    <w:name w:val="toc 7"/>
    <w:basedOn w:val="1"/>
    <w:next w:val="1"/>
    <w:autoRedefine/>
    <w:qFormat/>
    <w:uiPriority w:val="39"/>
    <w:pPr>
      <w:ind w:left="1260"/>
      <w:jc w:val="left"/>
    </w:pPr>
    <w:rPr>
      <w:sz w:val="18"/>
      <w:szCs w:val="18"/>
    </w:rPr>
  </w:style>
  <w:style w:type="paragraph" w:styleId="13">
    <w:name w:val="List Number 2"/>
    <w:basedOn w:val="1"/>
    <w:autoRedefine/>
    <w:qFormat/>
    <w:uiPriority w:val="0"/>
    <w:pPr>
      <w:numPr>
        <w:ilvl w:val="0"/>
        <w:numId w:val="2"/>
      </w:numPr>
      <w:tabs>
        <w:tab w:val="left" w:pos="567"/>
      </w:tabs>
      <w:adjustRightInd w:val="0"/>
      <w:spacing w:line="300" w:lineRule="auto"/>
      <w:textAlignment w:val="baseline"/>
    </w:pPr>
    <w:rPr>
      <w:kern w:val="0"/>
      <w:sz w:val="28"/>
      <w:szCs w:val="20"/>
    </w:rPr>
  </w:style>
  <w:style w:type="paragraph" w:styleId="14">
    <w:name w:val="Normal Indent"/>
    <w:basedOn w:val="1"/>
    <w:autoRedefine/>
    <w:qFormat/>
    <w:uiPriority w:val="0"/>
    <w:pPr>
      <w:adjustRightInd w:val="0"/>
      <w:spacing w:line="360" w:lineRule="atLeast"/>
      <w:ind w:firstLine="482"/>
      <w:textAlignment w:val="baseline"/>
    </w:pPr>
    <w:rPr>
      <w:kern w:val="0"/>
      <w:sz w:val="24"/>
      <w:szCs w:val="20"/>
    </w:rPr>
  </w:style>
  <w:style w:type="paragraph" w:styleId="15">
    <w:name w:val="annotation text"/>
    <w:basedOn w:val="1"/>
    <w:link w:val="58"/>
    <w:autoRedefine/>
    <w:qFormat/>
    <w:uiPriority w:val="0"/>
    <w:pPr>
      <w:jc w:val="left"/>
    </w:pPr>
  </w:style>
  <w:style w:type="paragraph" w:styleId="16">
    <w:name w:val="Body Text"/>
    <w:basedOn w:val="1"/>
    <w:next w:val="1"/>
    <w:autoRedefine/>
    <w:semiHidden/>
    <w:qFormat/>
    <w:uiPriority w:val="0"/>
    <w:pPr>
      <w:spacing w:after="120"/>
    </w:pPr>
  </w:style>
  <w:style w:type="paragraph" w:styleId="17">
    <w:name w:val="toc 3"/>
    <w:basedOn w:val="1"/>
    <w:next w:val="1"/>
    <w:autoRedefine/>
    <w:qFormat/>
    <w:uiPriority w:val="39"/>
    <w:pPr>
      <w:tabs>
        <w:tab w:val="right" w:leader="dot" w:pos="9288"/>
      </w:tabs>
      <w:ind w:left="400" w:leftChars="400"/>
    </w:pPr>
    <w:rPr>
      <w:rFonts w:ascii="宋体"/>
    </w:rPr>
  </w:style>
  <w:style w:type="paragraph" w:styleId="18">
    <w:name w:val="Plain Text"/>
    <w:basedOn w:val="1"/>
    <w:next w:val="1"/>
    <w:link w:val="59"/>
    <w:autoRedefine/>
    <w:qFormat/>
    <w:uiPriority w:val="99"/>
    <w:rPr>
      <w:rFonts w:ascii="宋体"/>
      <w:color w:val="000000"/>
      <w:szCs w:val="20"/>
      <w:u w:val="none" w:color="000000"/>
    </w:rPr>
  </w:style>
  <w:style w:type="paragraph" w:styleId="19">
    <w:name w:val="Date"/>
    <w:basedOn w:val="1"/>
    <w:next w:val="1"/>
    <w:link w:val="60"/>
    <w:autoRedefine/>
    <w:qFormat/>
    <w:uiPriority w:val="0"/>
    <w:rPr>
      <w:rFonts w:ascii="Arial" w:hAnsi="Arial" w:eastAsia="仿宋_GB2312"/>
      <w:color w:val="000000"/>
      <w:sz w:val="32"/>
      <w:szCs w:val="20"/>
      <w:u w:val="none" w:color="000000"/>
    </w:rPr>
  </w:style>
  <w:style w:type="paragraph" w:styleId="20">
    <w:name w:val="Body Text Indent 2"/>
    <w:basedOn w:val="1"/>
    <w:link w:val="61"/>
    <w:autoRedefine/>
    <w:qFormat/>
    <w:uiPriority w:val="0"/>
    <w:pPr>
      <w:spacing w:after="120" w:line="480" w:lineRule="auto"/>
      <w:ind w:left="420" w:leftChars="200"/>
    </w:pPr>
  </w:style>
  <w:style w:type="paragraph" w:styleId="21">
    <w:name w:val="endnote text"/>
    <w:basedOn w:val="1"/>
    <w:autoRedefine/>
    <w:qFormat/>
    <w:uiPriority w:val="99"/>
    <w:pPr>
      <w:snapToGrid w:val="0"/>
    </w:pPr>
    <w:rPr>
      <w:rFonts w:ascii="仿宋" w:hAnsi="仿宋"/>
    </w:rPr>
  </w:style>
  <w:style w:type="paragraph" w:styleId="22">
    <w:name w:val="Balloon Text"/>
    <w:basedOn w:val="1"/>
    <w:link w:val="62"/>
    <w:autoRedefine/>
    <w:qFormat/>
    <w:uiPriority w:val="0"/>
    <w:rPr>
      <w:sz w:val="18"/>
      <w:szCs w:val="18"/>
    </w:rPr>
  </w:style>
  <w:style w:type="paragraph" w:styleId="23">
    <w:name w:val="footer"/>
    <w:basedOn w:val="1"/>
    <w:link w:val="63"/>
    <w:autoRedefine/>
    <w:qFormat/>
    <w:uiPriority w:val="0"/>
    <w:pPr>
      <w:tabs>
        <w:tab w:val="center" w:pos="4153"/>
        <w:tab w:val="right" w:pos="8306"/>
      </w:tabs>
      <w:snapToGrid w:val="0"/>
      <w:jc w:val="left"/>
    </w:pPr>
    <w:rPr>
      <w:sz w:val="18"/>
      <w:szCs w:val="18"/>
    </w:rPr>
  </w:style>
  <w:style w:type="paragraph" w:styleId="24">
    <w:name w:val="header"/>
    <w:basedOn w:val="1"/>
    <w:link w:val="64"/>
    <w:autoRedefine/>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autoRedefine/>
    <w:qFormat/>
    <w:uiPriority w:val="39"/>
  </w:style>
  <w:style w:type="paragraph" w:styleId="26">
    <w:name w:val="Subtitle"/>
    <w:basedOn w:val="1"/>
    <w:next w:val="1"/>
    <w:autoRedefine/>
    <w:qFormat/>
    <w:uiPriority w:val="0"/>
    <w:pPr>
      <w:numPr>
        <w:ilvl w:val="0"/>
        <w:numId w:val="3"/>
      </w:numPr>
      <w:spacing w:line="360" w:lineRule="auto"/>
      <w:jc w:val="left"/>
      <w:outlineLvl w:val="1"/>
    </w:pPr>
    <w:rPr>
      <w:rFonts w:ascii="Calibri Light" w:hAnsi="Calibri Light" w:cs="Times New Roman"/>
      <w:bCs/>
      <w:kern w:val="28"/>
      <w:szCs w:val="32"/>
    </w:rPr>
  </w:style>
  <w:style w:type="paragraph" w:styleId="27">
    <w:name w:val="List"/>
    <w:basedOn w:val="1"/>
    <w:autoRedefine/>
    <w:qFormat/>
    <w:uiPriority w:val="0"/>
    <w:pPr>
      <w:widowControl w:val="0"/>
      <w:spacing w:line="240" w:lineRule="auto"/>
      <w:ind w:left="420" w:hanging="420"/>
      <w:textAlignment w:val="auto"/>
    </w:pPr>
    <w:rPr>
      <w:rFonts w:ascii="Arial" w:hAnsi="Arial" w:eastAsia="楷体_GB2312"/>
      <w:color w:val="auto"/>
      <w:kern w:val="2"/>
      <w:sz w:val="28"/>
      <w:u w:val="none" w:color="auto"/>
    </w:rPr>
  </w:style>
  <w:style w:type="paragraph" w:styleId="28">
    <w:name w:val="toc 2"/>
    <w:basedOn w:val="1"/>
    <w:next w:val="1"/>
    <w:autoRedefine/>
    <w:qFormat/>
    <w:uiPriority w:val="39"/>
    <w:pPr>
      <w:ind w:left="200" w:leftChars="200"/>
    </w:pPr>
  </w:style>
  <w:style w:type="paragraph" w:styleId="29">
    <w:name w:val="Normal (Web)"/>
    <w:basedOn w:val="1"/>
    <w:next w:val="30"/>
    <w:autoRedefine/>
    <w:qFormat/>
    <w:uiPriority w:val="0"/>
    <w:pPr>
      <w:widowControl/>
      <w:spacing w:before="100" w:beforeAutospacing="1" w:after="100" w:afterAutospacing="1"/>
      <w:jc w:val="left"/>
    </w:pPr>
    <w:rPr>
      <w:rFonts w:ascii="宋体" w:hAnsi="宋体" w:cs="宋体"/>
      <w:kern w:val="0"/>
      <w:sz w:val="24"/>
    </w:rPr>
  </w:style>
  <w:style w:type="paragraph" w:customStyle="1" w:styleId="30">
    <w:name w:val="正文文字 8"/>
    <w:basedOn w:val="1"/>
    <w:next w:val="1"/>
    <w:autoRedefine/>
    <w:qFormat/>
    <w:uiPriority w:val="0"/>
    <w:pPr>
      <w:ind w:left="240"/>
    </w:pPr>
    <w:rPr>
      <w:sz w:val="16"/>
    </w:rPr>
  </w:style>
  <w:style w:type="paragraph" w:styleId="31">
    <w:name w:val="index 1"/>
    <w:basedOn w:val="1"/>
    <w:next w:val="1"/>
    <w:autoRedefine/>
    <w:qFormat/>
    <w:uiPriority w:val="0"/>
    <w:pPr>
      <w:jc w:val="center"/>
    </w:pPr>
    <w:rPr>
      <w:rFonts w:ascii="Arial" w:hAnsi="Arial" w:eastAsia="Arial" w:cs="Arial"/>
      <w:b/>
      <w:bCs/>
      <w:sz w:val="28"/>
    </w:rPr>
  </w:style>
  <w:style w:type="paragraph" w:styleId="32">
    <w:name w:val="Title"/>
    <w:basedOn w:val="1"/>
    <w:next w:val="1"/>
    <w:autoRedefine/>
    <w:qFormat/>
    <w:uiPriority w:val="0"/>
    <w:pPr>
      <w:numPr>
        <w:ilvl w:val="0"/>
        <w:numId w:val="4"/>
      </w:numPr>
      <w:spacing w:line="360" w:lineRule="auto"/>
      <w:jc w:val="left"/>
      <w:outlineLvl w:val="0"/>
    </w:pPr>
    <w:rPr>
      <w:rFonts w:ascii="Cambria" w:hAnsi="Cambria" w:cs="Times New Roman"/>
      <w:b/>
      <w:bCs/>
      <w:sz w:val="28"/>
      <w:szCs w:val="32"/>
    </w:rPr>
  </w:style>
  <w:style w:type="paragraph" w:styleId="33">
    <w:name w:val="annotation subject"/>
    <w:basedOn w:val="15"/>
    <w:next w:val="15"/>
    <w:link w:val="65"/>
    <w:autoRedefine/>
    <w:qFormat/>
    <w:uiPriority w:val="0"/>
    <w:rPr>
      <w:b/>
      <w:bCs/>
    </w:rPr>
  </w:style>
  <w:style w:type="table" w:styleId="35">
    <w:name w:val="Table Grid"/>
    <w:basedOn w:val="3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Strong"/>
    <w:autoRedefine/>
    <w:qFormat/>
    <w:uiPriority w:val="0"/>
    <w:rPr>
      <w:b/>
    </w:rPr>
  </w:style>
  <w:style w:type="character" w:styleId="38">
    <w:name w:val="page number"/>
    <w:autoRedefine/>
    <w:qFormat/>
    <w:uiPriority w:val="0"/>
  </w:style>
  <w:style w:type="character" w:styleId="39">
    <w:name w:val="FollowedHyperlink"/>
    <w:autoRedefine/>
    <w:qFormat/>
    <w:uiPriority w:val="0"/>
    <w:rPr>
      <w:color w:val="333333"/>
      <w:u w:val="none"/>
    </w:rPr>
  </w:style>
  <w:style w:type="character" w:styleId="40">
    <w:name w:val="Emphasis"/>
    <w:autoRedefine/>
    <w:qFormat/>
    <w:uiPriority w:val="20"/>
    <w:rPr>
      <w:i/>
      <w:iCs/>
    </w:rPr>
  </w:style>
  <w:style w:type="character" w:styleId="41">
    <w:name w:val="HTML Definition"/>
    <w:autoRedefine/>
    <w:qFormat/>
    <w:uiPriority w:val="0"/>
  </w:style>
  <w:style w:type="character" w:styleId="42">
    <w:name w:val="HTML Typewriter"/>
    <w:autoRedefine/>
    <w:qFormat/>
    <w:uiPriority w:val="0"/>
    <w:rPr>
      <w:rFonts w:ascii="monospace" w:hAnsi="monospace" w:eastAsia="monospace" w:cs="monospace"/>
      <w:sz w:val="20"/>
    </w:rPr>
  </w:style>
  <w:style w:type="character" w:styleId="43">
    <w:name w:val="HTML Acronym"/>
    <w:autoRedefine/>
    <w:qFormat/>
    <w:uiPriority w:val="0"/>
  </w:style>
  <w:style w:type="character" w:styleId="44">
    <w:name w:val="HTML Variable"/>
    <w:autoRedefine/>
    <w:qFormat/>
    <w:uiPriority w:val="0"/>
  </w:style>
  <w:style w:type="character" w:styleId="45">
    <w:name w:val="Hyperlink"/>
    <w:autoRedefine/>
    <w:qFormat/>
    <w:uiPriority w:val="99"/>
    <w:rPr>
      <w:color w:val="333333"/>
      <w:u w:val="none"/>
    </w:rPr>
  </w:style>
  <w:style w:type="character" w:styleId="46">
    <w:name w:val="HTML Code"/>
    <w:autoRedefine/>
    <w:qFormat/>
    <w:uiPriority w:val="0"/>
    <w:rPr>
      <w:rFonts w:hint="default" w:ascii="monospace" w:hAnsi="monospace" w:eastAsia="monospace" w:cs="monospace"/>
      <w:sz w:val="20"/>
    </w:rPr>
  </w:style>
  <w:style w:type="character" w:styleId="47">
    <w:name w:val="annotation reference"/>
    <w:autoRedefine/>
    <w:qFormat/>
    <w:uiPriority w:val="0"/>
    <w:rPr>
      <w:sz w:val="21"/>
      <w:szCs w:val="21"/>
    </w:rPr>
  </w:style>
  <w:style w:type="character" w:styleId="48">
    <w:name w:val="HTML Cite"/>
    <w:autoRedefine/>
    <w:qFormat/>
    <w:uiPriority w:val="0"/>
  </w:style>
  <w:style w:type="character" w:styleId="49">
    <w:name w:val="HTML Keyboard"/>
    <w:autoRedefine/>
    <w:qFormat/>
    <w:uiPriority w:val="0"/>
    <w:rPr>
      <w:rFonts w:hint="default" w:ascii="monospace" w:hAnsi="monospace" w:eastAsia="monospace" w:cs="monospace"/>
      <w:sz w:val="20"/>
    </w:rPr>
  </w:style>
  <w:style w:type="character" w:styleId="50">
    <w:name w:val="HTML Sample"/>
    <w:autoRedefine/>
    <w:qFormat/>
    <w:uiPriority w:val="0"/>
    <w:rPr>
      <w:rFonts w:hint="default" w:ascii="monospace" w:hAnsi="monospace" w:eastAsia="monospace" w:cs="monospace"/>
    </w:rPr>
  </w:style>
  <w:style w:type="character" w:customStyle="1" w:styleId="51">
    <w:name w:val="正文文本缩进 字符"/>
    <w:link w:val="3"/>
    <w:autoRedefine/>
    <w:qFormat/>
    <w:uiPriority w:val="0"/>
    <w:rPr>
      <w:kern w:val="2"/>
      <w:sz w:val="21"/>
      <w:szCs w:val="24"/>
    </w:rPr>
  </w:style>
  <w:style w:type="character" w:customStyle="1" w:styleId="52">
    <w:name w:val="正文文本首行缩进 2 字符"/>
    <w:link w:val="2"/>
    <w:autoRedefine/>
    <w:qFormat/>
    <w:uiPriority w:val="0"/>
  </w:style>
  <w:style w:type="character" w:customStyle="1" w:styleId="53">
    <w:name w:val="标题 1 字符"/>
    <w:link w:val="6"/>
    <w:autoRedefine/>
    <w:qFormat/>
    <w:uiPriority w:val="0"/>
    <w:rPr>
      <w:b/>
      <w:bCs/>
      <w:kern w:val="44"/>
      <w:sz w:val="44"/>
      <w:szCs w:val="44"/>
    </w:rPr>
  </w:style>
  <w:style w:type="character" w:customStyle="1" w:styleId="54">
    <w:name w:val="标题 4 字符"/>
    <w:link w:val="9"/>
    <w:autoRedefine/>
    <w:qFormat/>
    <w:locked/>
    <w:uiPriority w:val="0"/>
    <w:rPr>
      <w:rFonts w:ascii="Arial" w:hAnsi="Arial" w:eastAsia="黑体"/>
      <w:b/>
      <w:bCs/>
      <w:color w:val="000000"/>
      <w:sz w:val="28"/>
      <w:szCs w:val="28"/>
      <w:u w:val="none" w:color="000000"/>
      <w:lang w:val="en-US" w:eastAsia="zh-CN" w:bidi="ar-SA"/>
    </w:rPr>
  </w:style>
  <w:style w:type="character" w:customStyle="1" w:styleId="55">
    <w:name w:val="标题 5 字符"/>
    <w:link w:val="10"/>
    <w:autoRedefine/>
    <w:semiHidden/>
    <w:qFormat/>
    <w:uiPriority w:val="0"/>
    <w:rPr>
      <w:b/>
      <w:bCs/>
      <w:kern w:val="2"/>
      <w:sz w:val="28"/>
      <w:szCs w:val="28"/>
    </w:rPr>
  </w:style>
  <w:style w:type="character" w:customStyle="1" w:styleId="56">
    <w:name w:val="标题 6 字符"/>
    <w:link w:val="11"/>
    <w:autoRedefine/>
    <w:semiHidden/>
    <w:qFormat/>
    <w:uiPriority w:val="0"/>
    <w:rPr>
      <w:rFonts w:ascii="Cambria" w:hAnsi="Cambria" w:eastAsia="宋体" w:cs="Times New Roman"/>
      <w:b/>
      <w:bCs/>
      <w:kern w:val="2"/>
      <w:sz w:val="24"/>
      <w:szCs w:val="24"/>
    </w:rPr>
  </w:style>
  <w:style w:type="character" w:customStyle="1" w:styleId="57">
    <w:name w:val="标题 7 字符"/>
    <w:link w:val="12"/>
    <w:autoRedefine/>
    <w:semiHidden/>
    <w:qFormat/>
    <w:uiPriority w:val="0"/>
    <w:rPr>
      <w:b/>
      <w:bCs/>
      <w:kern w:val="2"/>
      <w:sz w:val="24"/>
      <w:szCs w:val="24"/>
    </w:rPr>
  </w:style>
  <w:style w:type="character" w:customStyle="1" w:styleId="58">
    <w:name w:val="批注文字 字符"/>
    <w:link w:val="15"/>
    <w:autoRedefine/>
    <w:qFormat/>
    <w:uiPriority w:val="0"/>
    <w:rPr>
      <w:kern w:val="2"/>
      <w:sz w:val="21"/>
      <w:szCs w:val="24"/>
    </w:rPr>
  </w:style>
  <w:style w:type="character" w:customStyle="1" w:styleId="59">
    <w:name w:val="纯文本 字符"/>
    <w:link w:val="18"/>
    <w:autoRedefine/>
    <w:qFormat/>
    <w:uiPriority w:val="99"/>
    <w:rPr>
      <w:rFonts w:ascii="宋体" w:eastAsia="宋体"/>
      <w:color w:val="000000"/>
      <w:kern w:val="2"/>
      <w:sz w:val="21"/>
      <w:u w:val="none" w:color="000000"/>
      <w:lang w:val="en-US" w:eastAsia="zh-CN" w:bidi="ar-SA"/>
    </w:rPr>
  </w:style>
  <w:style w:type="character" w:customStyle="1" w:styleId="60">
    <w:name w:val="日期 字符"/>
    <w:link w:val="19"/>
    <w:autoRedefine/>
    <w:qFormat/>
    <w:uiPriority w:val="0"/>
    <w:rPr>
      <w:rFonts w:ascii="Arial" w:hAnsi="Arial" w:eastAsia="仿宋_GB2312"/>
      <w:color w:val="000000"/>
      <w:kern w:val="2"/>
      <w:sz w:val="32"/>
      <w:u w:val="none" w:color="000000"/>
    </w:rPr>
  </w:style>
  <w:style w:type="character" w:customStyle="1" w:styleId="61">
    <w:name w:val="正文文本缩进 2 字符"/>
    <w:link w:val="20"/>
    <w:autoRedefine/>
    <w:qFormat/>
    <w:uiPriority w:val="0"/>
    <w:rPr>
      <w:kern w:val="2"/>
      <w:sz w:val="21"/>
      <w:szCs w:val="24"/>
    </w:rPr>
  </w:style>
  <w:style w:type="character" w:customStyle="1" w:styleId="62">
    <w:name w:val="批注框文本 字符"/>
    <w:link w:val="22"/>
    <w:autoRedefine/>
    <w:qFormat/>
    <w:uiPriority w:val="0"/>
    <w:rPr>
      <w:kern w:val="2"/>
      <w:sz w:val="18"/>
      <w:szCs w:val="18"/>
    </w:rPr>
  </w:style>
  <w:style w:type="character" w:customStyle="1" w:styleId="63">
    <w:name w:val="页脚 字符"/>
    <w:link w:val="23"/>
    <w:autoRedefine/>
    <w:qFormat/>
    <w:locked/>
    <w:uiPriority w:val="0"/>
    <w:rPr>
      <w:kern w:val="2"/>
      <w:sz w:val="18"/>
      <w:szCs w:val="18"/>
    </w:rPr>
  </w:style>
  <w:style w:type="character" w:customStyle="1" w:styleId="64">
    <w:name w:val="页眉 字符"/>
    <w:link w:val="24"/>
    <w:autoRedefine/>
    <w:qFormat/>
    <w:locked/>
    <w:uiPriority w:val="0"/>
    <w:rPr>
      <w:kern w:val="2"/>
      <w:sz w:val="18"/>
      <w:szCs w:val="18"/>
    </w:rPr>
  </w:style>
  <w:style w:type="character" w:customStyle="1" w:styleId="65">
    <w:name w:val="批注主题 字符"/>
    <w:link w:val="33"/>
    <w:autoRedefine/>
    <w:qFormat/>
    <w:uiPriority w:val="0"/>
    <w:rPr>
      <w:b/>
      <w:bCs/>
      <w:kern w:val="2"/>
      <w:sz w:val="21"/>
      <w:szCs w:val="24"/>
    </w:rPr>
  </w:style>
  <w:style w:type="character" w:customStyle="1" w:styleId="66">
    <w:name w:val="font121"/>
    <w:autoRedefine/>
    <w:qFormat/>
    <w:uiPriority w:val="0"/>
    <w:rPr>
      <w:rFonts w:hint="eastAsia" w:ascii="宋体" w:hAnsi="宋体" w:eastAsia="宋体" w:cs="宋体"/>
      <w:color w:val="000000"/>
      <w:sz w:val="24"/>
      <w:szCs w:val="24"/>
      <w:u w:val="none"/>
    </w:rPr>
  </w:style>
  <w:style w:type="character" w:customStyle="1" w:styleId="67">
    <w:name w:val="font141"/>
    <w:autoRedefine/>
    <w:qFormat/>
    <w:uiPriority w:val="0"/>
    <w:rPr>
      <w:rFonts w:ascii="Arial" w:hAnsi="Arial" w:cs="Arial"/>
      <w:color w:val="000000"/>
      <w:sz w:val="24"/>
      <w:szCs w:val="24"/>
      <w:u w:val="none"/>
    </w:rPr>
  </w:style>
  <w:style w:type="character" w:customStyle="1" w:styleId="68">
    <w:name w:val="_37aak"/>
    <w:autoRedefine/>
    <w:qFormat/>
    <w:uiPriority w:val="0"/>
  </w:style>
  <w:style w:type="character" w:customStyle="1" w:styleId="69">
    <w:name w:val="图表 Char"/>
    <w:link w:val="70"/>
    <w:autoRedefine/>
    <w:qFormat/>
    <w:uiPriority w:val="0"/>
    <w:rPr>
      <w:kern w:val="2"/>
      <w:sz w:val="21"/>
      <w:szCs w:val="21"/>
    </w:rPr>
  </w:style>
  <w:style w:type="paragraph" w:customStyle="1" w:styleId="70">
    <w:name w:val="图表"/>
    <w:basedOn w:val="1"/>
    <w:next w:val="1"/>
    <w:link w:val="69"/>
    <w:autoRedefine/>
    <w:qFormat/>
    <w:uiPriority w:val="0"/>
    <w:pPr>
      <w:jc w:val="center"/>
    </w:pPr>
    <w:rPr>
      <w:szCs w:val="21"/>
    </w:rPr>
  </w:style>
  <w:style w:type="character" w:customStyle="1" w:styleId="71">
    <w:name w:val="font01"/>
    <w:basedOn w:val="36"/>
    <w:autoRedefine/>
    <w:qFormat/>
    <w:uiPriority w:val="0"/>
    <w:rPr>
      <w:rFonts w:hint="eastAsia" w:ascii="宋体" w:hAnsi="宋体" w:eastAsia="宋体" w:cs="宋体"/>
      <w:color w:val="000000"/>
      <w:sz w:val="22"/>
      <w:szCs w:val="22"/>
      <w:u w:val="none"/>
    </w:rPr>
  </w:style>
  <w:style w:type="character" w:customStyle="1" w:styleId="72">
    <w:name w:val="hover4"/>
    <w:autoRedefine/>
    <w:qFormat/>
    <w:uiPriority w:val="0"/>
    <w:rPr>
      <w:color w:val="2590EB"/>
      <w:shd w:val="clear" w:color="auto" w:fill="E9F4FD"/>
    </w:rPr>
  </w:style>
  <w:style w:type="character" w:customStyle="1" w:styleId="73">
    <w:name w:val="font101"/>
    <w:autoRedefine/>
    <w:qFormat/>
    <w:uiPriority w:val="0"/>
    <w:rPr>
      <w:rFonts w:hint="eastAsia" w:ascii="宋体" w:hAnsi="宋体" w:eastAsia="宋体" w:cs="宋体"/>
      <w:color w:val="000000"/>
      <w:sz w:val="18"/>
      <w:szCs w:val="18"/>
      <w:u w:val="none"/>
    </w:rPr>
  </w:style>
  <w:style w:type="character" w:customStyle="1" w:styleId="74">
    <w:name w:val="font161"/>
    <w:autoRedefine/>
    <w:qFormat/>
    <w:uiPriority w:val="0"/>
    <w:rPr>
      <w:rFonts w:hint="eastAsia" w:ascii="宋体" w:hAnsi="宋体" w:eastAsia="宋体" w:cs="宋体"/>
      <w:b/>
      <w:bCs/>
      <w:color w:val="333333"/>
      <w:sz w:val="27"/>
      <w:szCs w:val="27"/>
      <w:u w:val="none"/>
    </w:rPr>
  </w:style>
  <w:style w:type="character" w:customStyle="1" w:styleId="75">
    <w:name w:val="first-child"/>
    <w:autoRedefine/>
    <w:qFormat/>
    <w:uiPriority w:val="0"/>
  </w:style>
  <w:style w:type="character" w:customStyle="1" w:styleId="76">
    <w:name w:val="【正文】 Char"/>
    <w:link w:val="77"/>
    <w:autoRedefine/>
    <w:qFormat/>
    <w:uiPriority w:val="0"/>
    <w:rPr>
      <w:rFonts w:cs="DokChampa"/>
      <w:kern w:val="2"/>
      <w:sz w:val="24"/>
      <w:szCs w:val="22"/>
    </w:rPr>
  </w:style>
  <w:style w:type="paragraph" w:customStyle="1" w:styleId="77">
    <w:name w:val="【正文】"/>
    <w:basedOn w:val="1"/>
    <w:link w:val="76"/>
    <w:autoRedefine/>
    <w:qFormat/>
    <w:uiPriority w:val="0"/>
    <w:pPr>
      <w:spacing w:line="360" w:lineRule="auto"/>
      <w:ind w:firstLine="480" w:firstLineChars="200"/>
    </w:pPr>
    <w:rPr>
      <w:sz w:val="24"/>
      <w:szCs w:val="22"/>
    </w:rPr>
  </w:style>
  <w:style w:type="character" w:customStyle="1" w:styleId="78">
    <w:name w:val="font131"/>
    <w:autoRedefine/>
    <w:qFormat/>
    <w:uiPriority w:val="0"/>
    <w:rPr>
      <w:rFonts w:ascii="仿宋" w:hAnsi="仿宋" w:eastAsia="仿宋" w:cs="仿宋"/>
      <w:color w:val="000000"/>
      <w:sz w:val="24"/>
      <w:szCs w:val="24"/>
      <w:u w:val="none"/>
    </w:rPr>
  </w:style>
  <w:style w:type="character" w:customStyle="1" w:styleId="79">
    <w:name w:val="font181"/>
    <w:autoRedefine/>
    <w:qFormat/>
    <w:uiPriority w:val="0"/>
    <w:rPr>
      <w:rFonts w:hint="eastAsia" w:ascii="宋体" w:hAnsi="宋体" w:eastAsia="宋体" w:cs="宋体"/>
      <w:color w:val="1A66B3"/>
      <w:sz w:val="18"/>
      <w:szCs w:val="18"/>
      <w:u w:val="none"/>
    </w:rPr>
  </w:style>
  <w:style w:type="character" w:customStyle="1" w:styleId="80">
    <w:name w:val="hover3"/>
    <w:autoRedefine/>
    <w:qFormat/>
    <w:uiPriority w:val="0"/>
  </w:style>
  <w:style w:type="character" w:customStyle="1" w:styleId="81">
    <w:name w:val="font112"/>
    <w:autoRedefine/>
    <w:qFormat/>
    <w:uiPriority w:val="0"/>
    <w:rPr>
      <w:rFonts w:ascii="Verdana" w:hAnsi="Verdana" w:cs="Verdana"/>
      <w:color w:val="000000"/>
      <w:sz w:val="18"/>
      <w:szCs w:val="18"/>
      <w:u w:val="none"/>
    </w:rPr>
  </w:style>
  <w:style w:type="character" w:customStyle="1" w:styleId="82">
    <w:name w:val="font81"/>
    <w:autoRedefine/>
    <w:qFormat/>
    <w:uiPriority w:val="0"/>
    <w:rPr>
      <w:rFonts w:hint="default" w:ascii="Verdana" w:hAnsi="Verdana" w:cs="Verdana"/>
      <w:color w:val="000000"/>
      <w:sz w:val="18"/>
      <w:szCs w:val="18"/>
      <w:u w:val="none"/>
    </w:rPr>
  </w:style>
  <w:style w:type="character" w:customStyle="1" w:styleId="83">
    <w:name w:val="hover"/>
    <w:autoRedefine/>
    <w:qFormat/>
    <w:uiPriority w:val="0"/>
    <w:rPr>
      <w:color w:val="2590EB"/>
      <w:shd w:val="clear" w:color="auto" w:fill="E9F4FD"/>
    </w:rPr>
  </w:style>
  <w:style w:type="character" w:customStyle="1" w:styleId="84">
    <w:name w:val="font41"/>
    <w:autoRedefine/>
    <w:qFormat/>
    <w:uiPriority w:val="0"/>
    <w:rPr>
      <w:rFonts w:hint="eastAsia" w:ascii="宋体" w:hAnsi="宋体" w:eastAsia="宋体" w:cs="宋体"/>
      <w:color w:val="000000"/>
      <w:sz w:val="22"/>
      <w:szCs w:val="22"/>
      <w:u w:val="none"/>
    </w:rPr>
  </w:style>
  <w:style w:type="character" w:customStyle="1" w:styleId="85">
    <w:name w:val="hover2"/>
    <w:autoRedefine/>
    <w:qFormat/>
    <w:uiPriority w:val="0"/>
    <w:rPr>
      <w:color w:val="2590EB"/>
    </w:rPr>
  </w:style>
  <w:style w:type="character" w:customStyle="1" w:styleId="86">
    <w:name w:val="hover1"/>
    <w:autoRedefine/>
    <w:qFormat/>
    <w:uiPriority w:val="0"/>
    <w:rPr>
      <w:color w:val="2590EB"/>
    </w:rPr>
  </w:style>
  <w:style w:type="character" w:customStyle="1" w:styleId="87">
    <w:name w:val="first-child1"/>
    <w:autoRedefine/>
    <w:qFormat/>
    <w:uiPriority w:val="0"/>
  </w:style>
  <w:style w:type="character" w:customStyle="1" w:styleId="88">
    <w:name w:val="selected"/>
    <w:autoRedefine/>
    <w:qFormat/>
    <w:uiPriority w:val="0"/>
    <w:rPr>
      <w:shd w:val="clear" w:color="auto" w:fill="B00006"/>
    </w:rPr>
  </w:style>
  <w:style w:type="character" w:customStyle="1" w:styleId="89">
    <w:name w:val="gpa"/>
    <w:autoRedefine/>
    <w:qFormat/>
    <w:uiPriority w:val="0"/>
    <w:rPr>
      <w:rFonts w:ascii="Arial" w:hAnsi="Arial" w:cs="Arial"/>
      <w:sz w:val="15"/>
      <w:szCs w:val="15"/>
    </w:rPr>
  </w:style>
  <w:style w:type="character" w:customStyle="1" w:styleId="90">
    <w:name w:val="apple-converted-space"/>
    <w:autoRedefine/>
    <w:qFormat/>
    <w:uiPriority w:val="0"/>
  </w:style>
  <w:style w:type="character" w:customStyle="1" w:styleId="91">
    <w:name w:val="列出段落 Char"/>
    <w:link w:val="92"/>
    <w:autoRedefine/>
    <w:qFormat/>
    <w:locked/>
    <w:uiPriority w:val="0"/>
    <w:rPr>
      <w:rFonts w:ascii="Calibri" w:hAnsi="Calibri" w:eastAsia="宋体"/>
      <w:kern w:val="2"/>
      <w:sz w:val="21"/>
      <w:szCs w:val="22"/>
      <w:lang w:val="en-US" w:eastAsia="zh-CN" w:bidi="ar-SA"/>
    </w:rPr>
  </w:style>
  <w:style w:type="paragraph" w:customStyle="1" w:styleId="92">
    <w:name w:val="List Paragraph1"/>
    <w:basedOn w:val="1"/>
    <w:link w:val="91"/>
    <w:autoRedefine/>
    <w:qFormat/>
    <w:uiPriority w:val="0"/>
    <w:pPr>
      <w:spacing w:line="312" w:lineRule="auto"/>
      <w:ind w:firstLine="420" w:firstLineChars="200"/>
    </w:pPr>
    <w:rPr>
      <w:rFonts w:ascii="Calibri" w:hAnsi="Calibri"/>
      <w:szCs w:val="22"/>
    </w:rPr>
  </w:style>
  <w:style w:type="character" w:customStyle="1" w:styleId="93">
    <w:name w:val="displayarti"/>
    <w:autoRedefine/>
    <w:qFormat/>
    <w:uiPriority w:val="0"/>
    <w:rPr>
      <w:color w:val="FFFFFF"/>
      <w:shd w:val="clear" w:color="auto" w:fill="A00000"/>
    </w:rPr>
  </w:style>
  <w:style w:type="character" w:customStyle="1" w:styleId="94">
    <w:name w:val="正文首行缩进 2 Char1"/>
    <w:autoRedefine/>
    <w:qFormat/>
    <w:uiPriority w:val="0"/>
  </w:style>
  <w:style w:type="character" w:customStyle="1" w:styleId="95">
    <w:name w:val="layui-this"/>
    <w:autoRedefine/>
    <w:qFormat/>
    <w:uiPriority w:val="0"/>
    <w:rPr>
      <w:bdr w:val="single" w:color="EEEEEE" w:sz="6" w:space="0"/>
      <w:shd w:val="clear" w:color="auto" w:fill="FFFFFF"/>
    </w:rPr>
  </w:style>
  <w:style w:type="character" w:customStyle="1" w:styleId="96">
    <w:name w:val="font151"/>
    <w:autoRedefine/>
    <w:qFormat/>
    <w:uiPriority w:val="0"/>
    <w:rPr>
      <w:rFonts w:hint="default" w:ascii="Verdana" w:hAnsi="Verdana" w:cs="Verdana"/>
      <w:b/>
      <w:bCs/>
      <w:color w:val="333333"/>
      <w:sz w:val="27"/>
      <w:szCs w:val="27"/>
      <w:u w:val="none"/>
    </w:rPr>
  </w:style>
  <w:style w:type="character" w:customStyle="1" w:styleId="97">
    <w:name w:val="font171"/>
    <w:autoRedefine/>
    <w:qFormat/>
    <w:uiPriority w:val="0"/>
    <w:rPr>
      <w:rFonts w:hint="eastAsia" w:ascii="宋体" w:hAnsi="宋体" w:eastAsia="宋体" w:cs="宋体"/>
      <w:color w:val="646464"/>
      <w:sz w:val="18"/>
      <w:szCs w:val="18"/>
      <w:u w:val="none"/>
    </w:rPr>
  </w:style>
  <w:style w:type="character" w:customStyle="1" w:styleId="98">
    <w:name w:val="hover7"/>
    <w:autoRedefine/>
    <w:qFormat/>
    <w:uiPriority w:val="0"/>
    <w:rPr>
      <w:color w:val="315EFB"/>
    </w:rPr>
  </w:style>
  <w:style w:type="paragraph" w:customStyle="1" w:styleId="99">
    <w:name w:val="列表2"/>
    <w:basedOn w:val="1"/>
    <w:next w:val="1"/>
    <w:autoRedefine/>
    <w:qFormat/>
    <w:uiPriority w:val="0"/>
    <w:pPr>
      <w:numPr>
        <w:ilvl w:val="0"/>
        <w:numId w:val="5"/>
      </w:numPr>
      <w:spacing w:line="200" w:lineRule="atLeast"/>
    </w:pPr>
    <w:rPr>
      <w:rFonts w:eastAsia="仿宋"/>
      <w:sz w:val="28"/>
    </w:rPr>
  </w:style>
  <w:style w:type="paragraph" w:customStyle="1" w:styleId="100">
    <w:name w:val="text-tag1"/>
    <w:basedOn w:val="1"/>
    <w:autoRedefine/>
    <w:qFormat/>
    <w:uiPriority w:val="0"/>
    <w:pPr>
      <w:widowControl/>
      <w:spacing w:before="100" w:beforeAutospacing="1" w:after="100" w:afterAutospacing="1"/>
      <w:jc w:val="left"/>
    </w:pPr>
    <w:rPr>
      <w:rFonts w:ascii="宋体" w:hAnsi="宋体" w:eastAsia="宋体" w:cs="宋体"/>
      <w:kern w:val="0"/>
      <w:sz w:val="24"/>
    </w:rPr>
  </w:style>
  <w:style w:type="paragraph" w:customStyle="1" w:styleId="101">
    <w:name w:val="标题4"/>
    <w:basedOn w:val="1"/>
    <w:autoRedefine/>
    <w:qFormat/>
    <w:uiPriority w:val="0"/>
    <w:pPr>
      <w:numPr>
        <w:ilvl w:val="0"/>
        <w:numId w:val="6"/>
      </w:numPr>
      <w:spacing w:line="360" w:lineRule="auto"/>
      <w:ind w:left="720" w:leftChars="300"/>
      <w:jc w:val="left"/>
    </w:pPr>
    <w:rPr>
      <w:rFonts w:ascii="宋体" w:hAnsi="宋体" w:cs="Times New Roman"/>
      <w:sz w:val="18"/>
      <w:szCs w:val="18"/>
    </w:rPr>
  </w:style>
  <w:style w:type="paragraph" w:customStyle="1" w:styleId="102">
    <w:name w:val="Char"/>
    <w:basedOn w:val="1"/>
    <w:next w:val="1"/>
    <w:autoRedefine/>
    <w:qFormat/>
    <w:uiPriority w:val="0"/>
    <w:pPr>
      <w:widowControl/>
      <w:spacing w:line="360" w:lineRule="auto"/>
      <w:jc w:val="left"/>
    </w:pPr>
    <w:rPr>
      <w:kern w:val="0"/>
      <w:szCs w:val="20"/>
      <w:lang w:eastAsia="en-US"/>
    </w:rPr>
  </w:style>
  <w:style w:type="paragraph" w:customStyle="1" w:styleId="103">
    <w:name w:val="样式1"/>
    <w:basedOn w:val="1"/>
    <w:autoRedefine/>
    <w:qFormat/>
    <w:uiPriority w:val="0"/>
    <w:pPr>
      <w:spacing w:line="360" w:lineRule="auto"/>
      <w:jc w:val="center"/>
    </w:pPr>
    <w:rPr>
      <w:rFonts w:ascii="Times New Roman" w:hAnsi="Times New Roman" w:cs="Times New Roman"/>
      <w:b/>
      <w:sz w:val="30"/>
      <w:szCs w:val="30"/>
    </w:rPr>
  </w:style>
  <w:style w:type="paragraph" w:customStyle="1" w:styleId="104">
    <w:name w:val=" Char Char Char Char"/>
    <w:basedOn w:val="1"/>
    <w:autoRedefine/>
    <w:qFormat/>
    <w:uiPriority w:val="0"/>
    <w:rPr>
      <w:rFonts w:ascii="Tahoma" w:hAnsi="Tahoma"/>
      <w:sz w:val="24"/>
      <w:szCs w:val="20"/>
    </w:rPr>
  </w:style>
  <w:style w:type="paragraph" w:customStyle="1" w:styleId="105">
    <w:name w:val="_Style 4"/>
    <w:basedOn w:val="1"/>
    <w:autoRedefine/>
    <w:qFormat/>
    <w:uiPriority w:val="34"/>
    <w:pPr>
      <w:adjustRightInd w:val="0"/>
      <w:ind w:firstLine="420" w:firstLineChars="200"/>
      <w:jc w:val="left"/>
      <w:textAlignment w:val="baseline"/>
    </w:pPr>
    <w:rPr>
      <w:kern w:val="0"/>
      <w:szCs w:val="20"/>
    </w:rPr>
  </w:style>
  <w:style w:type="paragraph" w:customStyle="1" w:styleId="106">
    <w:name w:val="列出段落2"/>
    <w:basedOn w:val="1"/>
    <w:autoRedefine/>
    <w:qFormat/>
    <w:uiPriority w:val="0"/>
    <w:pPr>
      <w:ind w:firstLine="420" w:firstLineChars="200"/>
    </w:pPr>
    <w:rPr>
      <w:rFonts w:ascii="Calibri" w:hAnsi="Calibri"/>
      <w:szCs w:val="22"/>
    </w:rPr>
  </w:style>
  <w:style w:type="paragraph" w:customStyle="1" w:styleId="107">
    <w:name w:val="列出段落11"/>
    <w:basedOn w:val="1"/>
    <w:autoRedefine/>
    <w:qFormat/>
    <w:uiPriority w:val="0"/>
    <w:pPr>
      <w:spacing w:after="120" w:line="360" w:lineRule="auto"/>
      <w:ind w:firstLine="420" w:firstLineChars="200"/>
    </w:pPr>
    <w:rPr>
      <w:rFonts w:ascii="Calibri" w:hAnsi="Calibri"/>
      <w:szCs w:val="22"/>
    </w:rPr>
  </w:style>
  <w:style w:type="paragraph" w:customStyle="1" w:styleId="108">
    <w:name w:val="xl25"/>
    <w:basedOn w:val="1"/>
    <w:autoRedefine/>
    <w:qFormat/>
    <w:uiPriority w:val="0"/>
    <w:pPr>
      <w:widowControl/>
      <w:spacing w:before="100" w:beforeAutospacing="1" w:after="100" w:afterAutospacing="1"/>
      <w:jc w:val="right"/>
    </w:pPr>
    <w:rPr>
      <w:rFonts w:ascii="Arial Unicode MS" w:hAnsi="Arial Unicode MS" w:eastAsia="宋体" w:cs="Arial Unicode MS"/>
      <w:color w:val="000000"/>
      <w:kern w:val="0"/>
      <w:sz w:val="18"/>
      <w:szCs w:val="18"/>
    </w:rPr>
  </w:style>
  <w:style w:type="paragraph" w:customStyle="1" w:styleId="109">
    <w:name w:val="_Style 108"/>
    <w:autoRedefine/>
    <w:unhideWhenUsed/>
    <w:qFormat/>
    <w:uiPriority w:val="99"/>
    <w:rPr>
      <w:rFonts w:ascii="Times New Roman" w:hAnsi="Times New Roman" w:eastAsia="宋体" w:cs="Times New Roman"/>
      <w:kern w:val="2"/>
      <w:sz w:val="21"/>
      <w:szCs w:val="24"/>
      <w:lang w:val="en-US" w:eastAsia="zh-CN" w:bidi="ar-SA"/>
    </w:rPr>
  </w:style>
  <w:style w:type="paragraph" w:customStyle="1" w:styleId="110">
    <w:name w:val="Table Paragraph"/>
    <w:basedOn w:val="1"/>
    <w:autoRedefine/>
    <w:qFormat/>
    <w:uiPriority w:val="1"/>
    <w:rPr>
      <w:rFonts w:ascii="宋体" w:hAnsi="宋体" w:eastAsia="宋体" w:cs="宋体"/>
      <w:lang w:val="zh-CN" w:eastAsia="zh-CN" w:bidi="zh-CN"/>
    </w:rPr>
  </w:style>
  <w:style w:type="paragraph" w:customStyle="1" w:styleId="111">
    <w:name w:val="D&amp;L"/>
    <w:basedOn w:val="24"/>
    <w:autoRedefine/>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2">
    <w:name w:val="列出段落1"/>
    <w:basedOn w:val="1"/>
    <w:autoRedefine/>
    <w:qFormat/>
    <w:uiPriority w:val="34"/>
    <w:pPr>
      <w:ind w:firstLine="420" w:firstLineChars="200"/>
    </w:pPr>
  </w:style>
  <w:style w:type="paragraph" w:customStyle="1" w:styleId="113">
    <w:name w:val="Char Char Char Char Char Char Char1 Char"/>
    <w:basedOn w:val="1"/>
    <w:autoRedefine/>
    <w:qFormat/>
    <w:uiPriority w:val="0"/>
    <w:rPr>
      <w:rFonts w:ascii="Tahoma" w:hAnsi="Tahoma"/>
      <w:sz w:val="24"/>
      <w:szCs w:val="20"/>
    </w:rPr>
  </w:style>
  <w:style w:type="paragraph" w:styleId="114">
    <w:name w:val="List Paragraph"/>
    <w:basedOn w:val="1"/>
    <w:autoRedefine/>
    <w:qFormat/>
    <w:uiPriority w:val="0"/>
    <w:pPr>
      <w:spacing w:line="360" w:lineRule="auto"/>
      <w:ind w:firstLine="420" w:firstLineChars="200"/>
    </w:pPr>
    <w:rPr>
      <w:rFonts w:ascii="宋体" w:hAnsi="宋体" w:cs="宋体"/>
      <w:sz w:val="24"/>
    </w:rPr>
  </w:style>
  <w:style w:type="paragraph" w:customStyle="1" w:styleId="115">
    <w:name w:val="List Paragraph2"/>
    <w:basedOn w:val="1"/>
    <w:autoRedefine/>
    <w:qFormat/>
    <w:uiPriority w:val="0"/>
    <w:pPr>
      <w:spacing w:line="360" w:lineRule="auto"/>
      <w:ind w:firstLine="420"/>
    </w:pPr>
    <w:rPr>
      <w:color w:val="000000"/>
      <w:sz w:val="24"/>
      <w:szCs w:val="21"/>
    </w:rPr>
  </w:style>
  <w:style w:type="paragraph" w:customStyle="1" w:styleId="116">
    <w:name w:val="（无样式）"/>
    <w:basedOn w:val="1"/>
    <w:autoRedefine/>
    <w:qFormat/>
    <w:uiPriority w:val="0"/>
    <w:pPr>
      <w:widowControl/>
      <w:numPr>
        <w:ilvl w:val="0"/>
        <w:numId w:val="7"/>
      </w:numPr>
      <w:spacing w:line="360" w:lineRule="auto"/>
      <w:ind w:firstLine="0"/>
    </w:pPr>
    <w:rPr>
      <w:sz w:val="24"/>
      <w:szCs w:val="20"/>
    </w:rPr>
  </w:style>
  <w:style w:type="paragraph" w:customStyle="1" w:styleId="117">
    <w:name w:val="正文 New"/>
    <w:autoRedefine/>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118">
    <w:name w:val="标题3-副本"/>
    <w:basedOn w:val="26"/>
    <w:autoRedefine/>
    <w:qFormat/>
    <w:uiPriority w:val="0"/>
    <w:pPr>
      <w:numPr>
        <w:ilvl w:val="0"/>
        <w:numId w:val="0"/>
      </w:numPr>
      <w:ind w:left="840"/>
    </w:pPr>
  </w:style>
  <w:style w:type="paragraph" w:customStyle="1" w:styleId="119">
    <w:name w:val="节标题"/>
    <w:basedOn w:val="1"/>
    <w:next w:val="1"/>
    <w:autoRedefine/>
    <w:qFormat/>
    <w:uiPriority w:val="0"/>
    <w:pPr>
      <w:widowControl/>
      <w:spacing w:line="289" w:lineRule="atLeast"/>
      <w:jc w:val="center"/>
      <w:textAlignment w:val="baseline"/>
    </w:pPr>
    <w:rPr>
      <w:color w:val="000000"/>
      <w:kern w:val="0"/>
      <w:sz w:val="28"/>
      <w:szCs w:val="20"/>
      <w:u w:val="none" w:color="000000"/>
    </w:rPr>
  </w:style>
  <w:style w:type="paragraph" w:customStyle="1" w:styleId="120">
    <w:name w:val="_Style 2"/>
    <w:basedOn w:val="1"/>
    <w:autoRedefine/>
    <w:qFormat/>
    <w:uiPriority w:val="0"/>
  </w:style>
  <w:style w:type="paragraph" w:customStyle="1" w:styleId="121">
    <w:name w:val="p0"/>
    <w:basedOn w:val="1"/>
    <w:autoRedefine/>
    <w:qFormat/>
    <w:uiPriority w:val="0"/>
    <w:pPr>
      <w:widowControl/>
      <w:spacing w:line="365" w:lineRule="atLeast"/>
      <w:ind w:left="1"/>
      <w:textAlignment w:val="bottom"/>
    </w:pPr>
    <w:rPr>
      <w:rFonts w:ascii="Calibri" w:hAnsi="Calibri"/>
      <w:kern w:val="0"/>
      <w:sz w:val="20"/>
      <w:szCs w:val="22"/>
    </w:rPr>
  </w:style>
  <w:style w:type="paragraph" w:customStyle="1" w:styleId="122">
    <w:name w:val="xl31"/>
    <w:basedOn w:val="1"/>
    <w:autoRedefine/>
    <w:qFormat/>
    <w:uiPriority w:val="0"/>
    <w:pPr>
      <w:widowControl/>
      <w:spacing w:before="100" w:beforeAutospacing="1" w:after="100" w:afterAutospacing="1"/>
      <w:jc w:val="center"/>
    </w:pPr>
    <w:rPr>
      <w:b/>
      <w:bCs/>
      <w:kern w:val="0"/>
      <w:sz w:val="28"/>
      <w:szCs w:val="28"/>
    </w:rPr>
  </w:style>
  <w:style w:type="paragraph" w:customStyle="1" w:styleId="123">
    <w:name w:val=" Char"/>
    <w:basedOn w:val="1"/>
    <w:autoRedefine/>
    <w:qFormat/>
    <w:uiPriority w:val="0"/>
  </w:style>
  <w:style w:type="paragraph" w:customStyle="1" w:styleId="124">
    <w:name w:val="l正文"/>
    <w:autoRedefine/>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table" w:customStyle="1" w:styleId="125">
    <w:name w:val="Table Normal"/>
    <w:autoRedefine/>
    <w:unhideWhenUsed/>
    <w:qFormat/>
    <w:uiPriority w:val="0"/>
    <w:rPr>
      <w:lang w:val="en-US" w:eastAsia="zh-CN" w:bidi="ar-SA"/>
    </w:rPr>
    <w:tblPr>
      <w:tblCellMar>
        <w:top w:w="0" w:type="dxa"/>
        <w:left w:w="0" w:type="dxa"/>
        <w:bottom w:w="0" w:type="dxa"/>
        <w:right w:w="0" w:type="dxa"/>
      </w:tblCellMar>
    </w:tblPr>
  </w:style>
  <w:style w:type="paragraph" w:customStyle="1" w:styleId="126">
    <w:name w:val="_Style 117"/>
    <w:basedOn w:val="1"/>
    <w:next w:val="1"/>
    <w:autoRedefine/>
    <w:qFormat/>
    <w:uiPriority w:val="0"/>
    <w:pPr>
      <w:pBdr>
        <w:bottom w:val="single" w:color="auto" w:sz="6" w:space="1"/>
      </w:pBdr>
      <w:jc w:val="center"/>
    </w:pPr>
    <w:rPr>
      <w:rFonts w:ascii="Arial" w:eastAsia="宋体"/>
      <w:vanish/>
      <w:sz w:val="16"/>
    </w:rPr>
  </w:style>
  <w:style w:type="paragraph" w:customStyle="1" w:styleId="127">
    <w:name w:val="_Style 118"/>
    <w:basedOn w:val="1"/>
    <w:next w:val="1"/>
    <w:autoRedefine/>
    <w:qFormat/>
    <w:uiPriority w:val="0"/>
    <w:pPr>
      <w:pBdr>
        <w:top w:val="single" w:color="auto" w:sz="6" w:space="1"/>
      </w:pBdr>
      <w:jc w:val="center"/>
    </w:pPr>
    <w:rPr>
      <w:rFonts w:ascii="Arial" w:eastAsia="宋体"/>
      <w:vanish/>
      <w:sz w:val="16"/>
    </w:rPr>
  </w:style>
  <w:style w:type="character" w:customStyle="1" w:styleId="128">
    <w:name w:val="num"/>
    <w:basedOn w:val="36"/>
    <w:autoRedefine/>
    <w:qFormat/>
    <w:uiPriority w:val="0"/>
    <w:rPr>
      <w:b/>
      <w:bCs/>
      <w:color w:val="FF7800"/>
    </w:rPr>
  </w:style>
  <w:style w:type="character" w:customStyle="1" w:styleId="129">
    <w:name w:val="a-desc"/>
    <w:basedOn w:val="36"/>
    <w:autoRedefine/>
    <w:qFormat/>
    <w:uiPriority w:val="0"/>
    <w:rPr>
      <w:color w:val="315EFB"/>
    </w:rPr>
  </w:style>
  <w:style w:type="character" w:customStyle="1" w:styleId="130">
    <w:name w:val="bg"/>
    <w:basedOn w:val="36"/>
    <w:autoRedefine/>
    <w:qFormat/>
    <w:uiPriority w:val="0"/>
    <w:rPr>
      <w:shd w:val="clear" w:color="auto" w:fill="000000"/>
    </w:rPr>
  </w:style>
  <w:style w:type="character" w:customStyle="1" w:styleId="131">
    <w:name w:val="bg1"/>
    <w:basedOn w:val="36"/>
    <w:autoRedefine/>
    <w:qFormat/>
    <w:uiPriority w:val="0"/>
    <w:rPr>
      <w:shd w:val="clear" w:color="auto" w:fill="000000"/>
    </w:rPr>
  </w:style>
  <w:style w:type="character" w:customStyle="1" w:styleId="132">
    <w:name w:val="bg2"/>
    <w:basedOn w:val="36"/>
    <w:autoRedefine/>
    <w:qFormat/>
    <w:uiPriority w:val="0"/>
    <w:rPr>
      <w:shd w:val="clear" w:color="auto" w:fill="000000"/>
    </w:rPr>
  </w:style>
  <w:style w:type="character" w:customStyle="1" w:styleId="133">
    <w:name w:val="iknow-qb-ad-sou-icon"/>
    <w:basedOn w:val="36"/>
    <w:autoRedefine/>
    <w:qFormat/>
    <w:uiPriority w:val="0"/>
  </w:style>
  <w:style w:type="character" w:customStyle="1" w:styleId="134">
    <w:name w:val="del-btn"/>
    <w:basedOn w:val="36"/>
    <w:autoRedefine/>
    <w:qFormat/>
    <w:uiPriority w:val="0"/>
  </w:style>
  <w:style w:type="character" w:customStyle="1" w:styleId="135">
    <w:name w:val="del-btn1"/>
    <w:basedOn w:val="36"/>
    <w:autoRedefine/>
    <w:qFormat/>
    <w:uiPriority w:val="0"/>
  </w:style>
  <w:style w:type="character" w:customStyle="1" w:styleId="136">
    <w:name w:val="del-btn2"/>
    <w:basedOn w:val="36"/>
    <w:autoRedefine/>
    <w:qFormat/>
    <w:uiPriority w:val="0"/>
  </w:style>
  <w:style w:type="character" w:customStyle="1" w:styleId="137">
    <w:name w:val="answer-title"/>
    <w:basedOn w:val="36"/>
    <w:autoRedefine/>
    <w:qFormat/>
    <w:uiPriority w:val="0"/>
  </w:style>
  <w:style w:type="character" w:customStyle="1" w:styleId="138">
    <w:name w:val="new-icon2"/>
    <w:basedOn w:val="36"/>
    <w:autoRedefine/>
    <w:qFormat/>
    <w:uiPriority w:val="0"/>
  </w:style>
  <w:style w:type="character" w:customStyle="1" w:styleId="139">
    <w:name w:val="new-icon3"/>
    <w:basedOn w:val="36"/>
    <w:autoRedefine/>
    <w:qFormat/>
    <w:uiPriority w:val="0"/>
  </w:style>
  <w:style w:type="character" w:customStyle="1" w:styleId="140">
    <w:name w:val="green"/>
    <w:basedOn w:val="36"/>
    <w:autoRedefine/>
    <w:qFormat/>
    <w:uiPriority w:val="0"/>
    <w:rPr>
      <w:color w:val="3B6FFF"/>
    </w:rPr>
  </w:style>
  <w:style w:type="character" w:customStyle="1" w:styleId="141">
    <w:name w:val="green1"/>
    <w:basedOn w:val="36"/>
    <w:autoRedefine/>
    <w:qFormat/>
    <w:uiPriority w:val="0"/>
    <w:rPr>
      <w:color w:val="3B6FFF"/>
    </w:rPr>
  </w:style>
  <w:style w:type="character" w:customStyle="1" w:styleId="142">
    <w:name w:val="green2"/>
    <w:basedOn w:val="36"/>
    <w:autoRedefine/>
    <w:qFormat/>
    <w:uiPriority w:val="0"/>
    <w:rPr>
      <w:color w:val="4DC86F"/>
    </w:rPr>
  </w:style>
  <w:style w:type="character" w:customStyle="1" w:styleId="143">
    <w:name w:val="green3"/>
    <w:basedOn w:val="36"/>
    <w:autoRedefine/>
    <w:qFormat/>
    <w:uiPriority w:val="0"/>
    <w:rPr>
      <w:color w:val="4DC86F"/>
    </w:rPr>
  </w:style>
  <w:style w:type="character" w:customStyle="1" w:styleId="144">
    <w:name w:val="answer-title2"/>
    <w:basedOn w:val="36"/>
    <w:autoRedefine/>
    <w:qFormat/>
    <w:uiPriority w:val="0"/>
  </w:style>
  <w:style w:type="character" w:customStyle="1" w:styleId="145">
    <w:name w:val="new-icon"/>
    <w:basedOn w:val="36"/>
    <w:autoRedefine/>
    <w:qFormat/>
    <w:uiPriority w:val="0"/>
  </w:style>
  <w:style w:type="character" w:customStyle="1" w:styleId="146">
    <w:name w:val="new-icon1"/>
    <w:basedOn w:val="36"/>
    <w:autoRedefine/>
    <w:qFormat/>
    <w:uiPriority w:val="0"/>
  </w:style>
  <w:style w:type="character" w:customStyle="1" w:styleId="147">
    <w:name w:val="font31"/>
    <w:basedOn w:val="36"/>
    <w:autoRedefine/>
    <w:qFormat/>
    <w:uiPriority w:val="0"/>
    <w:rPr>
      <w:rFonts w:hint="eastAsia" w:ascii="宋体" w:hAnsi="宋体" w:eastAsia="宋体" w:cs="宋体"/>
      <w:color w:val="000000"/>
      <w:sz w:val="21"/>
      <w:szCs w:val="21"/>
      <w:u w:val="none"/>
    </w:rPr>
  </w:style>
  <w:style w:type="character" w:customStyle="1" w:styleId="148">
    <w:name w:val="font51"/>
    <w:basedOn w:val="36"/>
    <w:autoRedefine/>
    <w:qFormat/>
    <w:uiPriority w:val="0"/>
    <w:rPr>
      <w:rFonts w:hint="default" w:ascii="Times New Roman" w:hAnsi="Times New Roman" w:cs="Times New Roman"/>
      <w:color w:val="000000"/>
      <w:sz w:val="21"/>
      <w:szCs w:val="21"/>
      <w:u w:val="none"/>
    </w:rPr>
  </w:style>
</w:styles>
</file>

<file path=word/_rels/document.xml.rels><?xml version="1.0" encoding="UTF-8" standalone="yes"?>
<Relationships xmlns="http://schemas.openxmlformats.org/package/2006/relationships"><Relationship Id="rId9" Type="http://schemas.openxmlformats.org/officeDocument/2006/relationships/header" Target="header3.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41</Pages>
  <Words>16653</Words>
  <Characters>17751</Characters>
  <Lines>358</Lines>
  <Paragraphs>100</Paragraphs>
  <TotalTime>1</TotalTime>
  <ScaleCrop>false</ScaleCrop>
  <LinksUpToDate>false</LinksUpToDate>
  <CharactersWithSpaces>21231</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2023-07-11T11:05:00Z</dcterms:created>
  <dc:creator>pzf</dc:creator>
  <cp:lastModifiedBy>好奇害死汪</cp:lastModifiedBy>
  <cp:lastPrinted>2023-12-15T01:51:00Z</cp:lastPrinted>
  <dcterms:modified xsi:type="dcterms:W3CDTF">2024-02-01T09:01:57Z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1E635EE98FC244849E5B1E42E59CA979_13</vt:lpwstr>
  </property>
</Properties>
</file>