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color w:val="auto"/>
          <w:highlight w:val="none"/>
        </w:rPr>
      </w:pPr>
      <w:bookmarkStart w:id="0" w:name="OLE_LINK1"/>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700" w:lineRule="exact"/>
        <w:jc w:val="center"/>
        <w:textAlignment w:val="auto"/>
        <w:rPr>
          <w:rFonts w:hint="default" w:eastAsia="宋体"/>
          <w:color w:val="auto"/>
          <w:sz w:val="20"/>
          <w:szCs w:val="22"/>
          <w:highlight w:val="none"/>
          <w:lang w:val="en-US" w:eastAsia="zh-CN"/>
        </w:rPr>
      </w:pPr>
      <w:r>
        <w:rPr>
          <w:rFonts w:hint="eastAsia" w:ascii="宋体" w:hAnsi="宋体" w:eastAsia="宋体" w:cs="宋体"/>
          <w:b/>
          <w:bCs/>
          <w:color w:val="auto"/>
          <w:w w:val="85"/>
          <w:sz w:val="40"/>
          <w:szCs w:val="40"/>
          <w:highlight w:val="none"/>
        </w:rPr>
        <w:t>滁州市城泊车辆服务有限公司公共停车场保洁服务项目</w:t>
      </w:r>
      <w:r>
        <w:rPr>
          <w:rFonts w:hint="eastAsia" w:ascii="宋体" w:hAnsi="宋体" w:cs="宋体"/>
          <w:b/>
          <w:bCs/>
          <w:color w:val="auto"/>
          <w:w w:val="85"/>
          <w:sz w:val="40"/>
          <w:szCs w:val="40"/>
          <w:highlight w:val="none"/>
          <w:lang w:eastAsia="zh-CN"/>
        </w:rPr>
        <w:t>（</w:t>
      </w:r>
      <w:r>
        <w:rPr>
          <w:rFonts w:hint="eastAsia" w:ascii="宋体" w:hAnsi="宋体" w:cs="宋体"/>
          <w:b/>
          <w:bCs/>
          <w:color w:val="auto"/>
          <w:w w:val="85"/>
          <w:sz w:val="40"/>
          <w:szCs w:val="40"/>
          <w:highlight w:val="none"/>
          <w:lang w:val="en-US" w:eastAsia="zh-CN"/>
        </w:rPr>
        <w:t>二次）</w:t>
      </w:r>
    </w:p>
    <w:p>
      <w:pPr>
        <w:spacing w:after="156" w:afterLines="50"/>
        <w:ind w:left="-850" w:leftChars="-405" w:right="-625"/>
        <w:jc w:val="center"/>
        <w:rPr>
          <w:rFonts w:hint="eastAsia"/>
          <w:color w:val="auto"/>
          <w:sz w:val="24"/>
          <w:highlight w:val="none"/>
        </w:rPr>
      </w:pPr>
    </w:p>
    <w:p>
      <w:pPr>
        <w:rPr>
          <w:rFonts w:hint="eastAsia" w:ascii="宋体"/>
          <w:bCs/>
          <w:color w:val="auto"/>
          <w:szCs w:val="21"/>
          <w:highlight w:val="none"/>
        </w:rPr>
      </w:pPr>
    </w:p>
    <w:p>
      <w:pPr>
        <w:rPr>
          <w:rFonts w:hint="eastAsia" w:ascii="宋体"/>
          <w:bCs/>
          <w:color w:val="auto"/>
          <w:szCs w:val="21"/>
          <w:highlight w:val="none"/>
        </w:rPr>
      </w:pPr>
    </w:p>
    <w:p>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pPr>
        <w:rPr>
          <w:rFonts w:hint="eastAsia" w:ascii="宋体" w:hAnsi="宋体"/>
          <w:b/>
          <w:color w:val="auto"/>
          <w:sz w:val="84"/>
          <w:szCs w:val="84"/>
          <w:highlight w:val="none"/>
        </w:rPr>
      </w:pPr>
    </w:p>
    <w:p>
      <w:pPr>
        <w:pStyle w:val="2"/>
        <w:rPr>
          <w:rFonts w:hint="eastAsia"/>
          <w:color w:val="auto"/>
          <w:highlight w:val="none"/>
        </w:rPr>
      </w:pPr>
    </w:p>
    <w:p>
      <w:pPr>
        <w:rPr>
          <w:rFonts w:hint="eastAsia"/>
          <w:color w:val="auto"/>
          <w:highlight w:val="none"/>
        </w:rPr>
      </w:pPr>
    </w:p>
    <w:p>
      <w:pPr>
        <w:rPr>
          <w:rFonts w:hint="eastAsia" w:ascii="宋体"/>
          <w:color w:val="auto"/>
          <w:sz w:val="28"/>
          <w:szCs w:val="28"/>
          <w:highlight w:val="none"/>
        </w:rPr>
      </w:pPr>
    </w:p>
    <w:p>
      <w:pPr>
        <w:pStyle w:val="21"/>
        <w:rPr>
          <w:rFonts w:hint="eastAsia"/>
          <w:color w:val="auto"/>
          <w:highlight w:val="none"/>
        </w:rPr>
      </w:pPr>
    </w:p>
    <w:p>
      <w:pPr>
        <w:rPr>
          <w:rFonts w:hint="eastAsia" w:ascii="宋体"/>
          <w:b/>
          <w:color w:val="auto"/>
          <w:sz w:val="32"/>
          <w:szCs w:val="32"/>
          <w:highlight w:val="none"/>
        </w:rPr>
      </w:pPr>
    </w:p>
    <w:p>
      <w:pPr>
        <w:pStyle w:val="2"/>
        <w:rPr>
          <w:rFonts w:hint="eastAsia"/>
          <w:color w:val="auto"/>
        </w:rPr>
      </w:pPr>
    </w:p>
    <w:p>
      <w:pPr>
        <w:pStyle w:val="27"/>
        <w:rPr>
          <w:rFonts w:hint="eastAsia"/>
          <w:color w:val="auto"/>
        </w:rPr>
      </w:pPr>
    </w:p>
    <w:p>
      <w:pPr>
        <w:pStyle w:val="27"/>
        <w:rPr>
          <w:rFonts w:hint="eastAsia"/>
          <w:color w:val="auto"/>
        </w:rPr>
      </w:pPr>
    </w:p>
    <w:p>
      <w:pPr>
        <w:pStyle w:val="27"/>
        <w:rPr>
          <w:rFonts w:hint="eastAsia"/>
          <w:color w:val="auto"/>
        </w:rPr>
      </w:pPr>
    </w:p>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none"/>
          <w:lang w:eastAsia="zh-CN"/>
        </w:rPr>
        <w:t>：</w:t>
      </w:r>
      <w:r>
        <w:rPr>
          <w:rFonts w:hint="eastAsia" w:ascii="宋体"/>
          <w:b/>
          <w:color w:val="auto"/>
          <w:sz w:val="32"/>
          <w:szCs w:val="32"/>
          <w:highlight w:val="none"/>
          <w:u w:val="single"/>
          <w:lang w:val="en-US" w:eastAsia="zh-CN"/>
        </w:rPr>
        <w:t xml:space="preserve">  </w:t>
      </w:r>
      <w:r>
        <w:rPr>
          <w:rFonts w:hint="eastAsia" w:ascii="宋体"/>
          <w:b/>
          <w:color w:val="auto"/>
          <w:sz w:val="32"/>
          <w:szCs w:val="32"/>
          <w:highlight w:val="none"/>
          <w:u w:val="single"/>
          <w:lang w:eastAsia="zh-CN"/>
        </w:rPr>
        <w:t>滁州市城泊车辆服务有限公司</w:t>
      </w:r>
      <w:r>
        <w:rPr>
          <w:rFonts w:hint="eastAsia" w:ascii="宋体"/>
          <w:b/>
          <w:color w:val="auto"/>
          <w:sz w:val="32"/>
          <w:szCs w:val="32"/>
          <w:highlight w:val="none"/>
          <w:u w:val="single"/>
          <w:lang w:val="en-US" w:eastAsia="zh-CN"/>
        </w:rPr>
        <w:t xml:space="preserve"> </w:t>
      </w:r>
      <w:r>
        <w:rPr>
          <w:rFonts w:hint="eastAsia" w:ascii="宋体"/>
          <w:b/>
          <w:color w:val="auto"/>
          <w:sz w:val="32"/>
          <w:szCs w:val="32"/>
          <w:highlight w:val="none"/>
        </w:rPr>
        <w:t>（盖单位章）</w:t>
      </w:r>
    </w:p>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u w:val="single"/>
        </w:rPr>
      </w:pP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w:t>
      </w:r>
      <w:r>
        <w:rPr>
          <w:rFonts w:hint="eastAsia" w:ascii="宋体"/>
          <w:b/>
          <w:color w:val="auto"/>
          <w:sz w:val="32"/>
          <w:szCs w:val="32"/>
          <w:highlight w:val="none"/>
          <w:u w:val="single"/>
          <w:lang w:eastAsia="zh-CN"/>
        </w:rPr>
        <w:t>滁州市城投工程咨询管理有限公司</w:t>
      </w:r>
      <w:r>
        <w:rPr>
          <w:rFonts w:hint="eastAsia" w:ascii="宋体"/>
          <w:b/>
          <w:color w:val="auto"/>
          <w:sz w:val="32"/>
          <w:szCs w:val="32"/>
          <w:highlight w:val="none"/>
        </w:rPr>
        <w:t>（盖单位章）</w:t>
      </w: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rPr>
        <w:t>202</w:t>
      </w:r>
      <w:r>
        <w:rPr>
          <w:rFonts w:hint="eastAsia" w:ascii="宋体"/>
          <w:b/>
          <w:color w:val="auto"/>
          <w:sz w:val="32"/>
          <w:szCs w:val="32"/>
          <w:highlight w:val="none"/>
          <w:u w:val="single"/>
          <w:lang w:val="en-US" w:eastAsia="zh-CN"/>
        </w:rPr>
        <w:t>4</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 xml:space="preserve">1 </w:t>
      </w:r>
      <w:r>
        <w:rPr>
          <w:rFonts w:hint="eastAsia" w:ascii="宋体"/>
          <w:b/>
          <w:color w:val="auto"/>
          <w:sz w:val="32"/>
          <w:szCs w:val="32"/>
          <w:highlight w:val="none"/>
        </w:rPr>
        <w:t>月</w:t>
      </w:r>
    </w:p>
    <w:p>
      <w:pPr>
        <w:spacing w:line="360" w:lineRule="exact"/>
        <w:rPr>
          <w:rFonts w:hint="eastAsia"/>
          <w:b/>
          <w:color w:val="auto"/>
          <w:sz w:val="36"/>
          <w:highlight w:val="none"/>
        </w:rPr>
      </w:pPr>
    </w:p>
    <w:p>
      <w:pPr>
        <w:spacing w:line="360" w:lineRule="exact"/>
        <w:jc w:val="center"/>
        <w:rPr>
          <w:rFonts w:hint="eastAsia"/>
          <w:b/>
          <w:color w:val="auto"/>
          <w:sz w:val="36"/>
          <w:highlight w:val="none"/>
        </w:rPr>
      </w:pPr>
      <w:r>
        <w:rPr>
          <w:rFonts w:hint="eastAsia"/>
          <w:b/>
          <w:color w:val="auto"/>
          <w:sz w:val="36"/>
          <w:highlight w:val="none"/>
        </w:rPr>
        <w:br w:type="page"/>
      </w:r>
    </w:p>
    <w:p>
      <w:pPr>
        <w:spacing w:line="360" w:lineRule="exact"/>
        <w:jc w:val="center"/>
        <w:rPr>
          <w:rFonts w:hint="eastAsia"/>
          <w:b/>
          <w:color w:val="auto"/>
          <w:sz w:val="36"/>
          <w:highlight w:val="none"/>
        </w:rPr>
      </w:pPr>
      <w:r>
        <w:rPr>
          <w:rFonts w:hint="eastAsia"/>
          <w:b/>
          <w:color w:val="auto"/>
          <w:sz w:val="36"/>
          <w:highlight w:val="none"/>
        </w:rPr>
        <w:t>目  录</w:t>
      </w:r>
    </w:p>
    <w:p>
      <w:pPr>
        <w:spacing w:line="360" w:lineRule="exact"/>
        <w:jc w:val="center"/>
        <w:rPr>
          <w:rFonts w:hint="eastAsia"/>
          <w:b/>
          <w:color w:val="auto"/>
          <w:sz w:val="36"/>
          <w:highlight w:val="none"/>
        </w:rPr>
      </w:pPr>
    </w:p>
    <w:p>
      <w:pPr>
        <w:pStyle w:val="25"/>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5"/>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5"/>
          <w:rFonts w:ascii="宋体" w:hAnsi="宋体"/>
          <w:color w:val="auto"/>
          <w:sz w:val="24"/>
          <w:highlight w:val="none"/>
        </w:rPr>
        <w:instrText xml:space="preserve"> </w:instrText>
      </w:r>
      <w:r>
        <w:rPr>
          <w:rFonts w:ascii="宋体" w:hAnsi="宋体"/>
          <w:color w:val="auto"/>
          <w:sz w:val="24"/>
          <w:highlight w:val="none"/>
        </w:rPr>
        <w:fldChar w:fldCharType="separate"/>
      </w:r>
      <w:r>
        <w:rPr>
          <w:rStyle w:val="45"/>
          <w:rFonts w:hint="eastAsia" w:ascii="宋体" w:hAnsi="宋体"/>
          <w:b/>
          <w:color w:val="auto"/>
          <w:sz w:val="24"/>
          <w:highlight w:val="none"/>
        </w:rPr>
        <w:t>第一章</w:t>
      </w:r>
      <w:r>
        <w:rPr>
          <w:rStyle w:val="45"/>
          <w:rFonts w:ascii="宋体" w:hAnsi="宋体"/>
          <w:b/>
          <w:color w:val="auto"/>
          <w:sz w:val="24"/>
          <w:highlight w:val="none"/>
        </w:rPr>
        <w:t xml:space="preserve"> </w:t>
      </w:r>
      <w:r>
        <w:rPr>
          <w:rStyle w:val="45"/>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pPr>
        <w:pStyle w:val="25"/>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第二章</w:t>
      </w:r>
      <w:r>
        <w:rPr>
          <w:rStyle w:val="45"/>
          <w:rFonts w:ascii="宋体" w:hAnsi="宋体"/>
          <w:b/>
          <w:color w:val="auto"/>
          <w:sz w:val="24"/>
          <w:highlight w:val="none"/>
        </w:rPr>
        <w:t xml:space="preserve"> </w:t>
      </w:r>
      <w:r>
        <w:rPr>
          <w:rStyle w:val="45"/>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4</w:t>
      </w:r>
    </w:p>
    <w:p>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第三章</w:t>
      </w:r>
      <w:r>
        <w:rPr>
          <w:rStyle w:val="45"/>
          <w:rFonts w:ascii="宋体" w:hAnsi="宋体"/>
          <w:b/>
          <w:color w:val="auto"/>
          <w:sz w:val="24"/>
          <w:highlight w:val="none"/>
        </w:rPr>
        <w:t xml:space="preserve"> </w:t>
      </w:r>
      <w:r>
        <w:rPr>
          <w:rStyle w:val="45"/>
          <w:rFonts w:hint="eastAsia" w:ascii="宋体" w:hAnsi="宋体"/>
          <w:b/>
          <w:color w:val="auto"/>
          <w:sz w:val="24"/>
          <w:highlight w:val="none"/>
        </w:rPr>
        <w:t>评标办法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16</w:t>
      </w:r>
    </w:p>
    <w:p>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第四章</w:t>
      </w:r>
      <w:r>
        <w:rPr>
          <w:rStyle w:val="45"/>
          <w:rFonts w:ascii="宋体" w:hAnsi="宋体"/>
          <w:b/>
          <w:color w:val="auto"/>
          <w:sz w:val="24"/>
          <w:highlight w:val="none"/>
        </w:rPr>
        <w:t xml:space="preserve"> </w:t>
      </w:r>
      <w:r>
        <w:rPr>
          <w:rStyle w:val="45"/>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21</w:t>
      </w:r>
    </w:p>
    <w:p>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第五章 合同格式（参考）</w:t>
      </w:r>
      <w:r>
        <w:rPr>
          <w:rFonts w:ascii="宋体" w:hAnsi="宋体"/>
          <w:b/>
          <w:color w:val="auto"/>
          <w:sz w:val="24"/>
          <w:highlight w:val="none"/>
        </w:rPr>
        <w:tab/>
      </w:r>
      <w:r>
        <w:rPr>
          <w:rFonts w:hint="eastAsia" w:ascii="宋体" w:hAnsi="宋体"/>
          <w:b/>
          <w:color w:val="auto"/>
          <w:sz w:val="24"/>
          <w:highlight w:val="none"/>
          <w:lang w:val="en-US" w:eastAsia="zh-CN"/>
        </w:rPr>
        <w:t>32</w:t>
      </w:r>
    </w:p>
    <w:p>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w:t>
      </w:r>
      <w:r>
        <w:rPr>
          <w:rStyle w:val="45"/>
          <w:rFonts w:hint="eastAsia" w:ascii="宋体" w:hAnsi="宋体"/>
          <w:b/>
          <w:color w:val="auto"/>
          <w:sz w:val="24"/>
          <w:highlight w:val="none"/>
          <w:lang w:val="en-US" w:eastAsia="zh-CN"/>
        </w:rPr>
        <w:t>六</w:t>
      </w:r>
      <w:r>
        <w:rPr>
          <w:rStyle w:val="45"/>
          <w:rFonts w:hint="eastAsia" w:ascii="宋体" w:hAnsi="宋体"/>
          <w:b/>
          <w:color w:val="auto"/>
          <w:sz w:val="24"/>
          <w:highlight w:val="none"/>
        </w:rPr>
        <w:t>章</w:t>
      </w:r>
      <w:r>
        <w:rPr>
          <w:rStyle w:val="45"/>
          <w:rFonts w:ascii="宋体" w:hAnsi="宋体"/>
          <w:b/>
          <w:color w:val="auto"/>
          <w:sz w:val="24"/>
          <w:highlight w:val="none"/>
        </w:rPr>
        <w:t xml:space="preserve"> </w:t>
      </w:r>
      <w:r>
        <w:rPr>
          <w:rStyle w:val="45"/>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40</w:t>
      </w:r>
    </w:p>
    <w:p>
      <w:pPr>
        <w:pStyle w:val="25"/>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pPr>
        <w:keepNext/>
        <w:keepLines/>
        <w:pageBreakBefore w:val="0"/>
        <w:widowControl w:val="0"/>
        <w:kinsoku/>
        <w:wordWrap/>
        <w:overflowPunct/>
        <w:topLinePunct w:val="0"/>
        <w:autoSpaceDE/>
        <w:autoSpaceDN/>
        <w:bidi w:val="0"/>
        <w:adjustRightInd/>
        <w:snapToGrid/>
        <w:ind w:firstLine="560" w:firstLineChars="200"/>
        <w:jc w:val="left"/>
        <w:textAlignment w:val="auto"/>
        <w:rPr>
          <w:rFonts w:hint="eastAsia" w:ascii="黑体" w:hAnsi="黑体" w:cs="宋体"/>
          <w:color w:val="auto"/>
          <w:sz w:val="28"/>
          <w:szCs w:val="28"/>
          <w:highlight w:val="none"/>
        </w:rPr>
      </w:pPr>
      <w:r>
        <w:rPr>
          <w:rFonts w:hint="eastAsia" w:ascii="仿宋" w:hAnsi="仿宋" w:eastAsia="仿宋" w:cs="仿宋"/>
          <w:color w:val="auto"/>
          <w:sz w:val="28"/>
          <w:szCs w:val="28"/>
          <w:highlight w:val="none"/>
          <w:u w:val="single"/>
          <w:lang w:val="en-US" w:eastAsia="zh-CN"/>
        </w:rPr>
        <w:t>滁州市城泊车辆服务有限公司公共停车场保洁服务项目（二次）</w:t>
      </w:r>
      <w:r>
        <w:rPr>
          <w:rFonts w:hint="eastAsia" w:ascii="仿宋" w:hAnsi="仿宋" w:eastAsia="仿宋" w:cs="仿宋"/>
          <w:color w:val="auto"/>
          <w:sz w:val="28"/>
          <w:szCs w:val="28"/>
          <w:highlight w:val="none"/>
          <w:u w:val="none"/>
        </w:rPr>
        <w:t>招标项目</w:t>
      </w:r>
      <w:r>
        <w:rPr>
          <w:rFonts w:hint="eastAsia" w:ascii="仿宋" w:hAnsi="仿宋" w:eastAsia="仿宋" w:cs="仿宋"/>
          <w:color w:val="auto"/>
          <w:sz w:val="28"/>
          <w:szCs w:val="28"/>
          <w:highlight w:val="none"/>
        </w:rPr>
        <w:t>的潜在投标人应在</w:t>
      </w:r>
      <w:r>
        <w:rPr>
          <w:rFonts w:hint="eastAsia" w:ascii="仿宋" w:hAnsi="仿宋" w:eastAsia="仿宋" w:cs="仿宋"/>
          <w:color w:val="auto"/>
          <w:sz w:val="28"/>
          <w:szCs w:val="28"/>
          <w:highlight w:val="none"/>
          <w:u w:val="single"/>
          <w:lang w:val="en-US" w:eastAsia="zh-CN"/>
        </w:rPr>
        <w:t>中国扬子集团官网（http://www.yangzigroup.cn/case/jingpinzhuzhai/）及滁州市工投公司微信公众号</w:t>
      </w:r>
      <w:r>
        <w:rPr>
          <w:rFonts w:hint="eastAsia" w:ascii="仿宋" w:hAnsi="仿宋" w:eastAsia="仿宋" w:cs="仿宋"/>
          <w:color w:val="auto"/>
          <w:sz w:val="28"/>
          <w:szCs w:val="28"/>
          <w:highlight w:val="none"/>
        </w:rPr>
        <w:t>获取招标文件，并于</w:t>
      </w:r>
      <w:r>
        <w:rPr>
          <w:rFonts w:hint="eastAsia" w:ascii="仿宋" w:hAnsi="仿宋" w:eastAsia="仿宋" w:cs="仿宋"/>
          <w:color w:val="auto"/>
          <w:sz w:val="28"/>
          <w:szCs w:val="28"/>
          <w:highlight w:val="none"/>
          <w:u w:val="single"/>
        </w:rPr>
        <w:t>202</w:t>
      </w:r>
      <w:r>
        <w:rPr>
          <w:rFonts w:hint="eastAsia" w:ascii="仿宋" w:hAnsi="仿宋" w:eastAsia="仿宋" w:cs="仿宋"/>
          <w:color w:val="auto"/>
          <w:sz w:val="28"/>
          <w:szCs w:val="28"/>
          <w:highlight w:val="none"/>
          <w:u w:val="single"/>
          <w:lang w:val="en-US" w:eastAsia="zh-CN"/>
        </w:rPr>
        <w:t>4</w:t>
      </w:r>
      <w:r>
        <w:rPr>
          <w:rFonts w:hint="eastAsia" w:ascii="仿宋" w:hAnsi="仿宋" w:eastAsia="仿宋" w:cs="仿宋"/>
          <w:color w:val="auto"/>
          <w:sz w:val="28"/>
          <w:szCs w:val="28"/>
          <w:highlight w:val="none"/>
          <w:u w:val="single"/>
        </w:rPr>
        <w:t>年</w:t>
      </w:r>
      <w:r>
        <w:rPr>
          <w:rFonts w:hint="eastAsia" w:ascii="仿宋" w:hAnsi="仿宋" w:eastAsia="仿宋" w:cs="仿宋"/>
          <w:color w:val="auto"/>
          <w:sz w:val="28"/>
          <w:szCs w:val="28"/>
          <w:highlight w:val="none"/>
          <w:u w:val="single"/>
          <w:lang w:val="en-US" w:eastAsia="zh-CN"/>
        </w:rPr>
        <w:t>1</w:t>
      </w:r>
      <w:r>
        <w:rPr>
          <w:rFonts w:hint="eastAsia" w:ascii="仿宋" w:hAnsi="仿宋" w:eastAsia="仿宋" w:cs="仿宋"/>
          <w:color w:val="auto"/>
          <w:sz w:val="28"/>
          <w:szCs w:val="28"/>
          <w:highlight w:val="none"/>
          <w:u w:val="single"/>
        </w:rPr>
        <w:t>月</w:t>
      </w:r>
      <w:r>
        <w:rPr>
          <w:rFonts w:hint="eastAsia" w:ascii="仿宋" w:hAnsi="仿宋" w:eastAsia="仿宋" w:cs="仿宋"/>
          <w:color w:val="auto"/>
          <w:sz w:val="28"/>
          <w:szCs w:val="28"/>
          <w:highlight w:val="none"/>
          <w:u w:val="single"/>
          <w:lang w:val="en-US" w:eastAsia="zh-CN"/>
        </w:rPr>
        <w:t>31</w:t>
      </w:r>
      <w:r>
        <w:rPr>
          <w:rFonts w:hint="eastAsia" w:ascii="仿宋" w:hAnsi="仿宋" w:eastAsia="仿宋" w:cs="仿宋"/>
          <w:color w:val="auto"/>
          <w:sz w:val="28"/>
          <w:szCs w:val="28"/>
          <w:highlight w:val="none"/>
          <w:u w:val="single"/>
        </w:rPr>
        <w:t>日</w:t>
      </w:r>
      <w:r>
        <w:rPr>
          <w:rFonts w:hint="eastAsia" w:ascii="仿宋" w:hAnsi="仿宋" w:eastAsia="仿宋" w:cs="仿宋"/>
          <w:color w:val="auto"/>
          <w:sz w:val="28"/>
          <w:szCs w:val="28"/>
          <w:highlight w:val="none"/>
          <w:u w:val="single"/>
          <w:lang w:val="en-US" w:eastAsia="zh-CN"/>
        </w:rPr>
        <w:t>15</w:t>
      </w:r>
      <w:r>
        <w:rPr>
          <w:rFonts w:hint="eastAsia" w:ascii="仿宋" w:hAnsi="仿宋" w:eastAsia="仿宋" w:cs="仿宋"/>
          <w:color w:val="auto"/>
          <w:sz w:val="28"/>
          <w:szCs w:val="28"/>
          <w:highlight w:val="none"/>
          <w:u w:val="single"/>
        </w:rPr>
        <w:t>点</w:t>
      </w:r>
      <w:r>
        <w:rPr>
          <w:rFonts w:hint="eastAsia" w:ascii="仿宋" w:hAnsi="仿宋" w:eastAsia="仿宋" w:cs="仿宋"/>
          <w:color w:val="auto"/>
          <w:sz w:val="28"/>
          <w:szCs w:val="28"/>
          <w:highlight w:val="none"/>
          <w:u w:val="single"/>
          <w:lang w:val="en-US" w:eastAsia="zh-CN"/>
        </w:rPr>
        <w:t>00</w:t>
      </w:r>
      <w:r>
        <w:rPr>
          <w:rFonts w:hint="eastAsia" w:ascii="仿宋" w:hAnsi="仿宋" w:eastAsia="仿宋" w:cs="仿宋"/>
          <w:color w:val="auto"/>
          <w:sz w:val="28"/>
          <w:szCs w:val="28"/>
          <w:highlight w:val="none"/>
          <w:u w:val="single"/>
        </w:rPr>
        <w:t>分</w:t>
      </w:r>
      <w:r>
        <w:rPr>
          <w:rFonts w:hint="eastAsia" w:ascii="仿宋" w:hAnsi="仿宋" w:eastAsia="仿宋" w:cs="仿宋"/>
          <w:color w:val="auto"/>
          <w:sz w:val="28"/>
          <w:szCs w:val="28"/>
          <w:highlight w:val="none"/>
        </w:rPr>
        <w:t>（北京时间）前递交投标文件。</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pPr>
        <w:ind w:right="-313" w:rightChars="-149"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项目名称：</w:t>
      </w:r>
      <w:r>
        <w:rPr>
          <w:rFonts w:hint="eastAsia" w:ascii="仿宋" w:hAnsi="仿宋" w:eastAsia="仿宋" w:cs="仿宋"/>
          <w:color w:val="auto"/>
          <w:sz w:val="28"/>
          <w:szCs w:val="28"/>
          <w:highlight w:val="none"/>
          <w:shd w:val="clear" w:color="auto" w:fill="auto"/>
          <w:lang w:val="en-US" w:eastAsia="zh-CN"/>
        </w:rPr>
        <w:t>滁州市城泊车辆服务有限公司公共停车场保洁服务项目（二次）</w:t>
      </w:r>
    </w:p>
    <w:p>
      <w:pPr>
        <w:ind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预算金额：</w:t>
      </w:r>
      <w:r>
        <w:rPr>
          <w:rFonts w:hint="eastAsia" w:ascii="仿宋" w:hAnsi="仿宋" w:eastAsia="仿宋" w:cs="仿宋"/>
          <w:color w:val="auto"/>
          <w:sz w:val="28"/>
          <w:szCs w:val="28"/>
          <w:highlight w:val="none"/>
          <w:shd w:val="clear" w:color="auto" w:fill="auto"/>
          <w:lang w:val="en-US" w:eastAsia="zh-CN"/>
        </w:rPr>
        <w:t>29.5万元/年</w:t>
      </w:r>
    </w:p>
    <w:p>
      <w:pPr>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最高限价：</w:t>
      </w:r>
      <w:r>
        <w:rPr>
          <w:rFonts w:hint="eastAsia" w:ascii="仿宋" w:hAnsi="仿宋" w:eastAsia="仿宋" w:cs="仿宋"/>
          <w:color w:val="auto"/>
          <w:sz w:val="28"/>
          <w:szCs w:val="28"/>
          <w:highlight w:val="none"/>
          <w:shd w:val="clear" w:color="auto" w:fill="auto"/>
          <w:lang w:val="en-US" w:eastAsia="zh-CN"/>
        </w:rPr>
        <w:t xml:space="preserve">29.5万元/年 </w:t>
      </w:r>
    </w:p>
    <w:p>
      <w:pPr>
        <w:ind w:firstLine="560" w:firstLineChars="200"/>
        <w:rPr>
          <w:rFonts w:hint="eastAsia" w:ascii="仿宋" w:hAnsi="仿宋" w:eastAsia="仿宋" w:cs="仿宋"/>
          <w:color w:val="auto"/>
          <w:sz w:val="28"/>
          <w:szCs w:val="28"/>
          <w:highlight w:val="none"/>
          <w:shd w:val="clear" w:color="auto" w:fill="auto"/>
          <w:lang w:eastAsia="zh-CN"/>
        </w:rPr>
      </w:pPr>
      <w:r>
        <w:rPr>
          <w:rFonts w:hint="eastAsia" w:ascii="仿宋" w:hAnsi="仿宋" w:eastAsia="仿宋" w:cs="仿宋"/>
          <w:color w:val="auto"/>
          <w:sz w:val="28"/>
          <w:szCs w:val="28"/>
          <w:highlight w:val="none"/>
          <w:shd w:val="clear" w:color="auto" w:fill="auto"/>
        </w:rPr>
        <w:t>采购需求：市城泊公司管理的公共停车场、厕所和管理用房的卫生保洁服务，具体包括23个停车场、2间停车场厕所和一套管理用房的卫生保洁服务。服务范围和内容包含停车场日常保洁服务、地面清扫、垃圾清运、房屋内设施卫生打扫和清洗</w:t>
      </w:r>
      <w:r>
        <w:rPr>
          <w:rFonts w:hint="eastAsia" w:ascii="仿宋" w:hAnsi="仿宋" w:eastAsia="仿宋" w:cs="仿宋"/>
          <w:color w:val="auto"/>
          <w:sz w:val="28"/>
          <w:szCs w:val="28"/>
          <w:highlight w:val="none"/>
          <w:shd w:val="clear" w:color="auto" w:fill="auto"/>
          <w:lang w:eastAsia="zh-CN"/>
        </w:rPr>
        <w:t>。</w:t>
      </w:r>
    </w:p>
    <w:p>
      <w:pPr>
        <w:ind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合同履行期限：</w:t>
      </w:r>
      <w:r>
        <w:rPr>
          <w:rFonts w:hint="eastAsia" w:ascii="仿宋" w:hAnsi="仿宋" w:eastAsia="仿宋" w:cs="仿宋"/>
          <w:color w:val="auto"/>
          <w:sz w:val="28"/>
          <w:szCs w:val="28"/>
          <w:highlight w:val="none"/>
          <w:shd w:val="clear" w:color="auto" w:fill="auto"/>
          <w:lang w:val="en-US" w:eastAsia="zh-CN"/>
        </w:rPr>
        <w:t>自合同签订之日起一年</w:t>
      </w:r>
      <w:r>
        <w:rPr>
          <w:rFonts w:hint="eastAsia" w:ascii="仿宋" w:hAnsi="仿宋" w:eastAsia="仿宋" w:cs="仿宋"/>
          <w:color w:val="auto"/>
          <w:sz w:val="28"/>
          <w:szCs w:val="28"/>
          <w:highlight w:val="none"/>
          <w:shd w:val="clear" w:color="auto" w:fill="auto"/>
          <w:lang w:eastAsia="zh-CN"/>
        </w:rPr>
        <w:t>，</w:t>
      </w:r>
      <w:r>
        <w:rPr>
          <w:rFonts w:hint="eastAsia" w:ascii="仿宋" w:hAnsi="仿宋" w:eastAsia="仿宋" w:cs="仿宋"/>
          <w:color w:val="auto"/>
          <w:sz w:val="28"/>
          <w:szCs w:val="28"/>
          <w:highlight w:val="none"/>
          <w:shd w:val="clear" w:color="auto" w:fill="auto"/>
        </w:rPr>
        <w:t>如服务期满，经招标方业绩考核满意，可以续签1年服务期。</w:t>
      </w:r>
      <w:r>
        <w:rPr>
          <w:rFonts w:hint="eastAsia" w:ascii="仿宋" w:hAnsi="仿宋" w:eastAsia="仿宋" w:cs="仿宋"/>
          <w:color w:val="auto"/>
          <w:sz w:val="28"/>
          <w:szCs w:val="28"/>
          <w:highlight w:val="none"/>
          <w:shd w:val="clear" w:color="auto" w:fill="auto"/>
          <w:lang w:val="en-US" w:eastAsia="zh-CN"/>
        </w:rPr>
        <w:t>注：自合同签订之日起开始计算进行为期两个月的考核期，如考核期内不合格，招标人有权单方解除合同。服务期限中含两个月考核期。</w:t>
      </w:r>
    </w:p>
    <w:p>
      <w:pPr>
        <w:ind w:firstLine="560" w:firstLineChars="200"/>
        <w:rPr>
          <w:rFonts w:hint="eastAsia" w:ascii="仿宋" w:hAnsi="仿宋" w:eastAsia="仿宋" w:cs="仿宋"/>
          <w:color w:val="auto"/>
          <w:sz w:val="28"/>
          <w:szCs w:val="28"/>
          <w:highlight w:val="none"/>
          <w:shd w:val="clear" w:color="auto" w:fill="auto"/>
        </w:rPr>
      </w:pPr>
      <w:r>
        <w:rPr>
          <w:rFonts w:hint="eastAsia" w:ascii="仿宋" w:hAnsi="仿宋" w:eastAsia="仿宋" w:cs="仿宋"/>
          <w:color w:val="auto"/>
          <w:sz w:val="28"/>
          <w:szCs w:val="28"/>
          <w:highlight w:val="none"/>
          <w:shd w:val="clear" w:color="auto" w:fill="auto"/>
        </w:rPr>
        <w:t>本项目</w:t>
      </w:r>
      <w:r>
        <w:rPr>
          <w:rFonts w:hint="eastAsia" w:ascii="仿宋" w:hAnsi="仿宋" w:eastAsia="仿宋" w:cs="仿宋"/>
          <w:color w:val="auto"/>
          <w:sz w:val="28"/>
          <w:szCs w:val="28"/>
          <w:highlight w:val="none"/>
          <w:shd w:val="clear" w:color="auto" w:fill="auto"/>
          <w:lang w:val="en-US" w:eastAsia="zh-CN"/>
        </w:rPr>
        <w:t>不</w:t>
      </w:r>
      <w:r>
        <w:rPr>
          <w:rFonts w:hint="eastAsia" w:ascii="仿宋" w:hAnsi="仿宋" w:eastAsia="仿宋" w:cs="仿宋"/>
          <w:color w:val="auto"/>
          <w:sz w:val="28"/>
          <w:szCs w:val="28"/>
          <w:highlight w:val="none"/>
          <w:shd w:val="clear" w:color="auto" w:fill="auto"/>
        </w:rPr>
        <w:t>接受联合体投标</w:t>
      </w:r>
      <w:r>
        <w:rPr>
          <w:rFonts w:hint="eastAsia" w:ascii="仿宋" w:hAnsi="仿宋" w:eastAsia="仿宋" w:cs="仿宋"/>
          <w:color w:val="auto"/>
          <w:sz w:val="28"/>
          <w:szCs w:val="28"/>
          <w:highlight w:val="none"/>
          <w:shd w:val="clear" w:color="auto" w:fill="auto"/>
          <w:lang w:eastAsia="zh-CN"/>
        </w:rPr>
        <w:t>。</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28359003"/>
      <w:bookmarkStart w:id="4" w:name="_Toc28359080"/>
      <w:bookmarkStart w:id="5" w:name="_Toc35393622"/>
      <w:bookmarkStart w:id="6" w:name="_Toc35393791"/>
      <w:r>
        <w:rPr>
          <w:rFonts w:hint="eastAsia" w:ascii="黑体" w:hAnsi="黑体" w:eastAsia="黑体" w:cs="黑体"/>
          <w:color w:val="auto"/>
          <w:sz w:val="28"/>
          <w:szCs w:val="28"/>
          <w:highlight w:val="none"/>
        </w:rPr>
        <w:t>二、申请人的资格要求</w:t>
      </w:r>
      <w:bookmarkEnd w:id="3"/>
      <w:bookmarkEnd w:id="4"/>
      <w:bookmarkEnd w:id="5"/>
      <w:bookmarkEnd w:id="6"/>
    </w:p>
    <w:p>
      <w:pPr>
        <w:ind w:firstLine="560" w:firstLineChars="200"/>
        <w:rPr>
          <w:rFonts w:hint="eastAsia" w:ascii="仿宋" w:hAnsi="仿宋" w:eastAsia="仿宋"/>
          <w:color w:val="auto"/>
          <w:sz w:val="28"/>
          <w:szCs w:val="28"/>
          <w:highlight w:val="none"/>
          <w:lang w:val="en-US" w:eastAsia="zh-CN"/>
        </w:rPr>
      </w:pPr>
      <w:bookmarkStart w:id="7" w:name="_Toc28359004"/>
      <w:bookmarkStart w:id="8" w:name="_Toc35393623"/>
      <w:bookmarkStart w:id="9" w:name="_Toc35393792"/>
      <w:bookmarkStart w:id="10" w:name="_Toc28359081"/>
      <w:r>
        <w:rPr>
          <w:rFonts w:hint="eastAsia" w:ascii="仿宋" w:hAnsi="仿宋" w:eastAsia="仿宋"/>
          <w:color w:val="auto"/>
          <w:sz w:val="28"/>
          <w:szCs w:val="28"/>
          <w:highlight w:val="none"/>
          <w:lang w:val="en-US" w:eastAsia="zh-CN"/>
        </w:rPr>
        <w:t>企业要求：具有独立法人资格和相应服务能力的企业。</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pPr>
        <w:ind w:firstLine="540"/>
        <w:rPr>
          <w:rFonts w:hint="eastAsia" w:ascii="仿宋" w:hAnsi="仿宋" w:eastAsia="仿宋" w:cs="宋体"/>
          <w:iCs/>
          <w:color w:val="auto"/>
          <w:sz w:val="28"/>
          <w:szCs w:val="28"/>
          <w:highlight w:val="none"/>
          <w:lang w:eastAsia="zh-CN"/>
        </w:rPr>
      </w:pPr>
      <w:r>
        <w:rPr>
          <w:rFonts w:hint="eastAsia" w:ascii="仿宋" w:hAnsi="仿宋" w:eastAsia="仿宋" w:cs="宋体"/>
          <w:color w:val="auto"/>
          <w:sz w:val="28"/>
          <w:szCs w:val="28"/>
          <w:highlight w:val="none"/>
        </w:rPr>
        <w:t>时间：</w:t>
      </w:r>
      <w:r>
        <w:rPr>
          <w:rFonts w:ascii="仿宋" w:hAnsi="仿宋" w:eastAsia="仿宋" w:cs="宋体"/>
          <w:color w:val="auto"/>
          <w:sz w:val="28"/>
          <w:szCs w:val="28"/>
          <w:highlight w:val="none"/>
          <w:u w:val="single"/>
        </w:rPr>
        <w:t xml:space="preserve"> </w:t>
      </w:r>
      <w:r>
        <w:rPr>
          <w:rFonts w:hint="eastAsia" w:ascii="仿宋" w:hAnsi="仿宋" w:eastAsia="仿宋" w:cs="宋体"/>
          <w:color w:val="auto"/>
          <w:sz w:val="28"/>
          <w:szCs w:val="28"/>
          <w:highlight w:val="none"/>
          <w:u w:val="single"/>
        </w:rPr>
        <w:t>202</w:t>
      </w:r>
      <w:r>
        <w:rPr>
          <w:rFonts w:hint="eastAsia" w:ascii="仿宋" w:hAnsi="仿宋" w:eastAsia="仿宋" w:cs="宋体"/>
          <w:color w:val="auto"/>
          <w:sz w:val="28"/>
          <w:szCs w:val="28"/>
          <w:highlight w:val="none"/>
          <w:u w:val="single"/>
          <w:lang w:val="en-US" w:eastAsia="zh-CN"/>
        </w:rPr>
        <w:t>4</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1</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29</w:t>
      </w:r>
      <w:r>
        <w:rPr>
          <w:rFonts w:hint="eastAsia" w:ascii="仿宋" w:hAnsi="仿宋" w:eastAsia="仿宋" w:cs="宋体"/>
          <w:color w:val="auto"/>
          <w:sz w:val="28"/>
          <w:szCs w:val="28"/>
          <w:highlight w:val="none"/>
          <w:u w:val="single"/>
        </w:rPr>
        <w:t>日</w:t>
      </w:r>
      <w:r>
        <w:rPr>
          <w:rFonts w:hint="eastAsia" w:ascii="仿宋" w:hAnsi="仿宋" w:eastAsia="仿宋" w:cs="宋体"/>
          <w:color w:val="auto"/>
          <w:sz w:val="28"/>
          <w:szCs w:val="28"/>
          <w:highlight w:val="none"/>
        </w:rPr>
        <w:t>至</w:t>
      </w:r>
      <w:r>
        <w:rPr>
          <w:rFonts w:hint="eastAsia" w:ascii="仿宋" w:hAnsi="仿宋" w:eastAsia="仿宋" w:cs="宋体"/>
          <w:color w:val="auto"/>
          <w:sz w:val="28"/>
          <w:szCs w:val="28"/>
          <w:highlight w:val="none"/>
          <w:u w:val="single"/>
        </w:rPr>
        <w:t xml:space="preserve"> 202</w:t>
      </w:r>
      <w:r>
        <w:rPr>
          <w:rFonts w:hint="eastAsia" w:ascii="仿宋" w:hAnsi="仿宋" w:eastAsia="仿宋" w:cs="宋体"/>
          <w:color w:val="auto"/>
          <w:sz w:val="28"/>
          <w:szCs w:val="28"/>
          <w:highlight w:val="none"/>
          <w:u w:val="single"/>
          <w:lang w:val="en-US" w:eastAsia="zh-CN"/>
        </w:rPr>
        <w:t>4</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1</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31</w:t>
      </w:r>
      <w:r>
        <w:rPr>
          <w:rFonts w:hint="eastAsia" w:ascii="仿宋" w:hAnsi="仿宋" w:eastAsia="仿宋" w:cs="宋体"/>
          <w:color w:val="auto"/>
          <w:sz w:val="28"/>
          <w:szCs w:val="28"/>
          <w:highlight w:val="none"/>
          <w:u w:val="single"/>
        </w:rPr>
        <w:t>日</w:t>
      </w:r>
    </w:p>
    <w:p>
      <w:pPr>
        <w:ind w:firstLine="540"/>
        <w:rPr>
          <w:rFonts w:ascii="仿宋" w:hAnsi="仿宋" w:eastAsia="仿宋" w:cs="宋体"/>
          <w:color w:val="auto"/>
          <w:sz w:val="28"/>
          <w:szCs w:val="28"/>
          <w:highlight w:val="none"/>
          <w:u w:val="single"/>
        </w:rPr>
      </w:pPr>
      <w:r>
        <w:rPr>
          <w:rFonts w:hint="eastAsia" w:ascii="仿宋" w:hAnsi="仿宋" w:eastAsia="仿宋" w:cs="宋体"/>
          <w:color w:val="auto"/>
          <w:sz w:val="28"/>
          <w:szCs w:val="28"/>
          <w:highlight w:val="none"/>
        </w:rPr>
        <w:t>方式：网上下载</w:t>
      </w:r>
    </w:p>
    <w:p>
      <w:pPr>
        <w:ind w:firstLine="540"/>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82"/>
      <w:bookmarkStart w:id="12" w:name="_Toc28359005"/>
      <w:bookmarkStart w:id="13" w:name="_Toc35393793"/>
      <w:bookmarkStart w:id="14" w:name="_Toc35393624"/>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pPr>
        <w:ind w:firstLine="560" w:firstLineChars="200"/>
        <w:rPr>
          <w:rFonts w:hint="eastAsia" w:ascii="仿宋" w:hAnsi="仿宋" w:eastAsia="仿宋"/>
          <w:bCs/>
          <w:iCs/>
          <w:color w:val="auto"/>
          <w:sz w:val="28"/>
          <w:szCs w:val="28"/>
          <w:highlight w:val="non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single"/>
        </w:rPr>
        <w:t>202</w:t>
      </w:r>
      <w:r>
        <w:rPr>
          <w:rFonts w:hint="eastAsia" w:ascii="仿宋" w:hAnsi="仿宋" w:eastAsia="仿宋"/>
          <w:bCs/>
          <w:color w:val="auto"/>
          <w:sz w:val="28"/>
          <w:szCs w:val="28"/>
          <w:highlight w:val="none"/>
          <w:u w:val="single"/>
          <w:lang w:val="en-US" w:eastAsia="zh-CN"/>
        </w:rPr>
        <w:t>4</w:t>
      </w:r>
      <w:r>
        <w:rPr>
          <w:rFonts w:hint="eastAsia" w:ascii="仿宋" w:hAnsi="仿宋" w:eastAsia="仿宋"/>
          <w:bCs/>
          <w:color w:val="auto"/>
          <w:sz w:val="28"/>
          <w:szCs w:val="28"/>
          <w:highlight w:val="none"/>
          <w:u w:val="single"/>
        </w:rPr>
        <w:t>年</w:t>
      </w:r>
      <w:r>
        <w:rPr>
          <w:rFonts w:hint="eastAsia" w:ascii="仿宋" w:hAnsi="仿宋" w:eastAsia="仿宋"/>
          <w:bCs/>
          <w:color w:val="auto"/>
          <w:sz w:val="28"/>
          <w:szCs w:val="28"/>
          <w:highlight w:val="none"/>
          <w:u w:val="single"/>
          <w:lang w:val="en-US" w:eastAsia="zh-CN"/>
        </w:rPr>
        <w:t>1</w:t>
      </w:r>
      <w:r>
        <w:rPr>
          <w:rFonts w:hint="eastAsia" w:ascii="仿宋" w:hAnsi="仿宋" w:eastAsia="仿宋"/>
          <w:bCs/>
          <w:color w:val="auto"/>
          <w:sz w:val="28"/>
          <w:szCs w:val="28"/>
          <w:highlight w:val="none"/>
          <w:u w:val="single"/>
        </w:rPr>
        <w:t>月</w:t>
      </w:r>
      <w:r>
        <w:rPr>
          <w:rFonts w:hint="eastAsia" w:ascii="仿宋" w:hAnsi="仿宋" w:eastAsia="仿宋"/>
          <w:bCs/>
          <w:color w:val="auto"/>
          <w:sz w:val="28"/>
          <w:szCs w:val="28"/>
          <w:highlight w:val="none"/>
          <w:u w:val="single"/>
          <w:lang w:val="en-US" w:eastAsia="zh-CN"/>
        </w:rPr>
        <w:t>31</w:t>
      </w:r>
      <w:r>
        <w:rPr>
          <w:rFonts w:hint="eastAsia" w:ascii="仿宋" w:hAnsi="仿宋" w:eastAsia="仿宋"/>
          <w:bCs/>
          <w:color w:val="auto"/>
          <w:sz w:val="28"/>
          <w:szCs w:val="28"/>
          <w:highlight w:val="none"/>
          <w:u w:val="single"/>
        </w:rPr>
        <w:t>日</w:t>
      </w:r>
      <w:r>
        <w:rPr>
          <w:rFonts w:hint="eastAsia" w:ascii="仿宋" w:hAnsi="仿宋" w:eastAsia="仿宋"/>
          <w:bCs/>
          <w:color w:val="auto"/>
          <w:sz w:val="28"/>
          <w:szCs w:val="28"/>
          <w:highlight w:val="none"/>
          <w:u w:val="single"/>
          <w:lang w:val="en-US" w:eastAsia="zh-CN"/>
        </w:rPr>
        <w:t>15</w:t>
      </w:r>
      <w:r>
        <w:rPr>
          <w:rFonts w:hint="eastAsia" w:ascii="仿宋" w:hAnsi="仿宋" w:eastAsia="仿宋"/>
          <w:bCs/>
          <w:color w:val="auto"/>
          <w:sz w:val="28"/>
          <w:szCs w:val="28"/>
          <w:highlight w:val="none"/>
          <w:u w:val="single"/>
        </w:rPr>
        <w:t>点00分</w:t>
      </w:r>
      <w:r>
        <w:rPr>
          <w:rFonts w:hint="eastAsia" w:ascii="仿宋" w:hAnsi="仿宋" w:eastAsia="仿宋"/>
          <w:bCs/>
          <w:color w:val="auto"/>
          <w:sz w:val="28"/>
          <w:szCs w:val="28"/>
          <w:highlight w:val="none"/>
        </w:rPr>
        <w:t>（北京时间）</w:t>
      </w:r>
      <w:r>
        <w:rPr>
          <w:rFonts w:hint="eastAsia" w:ascii="仿宋" w:hAnsi="仿宋" w:eastAsia="仿宋"/>
          <w:bCs/>
          <w:color w:val="auto"/>
          <w:sz w:val="28"/>
          <w:szCs w:val="28"/>
          <w:highlight w:val="none"/>
          <w:lang w:eastAsia="zh-CN"/>
        </w:rPr>
        <w:t>；</w:t>
      </w:r>
    </w:p>
    <w:p>
      <w:pPr>
        <w:ind w:firstLine="560" w:firstLineChars="200"/>
        <w:rPr>
          <w:rFonts w:hint="eastAsia" w:ascii="仿宋" w:hAnsi="仿宋" w:eastAsia="仿宋"/>
          <w:color w:val="auto"/>
          <w:sz w:val="28"/>
          <w:szCs w:val="28"/>
          <w:highlight w:val="yellow"/>
          <w:lang w:val="en-US" w:eastAsia="zh-CN"/>
        </w:rPr>
      </w:pPr>
      <w:r>
        <w:rPr>
          <w:rFonts w:hint="eastAsia" w:ascii="仿宋" w:hAnsi="仿宋" w:eastAsia="仿宋"/>
          <w:color w:val="auto"/>
          <w:sz w:val="28"/>
          <w:szCs w:val="28"/>
          <w:highlight w:val="none"/>
        </w:rPr>
        <w:t>地点：</w:t>
      </w:r>
      <w:r>
        <w:rPr>
          <w:rFonts w:hint="eastAsia" w:ascii="仿宋" w:hAnsi="仿宋" w:eastAsia="仿宋"/>
          <w:color w:val="auto"/>
          <w:sz w:val="28"/>
          <w:szCs w:val="28"/>
          <w:highlight w:val="none"/>
          <w:lang w:val="en-US" w:eastAsia="zh-CN"/>
        </w:rPr>
        <w:t>滁州市扬子工业投资集团有限公司1310会议室（滁州市南谯区中都大道与醉翁路交叉口西南角城投大厦）；</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五</w:t>
      </w:r>
      <w:r>
        <w:rPr>
          <w:rFonts w:hint="eastAsia" w:ascii="黑体" w:hAnsi="黑体" w:eastAsia="黑体" w:cs="黑体"/>
          <w:color w:val="auto"/>
          <w:sz w:val="28"/>
          <w:szCs w:val="28"/>
          <w:highlight w:val="none"/>
        </w:rPr>
        <w:t>、投标保证金金额及缴纳账户</w:t>
      </w:r>
    </w:p>
    <w:p>
      <w:pPr>
        <w:pStyle w:val="126"/>
        <w:rPr>
          <w:color w:val="auto"/>
          <w:highlight w:val="none"/>
        </w:rPr>
      </w:pPr>
      <w:bookmarkStart w:id="15" w:name="_Toc35393626"/>
      <w:bookmarkStart w:id="16" w:name="_Toc35393795"/>
      <w:r>
        <w:rPr>
          <w:color w:val="auto"/>
          <w:highlight w:val="none"/>
        </w:rPr>
        <w:t>窗体顶端</w:t>
      </w:r>
    </w:p>
    <w:p>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不要求投标人提交投标保证金。</w:t>
      </w:r>
    </w:p>
    <w:p>
      <w:pPr>
        <w:pStyle w:val="127"/>
        <w:rPr>
          <w:color w:val="auto"/>
          <w:highlight w:val="none"/>
        </w:rPr>
      </w:pPr>
      <w:r>
        <w:rPr>
          <w:color w:val="auto"/>
          <w:highlight w:val="none"/>
        </w:rPr>
        <w:t>窗体底端</w:t>
      </w:r>
    </w:p>
    <w:bookmarkEnd w:id="15"/>
    <w:bookmarkEnd w:id="16"/>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六</w:t>
      </w:r>
      <w:r>
        <w:rPr>
          <w:rFonts w:hint="eastAsia" w:ascii="黑体" w:hAnsi="黑体" w:eastAsia="黑体" w:cs="黑体"/>
          <w:color w:val="auto"/>
          <w:sz w:val="28"/>
          <w:szCs w:val="28"/>
          <w:highlight w:val="none"/>
        </w:rPr>
        <w:t>、对本次招标提出询问，请按以下方式联系</w:t>
      </w:r>
    </w:p>
    <w:p>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滁州市城泊车辆服务有限公司</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rPr>
        <w:t>滁州市清流西路扬子宾馆停车场院内</w:t>
      </w:r>
    </w:p>
    <w:p>
      <w:pPr>
        <w:ind w:firstLine="560" w:firstLineChars="200"/>
        <w:jc w:val="left"/>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val="en-US" w:eastAsia="zh-CN"/>
        </w:rPr>
        <w:t xml:space="preserve">15215500991 </w:t>
      </w:r>
    </w:p>
    <w:p>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2.代理机构信息</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rPr>
        <w:t>滁州市城投工程咨询管理有限公司</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rPr>
        <w:t>滁州市龙蟠大道109号房产大厦6楼</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rPr>
        <w:t>0550-3519590、18005501210</w:t>
      </w:r>
    </w:p>
    <w:p>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3.项目联系方式</w:t>
      </w:r>
    </w:p>
    <w:p>
      <w:pPr>
        <w:pStyle w:val="18"/>
        <w:ind w:left="-199" w:leftChars="-95" w:firstLine="840" w:firstLineChars="300"/>
        <w:jc w:val="left"/>
        <w:rPr>
          <w:rFonts w:hint="eastAsia" w:ascii="仿宋" w:hAnsi="仿宋" w:eastAsia="仿宋" w:cs="仿宋"/>
          <w:color w:val="auto"/>
          <w:sz w:val="28"/>
          <w:szCs w:val="28"/>
          <w:highlight w:val="none"/>
          <w:u w:val="single" w:color="auto"/>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丁玲、</w:t>
      </w:r>
      <w:r>
        <w:rPr>
          <w:rFonts w:hint="eastAsia" w:ascii="仿宋" w:hAnsi="仿宋" w:eastAsia="仿宋" w:cs="仿宋"/>
          <w:color w:val="auto"/>
          <w:sz w:val="28"/>
          <w:szCs w:val="28"/>
          <w:highlight w:val="none"/>
          <w:u w:val="single" w:color="auto"/>
        </w:rPr>
        <w:t>杨韦</w:t>
      </w:r>
    </w:p>
    <w:p>
      <w:pPr>
        <w:ind w:left="-199" w:leftChars="-95" w:firstLine="840" w:firstLineChars="300"/>
        <w:jc w:val="left"/>
        <w:rPr>
          <w:rFonts w:ascii="仿宋" w:hAnsi="仿宋" w:eastAsia="仿宋"/>
          <w:color w:val="auto"/>
          <w:sz w:val="28"/>
          <w:szCs w:val="28"/>
          <w:highlight w:val="none"/>
          <w:u w:val="single"/>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color="auto"/>
          <w:lang w:val="en-US" w:eastAsia="zh-CN"/>
        </w:rPr>
        <w:t>15215500991、</w:t>
      </w:r>
      <w:r>
        <w:rPr>
          <w:rFonts w:hint="eastAsia" w:ascii="仿宋" w:hAnsi="仿宋" w:eastAsia="仿宋" w:cs="仿宋"/>
          <w:color w:val="auto"/>
          <w:sz w:val="28"/>
          <w:szCs w:val="28"/>
          <w:highlight w:val="none"/>
          <w:u w:val="single" w:color="auto"/>
        </w:rPr>
        <w:t>0</w:t>
      </w:r>
      <w:r>
        <w:rPr>
          <w:rFonts w:hint="eastAsia" w:ascii="仿宋" w:hAnsi="仿宋" w:eastAsia="仿宋" w:cs="仿宋"/>
          <w:color w:val="auto"/>
          <w:sz w:val="28"/>
          <w:szCs w:val="28"/>
          <w:highlight w:val="none"/>
          <w:u w:val="single"/>
        </w:rPr>
        <w:t xml:space="preserve">550-3519590 </w:t>
      </w:r>
    </w:p>
    <w:p>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第二章 投标人须知</w:t>
      </w:r>
      <w:bookmarkEnd w:id="2"/>
    </w:p>
    <w:p>
      <w:pPr>
        <w:snapToGrid w:val="0"/>
        <w:spacing w:line="500" w:lineRule="exact"/>
        <w:jc w:val="center"/>
        <w:outlineLvl w:val="1"/>
        <w:rPr>
          <w:rFonts w:hint="eastAsia" w:ascii="宋体"/>
          <w:b/>
          <w:color w:val="auto"/>
          <w:sz w:val="28"/>
          <w:szCs w:val="28"/>
          <w:highlight w:val="none"/>
        </w:rPr>
      </w:pPr>
      <w:bookmarkStart w:id="17" w:name="_Toc58430314"/>
      <w:bookmarkStart w:id="18" w:name="_Toc449028865"/>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17"/>
      <w:bookmarkEnd w:id="18"/>
    </w:p>
    <w:tbl>
      <w:tblPr>
        <w:tblStyle w:val="34"/>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滁州市城泊车辆服务有限公司公共停车场保洁服务项目（二次）</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自合同签订之日起一年</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如服务期满，经招标方业绩考核满意，可以续签1年服务期。</w:t>
            </w:r>
          </w:p>
          <w:p>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注：自合同签订之日起开始计算进行为期两个月的考核期，如考核期内不合格，招标人有权单方解除合同。服务期限中含两个月考核期。</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25"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rPr>
            </w:pPr>
            <w:r>
              <w:rPr>
                <w:rFonts w:hint="eastAsia" w:hAnsi="宋体" w:cs="宋体"/>
                <w:color w:val="auto"/>
                <w:sz w:val="21"/>
                <w:szCs w:val="21"/>
                <w:highlight w:val="none"/>
                <w:lang w:val="en-US" w:eastAsia="zh-CN"/>
              </w:rPr>
              <w:t>具体详见采购需求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val="en-US" w:eastAsia="zh-CN"/>
              </w:rPr>
              <w:t>丁玲</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w:t>
            </w:r>
            <w:r>
              <w:rPr>
                <w:rFonts w:hint="eastAsia" w:hAnsi="宋体" w:cs="宋体"/>
                <w:color w:val="auto"/>
                <w:sz w:val="21"/>
                <w:szCs w:val="21"/>
                <w:highlight w:val="none"/>
                <w:lang w:val="en-US" w:eastAsia="zh-CN"/>
              </w:rPr>
              <w:t>15215500991</w:t>
            </w:r>
            <w:r>
              <w:rPr>
                <w:rFonts w:hint="eastAsia" w:ascii="宋体" w:hAnsi="宋体" w:eastAsia="宋体" w:cs="宋体"/>
                <w:color w:val="auto"/>
                <w:sz w:val="21"/>
                <w:szCs w:val="21"/>
                <w:highlight w:val="non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联系人：杨韦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电话0550-30519590、18005501210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29.5万</w:t>
            </w:r>
            <w:r>
              <w:rPr>
                <w:rFonts w:hint="eastAsia" w:ascii="宋体" w:hAnsi="宋体" w:eastAsia="宋体" w:cs="宋体"/>
                <w:color w:val="auto"/>
                <w:sz w:val="21"/>
                <w:szCs w:val="21"/>
                <w:highlight w:val="none"/>
              </w:rPr>
              <w:t>元</w:t>
            </w:r>
            <w:r>
              <w:rPr>
                <w:rFonts w:hint="eastAsia" w:hAnsi="宋体" w:cs="宋体"/>
                <w:color w:val="auto"/>
                <w:sz w:val="21"/>
                <w:szCs w:val="21"/>
                <w:highlight w:val="none"/>
                <w:lang w:val="en-US" w:eastAsia="zh-CN"/>
              </w:rPr>
              <w:t>/年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29.5万</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val="en-US" w:eastAsia="zh-CN"/>
              </w:rPr>
              <w:t>/年</w:t>
            </w:r>
            <w:r>
              <w:rPr>
                <w:rFonts w:hint="eastAsia" w:ascii="宋体" w:hAnsi="宋体" w:eastAsia="宋体" w:cs="宋体"/>
                <w:color w:val="auto"/>
                <w:sz w:val="21"/>
                <w:szCs w:val="21"/>
                <w:highlight w:val="none"/>
              </w:rPr>
              <w:t>，投标报价均不得高于最高限价，否则将作为无效投标处理。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代理服务费金额：</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000</w:t>
            </w:r>
            <w:r>
              <w:rPr>
                <w:rFonts w:hint="eastAsia" w:ascii="宋体" w:hAnsi="宋体" w:eastAsia="宋体" w:cs="宋体"/>
                <w:color w:val="auto"/>
                <w:sz w:val="21"/>
                <w:szCs w:val="21"/>
                <w:highlight w:val="none"/>
              </w:rPr>
              <w:t>元；</w:t>
            </w:r>
            <w:r>
              <w:rPr>
                <w:rFonts w:hint="eastAsia" w:ascii="宋体" w:hAnsi="宋体" w:cs="宋体"/>
                <w:color w:val="auto"/>
                <w:sz w:val="21"/>
                <w:szCs w:val="21"/>
                <w:highlight w:val="none"/>
                <w:lang w:val="en-US" w:eastAsia="zh-CN"/>
              </w:rPr>
              <w:t>评审</w:t>
            </w:r>
            <w:r>
              <w:rPr>
                <w:rFonts w:hint="eastAsia" w:ascii="宋体" w:hAnsi="宋体" w:eastAsia="宋体" w:cs="宋体"/>
                <w:color w:val="auto"/>
                <w:sz w:val="21"/>
                <w:szCs w:val="21"/>
                <w:highlight w:val="none"/>
                <w:lang w:val="en-US" w:eastAsia="zh-CN"/>
              </w:rPr>
              <w:t>费用以实际发生费用为准。</w:t>
            </w:r>
          </w:p>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支付主体：</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招标人将于</w:t>
            </w:r>
            <w:r>
              <w:rPr>
                <w:rFonts w:hint="eastAsia" w:ascii="宋体" w:hAnsi="宋体" w:eastAsia="宋体" w:cs="宋体"/>
                <w:b/>
                <w:bCs/>
                <w:color w:val="auto"/>
                <w:sz w:val="21"/>
                <w:szCs w:val="21"/>
                <w:highlight w:val="none"/>
                <w:lang w:val="en-US" w:eastAsia="zh-CN"/>
              </w:rPr>
              <w:t>202</w:t>
            </w:r>
            <w:r>
              <w:rPr>
                <w:rFonts w:hint="eastAsia" w:ascii="宋体" w:hAnsi="宋体" w:cs="宋体"/>
                <w:b/>
                <w:bCs/>
                <w:color w:val="auto"/>
                <w:sz w:val="21"/>
                <w:szCs w:val="21"/>
                <w:highlight w:val="none"/>
                <w:lang w:val="en-US" w:eastAsia="zh-CN"/>
              </w:rPr>
              <w:t>4</w:t>
            </w:r>
            <w:r>
              <w:rPr>
                <w:rFonts w:hint="eastAsia" w:ascii="宋体" w:hAnsi="宋体" w:eastAsia="宋体" w:cs="宋体"/>
                <w:b/>
                <w:bCs/>
                <w:color w:val="auto"/>
                <w:sz w:val="21"/>
                <w:szCs w:val="21"/>
                <w:highlight w:val="none"/>
                <w:lang w:val="en-US" w:eastAsia="zh-CN"/>
              </w:rPr>
              <w:t>年</w:t>
            </w:r>
            <w:r>
              <w:rPr>
                <w:rFonts w:hint="eastAsia" w:ascii="宋体" w:hAnsi="宋体" w:cs="宋体"/>
                <w:b/>
                <w:bCs/>
                <w:color w:val="auto"/>
                <w:sz w:val="21"/>
                <w:szCs w:val="21"/>
                <w:highlight w:val="none"/>
                <w:lang w:val="en-US" w:eastAsia="zh-CN"/>
              </w:rPr>
              <w:t>1</w:t>
            </w:r>
            <w:r>
              <w:rPr>
                <w:rFonts w:hint="eastAsia" w:ascii="宋体" w:hAnsi="宋体" w:eastAsia="宋体" w:cs="宋体"/>
                <w:b/>
                <w:bCs/>
                <w:color w:val="auto"/>
                <w:sz w:val="21"/>
                <w:szCs w:val="21"/>
                <w:highlight w:val="none"/>
                <w:lang w:val="en-US" w:eastAsia="zh-CN"/>
              </w:rPr>
              <w:t>月</w:t>
            </w:r>
            <w:r>
              <w:rPr>
                <w:rFonts w:hint="eastAsia" w:ascii="宋体" w:hAnsi="宋体" w:cs="宋体"/>
                <w:b/>
                <w:bCs/>
                <w:color w:val="auto"/>
                <w:sz w:val="21"/>
                <w:szCs w:val="21"/>
                <w:highlight w:val="none"/>
                <w:lang w:val="en-US" w:eastAsia="zh-CN"/>
              </w:rPr>
              <w:t>30</w:t>
            </w:r>
            <w:r>
              <w:rPr>
                <w:rFonts w:hint="eastAsia" w:ascii="宋体" w:hAnsi="宋体" w:eastAsia="宋体" w:cs="宋体"/>
                <w:b/>
                <w:bCs/>
                <w:color w:val="auto"/>
                <w:sz w:val="21"/>
                <w:szCs w:val="21"/>
                <w:highlight w:val="none"/>
                <w:lang w:val="en-US" w:eastAsia="zh-CN"/>
              </w:rPr>
              <w:t>日</w:t>
            </w:r>
            <w:r>
              <w:rPr>
                <w:rFonts w:hint="eastAsia" w:ascii="宋体" w:hAnsi="宋体" w:cs="宋体"/>
                <w:b/>
                <w:bCs/>
                <w:color w:val="auto"/>
                <w:sz w:val="21"/>
                <w:szCs w:val="21"/>
                <w:highlight w:val="none"/>
                <w:lang w:val="en-US" w:eastAsia="zh-CN"/>
              </w:rPr>
              <w:t>17</w:t>
            </w:r>
            <w:r>
              <w:rPr>
                <w:rFonts w:hint="eastAsia" w:ascii="宋体" w:hAnsi="宋体" w:eastAsia="宋体" w:cs="宋体"/>
                <w:b/>
                <w:bCs/>
                <w:color w:val="auto"/>
                <w:sz w:val="21"/>
                <w:szCs w:val="21"/>
                <w:highlight w:val="none"/>
                <w:lang w:val="en-US" w:eastAsia="zh-CN"/>
              </w:rPr>
              <w:t>时</w:t>
            </w:r>
            <w:r>
              <w:rPr>
                <w:rFonts w:hint="eastAsia" w:ascii="宋体" w:hAnsi="宋体" w:eastAsia="宋体" w:cs="宋体"/>
                <w:color w:val="auto"/>
                <w:sz w:val="21"/>
                <w:szCs w:val="21"/>
                <w:highlight w:val="none"/>
                <w:lang w:val="en-US" w:eastAsia="zh-CN"/>
              </w:rPr>
              <w:t>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在中国扬子集团官网（http://www.yangzigroup.cn/case/jingpinzhuzhai/）及滁州市工投公司微信公众号予以公布。</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pPr>
              <w:keepNext w:val="0"/>
              <w:keepLines w:val="0"/>
              <w:pageBreakBefore w:val="0"/>
              <w:widowControl/>
              <w:shd w:val="clear" w:color="auto" w:fill="FFFFFF"/>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不收取</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pPr>
              <w:keepNext w:val="0"/>
              <w:keepLines w:val="0"/>
              <w:pageBreakBefore w:val="0"/>
              <w:widowControl/>
              <w:kinsoku/>
              <w:overflowPunct/>
              <w:topLinePunct w:val="0"/>
              <w:autoSpaceDE/>
              <w:autoSpaceDN/>
              <w:bidi w:val="0"/>
              <w:adjustRightInd/>
              <w:spacing w:line="50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pPr>
              <w:keepNext w:val="0"/>
              <w:keepLines w:val="0"/>
              <w:pageBreakBefore w:val="0"/>
              <w:widowControl/>
              <w:kinsoku/>
              <w:overflowPunct/>
              <w:topLinePunct w:val="0"/>
              <w:autoSpaceDE/>
              <w:autoSpaceDN/>
              <w:bidi w:val="0"/>
              <w:adjustRightInd/>
              <w:spacing w:line="50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b/>
                <w:color w:val="auto"/>
                <w:kern w:val="0"/>
                <w:sz w:val="21"/>
                <w:szCs w:val="21"/>
                <w:highlight w:val="none"/>
                <w:lang w:val="en-US" w:eastAsia="zh-CN"/>
              </w:rPr>
              <w:t>投标文件</w:t>
            </w:r>
            <w:r>
              <w:rPr>
                <w:rFonts w:hint="eastAsia" w:ascii="宋体" w:hAnsi="宋体" w:eastAsia="宋体" w:cs="宋体"/>
                <w:b/>
                <w:color w:val="auto"/>
                <w:kern w:val="0"/>
                <w:sz w:val="21"/>
                <w:szCs w:val="21"/>
                <w:highlight w:val="none"/>
                <w:lang w:val="en-US" w:eastAsia="zh-CN"/>
              </w:rPr>
              <w:t>正副本密封在</w:t>
            </w:r>
            <w:r>
              <w:rPr>
                <w:rFonts w:hint="eastAsia" w:ascii="宋体" w:hAnsi="宋体" w:cs="宋体"/>
                <w:b/>
                <w:color w:val="auto"/>
                <w:kern w:val="0"/>
                <w:sz w:val="21"/>
                <w:szCs w:val="21"/>
                <w:highlight w:val="none"/>
                <w:lang w:val="en-US" w:eastAsia="zh-CN"/>
              </w:rPr>
              <w:t>投标文件</w:t>
            </w:r>
            <w:r>
              <w:rPr>
                <w:rFonts w:hint="eastAsia" w:ascii="宋体" w:hAnsi="宋体" w:eastAsia="宋体" w:cs="宋体"/>
                <w:b/>
                <w:color w:val="auto"/>
                <w:kern w:val="0"/>
                <w:sz w:val="21"/>
                <w:szCs w:val="21"/>
                <w:highlight w:val="none"/>
                <w:lang w:val="en-US" w:eastAsia="zh-CN"/>
              </w:rPr>
              <w:t>档案袋中</w:t>
            </w:r>
            <w:r>
              <w:rPr>
                <w:rFonts w:hint="eastAsia" w:ascii="宋体" w:hAnsi="宋体" w:cs="宋体"/>
                <w:b/>
                <w:color w:val="auto"/>
                <w:kern w:val="0"/>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pPr>
              <w:keepNext w:val="0"/>
              <w:keepLines w:val="0"/>
              <w:pageBreakBefore w:val="0"/>
              <w:widowControl/>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w:t>
            </w:r>
            <w:r>
              <w:rPr>
                <w:rFonts w:hint="eastAsia" w:ascii="宋体" w:hAnsi="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lang w:val="en-US" w:eastAsia="zh-CN"/>
              </w:rPr>
              <w:t>1</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31</w:t>
            </w:r>
            <w:r>
              <w:rPr>
                <w:rFonts w:hint="eastAsia" w:ascii="宋体" w:hAnsi="宋体" w:eastAsia="宋体" w:cs="宋体"/>
                <w:b/>
                <w:bCs/>
                <w:color w:val="auto"/>
                <w:sz w:val="21"/>
                <w:szCs w:val="21"/>
                <w:highlight w:val="none"/>
              </w:rPr>
              <w:t>日</w:t>
            </w:r>
            <w:r>
              <w:rPr>
                <w:rFonts w:hint="eastAsia" w:ascii="宋体" w:hAnsi="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时</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分（北京时间）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在进行评审。</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w:t>
            </w:r>
            <w:r>
              <w:rPr>
                <w:rFonts w:hint="eastAsia" w:ascii="宋体" w:hAnsi="宋体" w:eastAsia="宋体" w:cs="宋体"/>
                <w:color w:val="auto"/>
                <w:sz w:val="21"/>
                <w:szCs w:val="21"/>
                <w:highlight w:val="none"/>
                <w:lang w:val="en-US" w:eastAsia="zh-CN"/>
              </w:rPr>
              <w:t>由招标人组建</w:t>
            </w:r>
            <w:r>
              <w:rPr>
                <w:rFonts w:hint="eastAsia" w:ascii="宋体" w:hAnsi="宋体" w:eastAsia="宋体" w:cs="宋体"/>
                <w:color w:val="auto"/>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ascii="宋体" w:hAnsi="宋体" w:eastAsia="宋体" w:cs="宋体"/>
                <w:color w:val="auto"/>
                <w:sz w:val="21"/>
                <w:szCs w:val="21"/>
                <w:highlight w:val="none"/>
                <w:u w:val="single" w:color="auto"/>
              </w:rPr>
              <w:t xml:space="preserve"> 3</w:t>
            </w:r>
            <w:r>
              <w:rPr>
                <w:rFonts w:hint="eastAsia" w:ascii="宋体" w:hAnsi="宋体" w:eastAsia="宋体" w:cs="宋体"/>
                <w:color w:val="auto"/>
                <w:sz w:val="21"/>
                <w:szCs w:val="21"/>
                <w:highlight w:val="none"/>
              </w:rPr>
              <w:t>名中标候选人。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中标通知书须加盖</w:t>
            </w:r>
            <w:r>
              <w:rPr>
                <w:rFonts w:hint="eastAsia" w:ascii="宋体" w:hAnsi="宋体" w:eastAsia="宋体" w:cs="宋体"/>
                <w:color w:val="auto"/>
                <w:sz w:val="21"/>
                <w:szCs w:val="21"/>
                <w:highlight w:val="none"/>
                <w:lang w:val="en-US" w:eastAsia="zh-CN"/>
              </w:rPr>
              <w:t>招标人及代理机构公章</w:t>
            </w:r>
            <w:r>
              <w:rPr>
                <w:rFonts w:hint="eastAsia" w:ascii="宋体" w:hAnsi="宋体" w:eastAsia="宋体" w:cs="宋体"/>
                <w:color w:val="auto"/>
                <w:sz w:val="21"/>
                <w:szCs w:val="21"/>
                <w:highlight w:val="none"/>
              </w:rPr>
              <w:t>后方可发出。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pPr>
              <w:keepNext w:val="0"/>
              <w:keepLines w:val="0"/>
              <w:pageBreakBefore w:val="0"/>
              <w:kinsoku/>
              <w:wordWrap w:val="0"/>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pPr>
              <w:keepNext w:val="0"/>
              <w:keepLines w:val="0"/>
              <w:pageBreakBefore w:val="0"/>
              <w:widowControl/>
              <w:kinsoku/>
              <w:overflowPunct/>
              <w:topLinePunct w:val="0"/>
              <w:autoSpaceDE/>
              <w:autoSpaceDN/>
              <w:bidi w:val="0"/>
              <w:adjustRightInd/>
              <w:spacing w:line="50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b/>
                <w:bCs/>
                <w:color w:val="auto"/>
                <w:sz w:val="21"/>
                <w:szCs w:val="21"/>
                <w:highlight w:val="none"/>
                <w:lang w:val="en-US" w:eastAsia="zh-CN"/>
              </w:rPr>
              <w:t>202</w:t>
            </w:r>
            <w:r>
              <w:rPr>
                <w:rFonts w:hint="eastAsia" w:ascii="宋体" w:hAnsi="宋体" w:cs="宋体"/>
                <w:b/>
                <w:bCs/>
                <w:color w:val="auto"/>
                <w:sz w:val="21"/>
                <w:szCs w:val="21"/>
                <w:highlight w:val="none"/>
                <w:lang w:val="en-US" w:eastAsia="zh-CN"/>
              </w:rPr>
              <w:t>4</w:t>
            </w:r>
            <w:r>
              <w:rPr>
                <w:rFonts w:hint="eastAsia" w:ascii="宋体" w:hAnsi="宋体" w:eastAsia="宋体" w:cs="宋体"/>
                <w:b/>
                <w:bCs/>
                <w:color w:val="auto"/>
                <w:sz w:val="21"/>
                <w:szCs w:val="21"/>
                <w:highlight w:val="none"/>
                <w:lang w:val="en-US" w:eastAsia="zh-CN"/>
              </w:rPr>
              <w:t>年</w:t>
            </w:r>
            <w:r>
              <w:rPr>
                <w:rFonts w:hint="eastAsia" w:ascii="宋体" w:hAnsi="宋体" w:cs="宋体"/>
                <w:b/>
                <w:bCs/>
                <w:color w:val="auto"/>
                <w:sz w:val="21"/>
                <w:szCs w:val="21"/>
                <w:highlight w:val="none"/>
                <w:lang w:val="en-US" w:eastAsia="zh-CN"/>
              </w:rPr>
              <w:t>1</w:t>
            </w:r>
            <w:r>
              <w:rPr>
                <w:rFonts w:hint="eastAsia" w:ascii="宋体" w:hAnsi="宋体" w:eastAsia="宋体" w:cs="宋体"/>
                <w:b/>
                <w:bCs/>
                <w:color w:val="auto"/>
                <w:sz w:val="21"/>
                <w:szCs w:val="21"/>
                <w:highlight w:val="none"/>
                <w:lang w:val="en-US" w:eastAsia="zh-CN"/>
              </w:rPr>
              <w:t>月</w:t>
            </w:r>
            <w:r>
              <w:rPr>
                <w:rFonts w:hint="eastAsia" w:ascii="宋体" w:hAnsi="宋体" w:cs="宋体"/>
                <w:b/>
                <w:bCs/>
                <w:color w:val="auto"/>
                <w:sz w:val="21"/>
                <w:szCs w:val="21"/>
                <w:highlight w:val="none"/>
                <w:lang w:val="en-US" w:eastAsia="zh-CN"/>
              </w:rPr>
              <w:t>30</w:t>
            </w:r>
            <w:r>
              <w:rPr>
                <w:rFonts w:hint="eastAsia" w:ascii="宋体" w:hAnsi="宋体" w:eastAsia="宋体" w:cs="宋体"/>
                <w:b/>
                <w:bCs/>
                <w:color w:val="auto"/>
                <w:sz w:val="21"/>
                <w:szCs w:val="21"/>
                <w:highlight w:val="none"/>
                <w:lang w:val="en-US" w:eastAsia="zh-CN"/>
              </w:rPr>
              <w:t>日</w:t>
            </w:r>
            <w:r>
              <w:rPr>
                <w:rFonts w:hint="eastAsia" w:ascii="宋体" w:hAnsi="宋体" w:cs="宋体"/>
                <w:b/>
                <w:bCs/>
                <w:color w:val="auto"/>
                <w:sz w:val="21"/>
                <w:szCs w:val="21"/>
                <w:highlight w:val="none"/>
                <w:lang w:val="en-US" w:eastAsia="zh-CN"/>
              </w:rPr>
              <w:t>11</w:t>
            </w:r>
            <w:r>
              <w:rPr>
                <w:rFonts w:hint="eastAsia" w:ascii="宋体" w:hAnsi="宋体" w:eastAsia="宋体" w:cs="宋体"/>
                <w:b/>
                <w:bCs/>
                <w:color w:val="auto"/>
                <w:sz w:val="21"/>
                <w:szCs w:val="21"/>
                <w:highlight w:val="none"/>
                <w:lang w:val="en-US" w:eastAsia="zh-CN"/>
              </w:rPr>
              <w:t>时</w:t>
            </w:r>
            <w:r>
              <w:rPr>
                <w:rFonts w:hint="eastAsia" w:ascii="宋体" w:hAnsi="宋体" w:eastAsia="宋体" w:cs="宋体"/>
                <w:color w:val="auto"/>
                <w:sz w:val="21"/>
                <w:szCs w:val="21"/>
                <w:highlight w:val="none"/>
                <w:lang w:val="en-US" w:eastAsia="zh-CN"/>
              </w:rPr>
              <w:t>前</w:t>
            </w: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HYPERLINK "mailto:投标人将所遇到的问题以电子邮件形式传至cxzbdlgs@163.com"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将所遇到的问题以电子邮件形式传至czsctgczx@163.com</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 xml:space="preserve">(滁州市城投工程咨询管理有限公司电子邮箱)。招标人不再集中召开招标答疑会；投标人自行组织勘察现场。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w:t>
            </w:r>
            <w:r>
              <w:rPr>
                <w:rFonts w:hint="eastAsia" w:ascii="宋体" w:hAnsi="宋体" w:cs="宋体"/>
                <w:color w:val="auto"/>
                <w:sz w:val="21"/>
                <w:szCs w:val="21"/>
                <w:highlight w:val="none"/>
                <w:lang w:val="en-US" w:eastAsia="zh-CN"/>
              </w:rPr>
              <w:t>招标人</w:t>
            </w:r>
            <w:r>
              <w:rPr>
                <w:rFonts w:hint="eastAsia" w:ascii="宋体" w:hAnsi="宋体" w:eastAsia="宋体" w:cs="宋体"/>
                <w:color w:val="auto"/>
                <w:sz w:val="21"/>
                <w:szCs w:val="21"/>
                <w:highlight w:val="none"/>
                <w:lang w:val="en-US" w:eastAsia="zh-CN"/>
              </w:rPr>
              <w:t>澄清的方式</w:t>
            </w:r>
            <w:r>
              <w:rPr>
                <w:rFonts w:hint="default"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根据考核结果按月支付服务费用，服务费用为中标总价/12-考核扣款金额。</w:t>
            </w:r>
          </w:p>
        </w:tc>
      </w:tr>
    </w:tbl>
    <w:p>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19" w:name="_Toc449028866"/>
      <w:bookmarkStart w:id="20" w:name="_Toc58430315"/>
      <w:r>
        <w:rPr>
          <w:rFonts w:hint="eastAsia" w:ascii="宋体" w:hAnsi="宋体" w:cs="宋体"/>
          <w:b/>
          <w:color w:val="auto"/>
          <w:sz w:val="28"/>
          <w:szCs w:val="28"/>
          <w:highlight w:val="none"/>
        </w:rPr>
        <w:t>二、投标人须知</w:t>
      </w:r>
      <w:bookmarkEnd w:id="19"/>
      <w:bookmarkEnd w:id="20"/>
    </w:p>
    <w:p>
      <w:pPr>
        <w:spacing w:line="440" w:lineRule="exact"/>
        <w:jc w:val="center"/>
        <w:rPr>
          <w:rFonts w:hint="eastAsia" w:ascii="宋体" w:hAnsi="宋体" w:cs="宋体"/>
          <w:color w:val="auto"/>
          <w:sz w:val="28"/>
          <w:szCs w:val="28"/>
          <w:highlight w:val="none"/>
        </w:rPr>
      </w:pPr>
      <w:bookmarkStart w:id="21"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1"/>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 见投标人须知前附表。</w:t>
      </w:r>
    </w:p>
    <w:p>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 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最低评标价法</w:t>
      </w:r>
      <w:r>
        <w:rPr>
          <w:rFonts w:hint="eastAsia" w:ascii="宋体" w:hAnsi="宋体" w:cs="宋体"/>
          <w:color w:val="auto"/>
          <w:szCs w:val="21"/>
          <w:highlight w:val="none"/>
        </w:rPr>
        <w:t>（详见第三章评标办法）</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2" w:name="_Toc247527563"/>
      <w:bookmarkStart w:id="23" w:name="_Toc144974507"/>
      <w:bookmarkStart w:id="24" w:name="_Toc247592876"/>
      <w:bookmarkStart w:id="25" w:name="_Toc152042315"/>
      <w:bookmarkStart w:id="26" w:name="_Toc152045539"/>
      <w:bookmarkStart w:id="27" w:name="_Toc247513962"/>
      <w:bookmarkStart w:id="28" w:name="_Toc296602429"/>
      <w:r>
        <w:rPr>
          <w:rFonts w:hint="eastAsia" w:ascii="宋体" w:hAnsi="宋体" w:cs="宋体"/>
          <w:b/>
          <w:color w:val="auto"/>
          <w:szCs w:val="21"/>
          <w:highlight w:val="none"/>
        </w:rPr>
        <w:t xml:space="preserve"> 踏勘现场</w:t>
      </w:r>
      <w:bookmarkEnd w:id="22"/>
      <w:bookmarkEnd w:id="23"/>
      <w:bookmarkEnd w:id="24"/>
      <w:bookmarkEnd w:id="25"/>
      <w:bookmarkEnd w:id="26"/>
      <w:bookmarkEnd w:id="27"/>
      <w:bookmarkEnd w:id="28"/>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29" w:name="_Toc247513963"/>
      <w:bookmarkStart w:id="30" w:name="_Toc247527564"/>
      <w:bookmarkStart w:id="31" w:name="_Toc152042316"/>
      <w:bookmarkStart w:id="32" w:name="_Toc247592877"/>
      <w:bookmarkStart w:id="33" w:name="_Toc144974508"/>
      <w:bookmarkStart w:id="34" w:name="_Toc296602430"/>
      <w:bookmarkStart w:id="35" w:name="_Toc152045540"/>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29"/>
      <w:bookmarkEnd w:id="30"/>
      <w:bookmarkEnd w:id="31"/>
      <w:bookmarkEnd w:id="32"/>
      <w:bookmarkEnd w:id="33"/>
      <w:bookmarkEnd w:id="34"/>
      <w:bookmarkEnd w:id="35"/>
      <w:r>
        <w:rPr>
          <w:rFonts w:hint="eastAsia" w:ascii="宋体" w:hAnsi="宋体" w:cs="宋体"/>
          <w:b/>
          <w:color w:val="auto"/>
          <w:szCs w:val="21"/>
          <w:highlight w:val="none"/>
        </w:rPr>
        <w:t>（本项目不采用）</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pPr>
        <w:spacing w:before="312" w:beforeLines="100" w:after="312" w:afterLines="100" w:line="440" w:lineRule="exact"/>
        <w:jc w:val="center"/>
        <w:rPr>
          <w:rFonts w:hint="eastAsia" w:ascii="宋体" w:hAnsi="宋体" w:cs="宋体"/>
          <w:b/>
          <w:color w:val="auto"/>
          <w:sz w:val="28"/>
          <w:szCs w:val="28"/>
          <w:highlight w:val="none"/>
        </w:rPr>
      </w:pPr>
      <w:bookmarkStart w:id="36" w:name="_Toc449028868"/>
      <w:r>
        <w:rPr>
          <w:rFonts w:hint="eastAsia" w:ascii="宋体" w:hAnsi="宋体" w:cs="宋体"/>
          <w:b/>
          <w:color w:val="auto"/>
          <w:sz w:val="28"/>
          <w:szCs w:val="28"/>
          <w:highlight w:val="none"/>
        </w:rPr>
        <w:t>（二）</w:t>
      </w:r>
      <w:bookmarkEnd w:id="36"/>
      <w:r>
        <w:rPr>
          <w:rFonts w:hint="eastAsia" w:ascii="宋体" w:hAnsi="宋体" w:cs="宋体"/>
          <w:b/>
          <w:color w:val="auto"/>
          <w:sz w:val="28"/>
          <w:szCs w:val="28"/>
          <w:highlight w:val="none"/>
        </w:rPr>
        <w:t>招标文件</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pPr>
        <w:spacing w:line="440" w:lineRule="exact"/>
        <w:ind w:firstLine="420" w:firstLineChars="200"/>
        <w:rPr>
          <w:rFonts w:hint="eastAsia" w:ascii="宋体"/>
          <w:color w:val="auto"/>
          <w:spacing w:val="-2"/>
          <w:szCs w:val="21"/>
          <w:highlight w:val="none"/>
        </w:rPr>
      </w:pPr>
      <w:r>
        <w:rPr>
          <w:rFonts w:hint="eastAsia" w:ascii="宋体"/>
          <w:color w:val="auto"/>
          <w:szCs w:val="21"/>
          <w:highlight w:val="none"/>
        </w:rPr>
        <w:t>根据</w:t>
      </w:r>
      <w:r>
        <w:rPr>
          <w:rFonts w:hint="eastAsia"/>
          <w:color w:val="auto"/>
          <w:highlight w:val="none"/>
        </w:rPr>
        <w:t>《中华人民共和国招标投标法》、《中华人民共和国招标投标法实施条例》</w:t>
      </w:r>
      <w:r>
        <w:rPr>
          <w:rFonts w:hint="eastAsia" w:ascii="宋体"/>
          <w:color w:val="auto"/>
          <w:szCs w:val="21"/>
          <w:highlight w:val="none"/>
        </w:rPr>
        <w:t>和</w:t>
      </w:r>
      <w:r>
        <w:rPr>
          <w:rFonts w:hint="eastAsia"/>
          <w:color w:val="auto"/>
          <w:highlight w:val="none"/>
        </w:rPr>
        <w:t>《中华人民共和国民法典》</w:t>
      </w:r>
      <w:r>
        <w:rPr>
          <w:rFonts w:hint="eastAsia" w:ascii="宋体"/>
          <w:color w:val="auto"/>
          <w:spacing w:val="-2"/>
          <w:szCs w:val="21"/>
          <w:highlight w:val="none"/>
        </w:rPr>
        <w:t>等相关法律法规和规章及部、省、市级规范性文件的规定，编制本招标文件。</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第五章  合同格式</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参考）</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电子邮箱</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将以更正公告形式在中国扬子集团官网（http://www.yangzigroup.cn/case/jingpinzhuzhai/）及滁州市工投公司微信公众号予以公布。</w:t>
      </w:r>
      <w:r>
        <w:rPr>
          <w:rFonts w:hint="eastAsia" w:ascii="宋体" w:hAnsi="宋体" w:cs="宋体"/>
          <w:color w:val="auto"/>
          <w:szCs w:val="21"/>
          <w:highlight w:val="none"/>
        </w:rPr>
        <w:t>，但不指明澄清问题的来源。如果澄清内容影响投标文件编制的，将相应延长投标截止时间。</w:t>
      </w:r>
    </w:p>
    <w:p>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在、中国扬子集团官网（http://www.yangzigroup.cn/case/jingpinzhuzhai/）及滁州市工投公司微信公众号予以公布。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17.1招标文件、招标文件的澄清、修改、补充及招标答疑等均应</w:t>
      </w:r>
      <w:r>
        <w:rPr>
          <w:rFonts w:hint="eastAsia" w:ascii="宋体" w:hAnsi="宋体" w:cs="宋体"/>
          <w:color w:val="auto"/>
          <w:szCs w:val="21"/>
          <w:highlight w:val="none"/>
          <w:lang w:val="en-US" w:eastAsia="zh-CN"/>
        </w:rPr>
        <w:t>招标人确认</w:t>
      </w:r>
      <w:r>
        <w:rPr>
          <w:rFonts w:hint="eastAsia" w:ascii="宋体" w:hAnsi="宋体" w:cs="宋体"/>
          <w:color w:val="auto"/>
          <w:szCs w:val="21"/>
          <w:highlight w:val="none"/>
        </w:rPr>
        <w:t>后，方可发出。</w:t>
      </w:r>
    </w:p>
    <w:p>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或代理机构发布中标（成交）结果公告。</w:t>
      </w:r>
    </w:p>
    <w:p>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pPr>
        <w:spacing w:before="312" w:beforeLines="100" w:after="312" w:afterLines="100" w:line="440" w:lineRule="exact"/>
        <w:jc w:val="center"/>
        <w:rPr>
          <w:rFonts w:hint="eastAsia" w:ascii="宋体" w:hAnsi="宋体" w:cs="宋体"/>
          <w:b/>
          <w:color w:val="auto"/>
          <w:sz w:val="28"/>
          <w:szCs w:val="28"/>
          <w:highlight w:val="none"/>
        </w:rPr>
      </w:pPr>
      <w:bookmarkStart w:id="37" w:name="_Toc449028869"/>
      <w:r>
        <w:rPr>
          <w:rFonts w:hint="eastAsia" w:ascii="宋体" w:hAnsi="宋体" w:cs="宋体"/>
          <w:b/>
          <w:color w:val="auto"/>
          <w:sz w:val="28"/>
          <w:szCs w:val="28"/>
          <w:highlight w:val="none"/>
        </w:rPr>
        <w:t>（三）投标文件的编制</w:t>
      </w:r>
      <w:bookmarkEnd w:id="37"/>
    </w:p>
    <w:p>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（4）网递交的投标文件应按招标文件规定的格式由投标人的法定代表人和投标人分别签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23.1本项目不缴纳投标保证金。</w:t>
      </w:r>
    </w:p>
    <w:p>
      <w:pPr>
        <w:spacing w:before="312" w:beforeLines="100" w:after="312" w:afterLines="100" w:line="440" w:lineRule="exact"/>
        <w:jc w:val="center"/>
        <w:rPr>
          <w:rFonts w:hint="eastAsia" w:ascii="宋体" w:hAnsi="宋体" w:eastAsia="宋体" w:cs="宋体"/>
          <w:b/>
          <w:color w:val="auto"/>
          <w:sz w:val="28"/>
          <w:szCs w:val="28"/>
          <w:highlight w:val="none"/>
        </w:rPr>
      </w:pPr>
      <w:bookmarkStart w:id="38" w:name="_Toc449028870"/>
      <w:r>
        <w:rPr>
          <w:rFonts w:hint="eastAsia" w:ascii="宋体" w:hAnsi="宋体" w:eastAsia="宋体" w:cs="宋体"/>
          <w:b/>
          <w:color w:val="auto"/>
          <w:sz w:val="28"/>
          <w:szCs w:val="28"/>
          <w:highlight w:val="none"/>
        </w:rPr>
        <w:t>（四）投标文件的递交</w:t>
      </w:r>
      <w:bookmarkEnd w:id="38"/>
    </w:p>
    <w:p>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24.投标文件的份数和签署</w:t>
      </w:r>
    </w:p>
    <w:p>
      <w:pPr>
        <w:spacing w:line="440" w:lineRule="exact"/>
        <w:ind w:firstLine="315" w:firstLineChars="150"/>
        <w:jc w:val="left"/>
        <w:rPr>
          <w:rFonts w:hint="eastAsia" w:ascii="宋体" w:hAnsi="宋体" w:cs="宋体"/>
          <w:b w:val="0"/>
          <w:bCs w:val="0"/>
          <w:color w:val="auto"/>
          <w:szCs w:val="21"/>
          <w:highlight w:val="none"/>
        </w:rPr>
      </w:pPr>
      <w:bookmarkStart w:id="39"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 按照无效投标处理。</w:t>
      </w:r>
    </w:p>
    <w:p>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25.投标文件的提交</w:t>
      </w:r>
    </w:p>
    <w:p>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投标人应在投标人须知前附表规定的投标截止时间前在递交投标文件。未在开标截止时间前递交投标文件的，投标将被拒绝。</w:t>
      </w:r>
    </w:p>
    <w:p>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39"/>
    </w:p>
    <w:p>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27.开标</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pPr>
        <w:spacing w:line="420" w:lineRule="exact"/>
        <w:ind w:firstLine="421"/>
        <w:jc w:val="left"/>
        <w:rPr>
          <w:rFonts w:hint="eastAsia" w:ascii="宋体"/>
          <w:b/>
          <w:color w:val="auto"/>
          <w:szCs w:val="21"/>
          <w:highlight w:val="none"/>
        </w:rPr>
      </w:pPr>
      <w:bookmarkStart w:id="40" w:name="_Toc449028873"/>
      <w:r>
        <w:rPr>
          <w:rFonts w:hint="eastAsia" w:ascii="宋体"/>
          <w:b/>
          <w:color w:val="auto"/>
          <w:szCs w:val="21"/>
          <w:highlight w:val="none"/>
          <w:lang w:val="en-US" w:eastAsia="zh-CN"/>
        </w:rPr>
        <w:t>29</w:t>
      </w:r>
      <w:r>
        <w:rPr>
          <w:rFonts w:hint="eastAsia" w:ascii="宋体"/>
          <w:b/>
          <w:color w:val="auto"/>
          <w:szCs w:val="21"/>
          <w:highlight w:val="none"/>
        </w:rPr>
        <w:t>.评标</w:t>
      </w:r>
    </w:p>
    <w:p>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w:t>
      </w:r>
      <w:r>
        <w:rPr>
          <w:rFonts w:hint="eastAsia" w:ascii="宋体"/>
          <w:color w:val="auto"/>
          <w:szCs w:val="21"/>
          <w:highlight w:val="none"/>
          <w:lang w:val="en-US" w:eastAsia="zh-CN"/>
        </w:rPr>
        <w:t>招标人</w:t>
      </w:r>
      <w:r>
        <w:rPr>
          <w:rFonts w:hint="eastAsia" w:ascii="宋体"/>
          <w:color w:val="auto"/>
          <w:szCs w:val="21"/>
          <w:highlight w:val="none"/>
        </w:rPr>
        <w:t>的监督下，可要求投标人对投标文件中的有关问题进行澄清或提供补充说明及有关资料，投标人应做出书面答复。</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w:t>
      </w:r>
      <w:r>
        <w:rPr>
          <w:rFonts w:hint="eastAsia" w:ascii="宋体"/>
          <w:color w:val="auto"/>
          <w:szCs w:val="21"/>
          <w:highlight w:val="none"/>
          <w:lang w:val="en-US" w:eastAsia="zh-CN"/>
        </w:rPr>
        <w:t>招标人</w:t>
      </w:r>
      <w:r>
        <w:rPr>
          <w:rFonts w:hint="eastAsia" w:ascii="宋体"/>
          <w:color w:val="auto"/>
          <w:szCs w:val="21"/>
          <w:highlight w:val="none"/>
        </w:rPr>
        <w:t>认为需要重新进行评标的，评标委员会成员应当按照</w:t>
      </w:r>
      <w:r>
        <w:rPr>
          <w:rFonts w:hint="eastAsia" w:ascii="宋体"/>
          <w:color w:val="auto"/>
          <w:szCs w:val="21"/>
          <w:highlight w:val="none"/>
          <w:lang w:val="en-US" w:eastAsia="zh-CN"/>
        </w:rPr>
        <w:t>招标人</w:t>
      </w:r>
      <w:r>
        <w:rPr>
          <w:rFonts w:hint="eastAsia" w:ascii="宋体"/>
          <w:color w:val="auto"/>
          <w:szCs w:val="21"/>
          <w:highlight w:val="none"/>
        </w:rPr>
        <w:t>要求重新评标。</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pPr>
        <w:tabs>
          <w:tab w:val="left" w:pos="720"/>
        </w:tabs>
        <w:spacing w:line="420" w:lineRule="exact"/>
        <w:ind w:right="-313" w:rightChars="-149" w:firstLine="420" w:firstLineChars="200"/>
        <w:jc w:val="left"/>
        <w:rPr>
          <w:color w:val="auto"/>
          <w:highlight w:val="none"/>
        </w:rPr>
      </w:pPr>
      <w:r>
        <w:rPr>
          <w:rFonts w:hint="eastAsia" w:ascii="宋体"/>
          <w:color w:val="auto"/>
          <w:szCs w:val="21"/>
          <w:highlight w:val="none"/>
        </w:rPr>
        <w:t>招标人应将中标人的情况在</w:t>
      </w:r>
      <w:r>
        <w:rPr>
          <w:rFonts w:hint="eastAsia" w:ascii="宋体"/>
          <w:color w:val="auto"/>
          <w:szCs w:val="21"/>
          <w:highlight w:val="none"/>
          <w:lang w:val="en-US" w:eastAsia="zh-CN"/>
        </w:rPr>
        <w:t>中国扬子集团官网（http://www.yangzigroup.cn/case/jingpinzhuzhai/）及滁州市工投公司微信公众号</w:t>
      </w:r>
      <w:r>
        <w:rPr>
          <w:rFonts w:hint="eastAsia" w:ascii="宋体"/>
          <w:color w:val="auto"/>
          <w:szCs w:val="21"/>
          <w:highlight w:val="none"/>
        </w:rPr>
        <w:t>上予以公告，公告期为3日。投标人或其他利害关系人对评标结果有异议的，应在中标候选人公示期内提出。招标人将在收到异议之日起 3 日内作出答复；作出答复前，将暂停招标投标活动。</w:t>
      </w:r>
    </w:p>
    <w:p>
      <w:pPr>
        <w:spacing w:line="420" w:lineRule="exact"/>
        <w:ind w:firstLine="421"/>
        <w:jc w:val="left"/>
        <w:rPr>
          <w:rFonts w:hint="eastAsia" w:ascii="宋体"/>
          <w:b/>
          <w:color w:val="auto"/>
          <w:szCs w:val="21"/>
          <w:highlight w:val="none"/>
        </w:rPr>
      </w:pPr>
      <w:r>
        <w:rPr>
          <w:rFonts w:hint="eastAsia" w:ascii="宋体"/>
          <w:b/>
          <w:color w:val="auto"/>
          <w:szCs w:val="21"/>
          <w:highlight w:val="none"/>
        </w:rPr>
        <w:t>3</w:t>
      </w:r>
      <w:r>
        <w:rPr>
          <w:rFonts w:hint="eastAsia" w:ascii="宋体"/>
          <w:b/>
          <w:color w:val="auto"/>
          <w:szCs w:val="21"/>
          <w:highlight w:val="none"/>
          <w:lang w:val="en-US" w:eastAsia="zh-CN"/>
        </w:rPr>
        <w:t>0</w:t>
      </w:r>
      <w:r>
        <w:rPr>
          <w:rFonts w:hint="eastAsia" w:ascii="宋体"/>
          <w:b/>
          <w:color w:val="auto"/>
          <w:szCs w:val="21"/>
          <w:highlight w:val="none"/>
        </w:rPr>
        <w:t>.定标</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.1 中标人的确定</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1.1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.1.2中标人确定后，招标人应将中标信息在</w:t>
      </w:r>
      <w:r>
        <w:rPr>
          <w:rFonts w:hint="eastAsia" w:ascii="宋体"/>
          <w:color w:val="auto"/>
          <w:szCs w:val="21"/>
          <w:highlight w:val="none"/>
          <w:lang w:val="en-US" w:eastAsia="zh-CN"/>
        </w:rPr>
        <w:t>中国扬子集团官网（http://www.yangzigroup.cn/case/jingpinzhuzhai/）及滁州市工投公司微信公众号</w:t>
      </w:r>
      <w:r>
        <w:rPr>
          <w:rFonts w:hint="eastAsia" w:ascii="宋体"/>
          <w:color w:val="auto"/>
          <w:szCs w:val="21"/>
          <w:highlight w:val="none"/>
        </w:rPr>
        <w:t>上公告。</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.2 中标通知书</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.2.1招标人或代理机构应在中标人确定之日起2个工作日内，在</w:t>
      </w:r>
      <w:r>
        <w:rPr>
          <w:rFonts w:hint="eastAsia" w:ascii="宋体"/>
          <w:color w:val="auto"/>
          <w:szCs w:val="21"/>
          <w:highlight w:val="none"/>
          <w:lang w:val="en-US" w:eastAsia="zh-CN"/>
        </w:rPr>
        <w:t>中国扬子集团官网（http://www.yangzigroup.cn/case/jingpinzhuzhai/）及滁州市工投公司微信公众号</w:t>
      </w:r>
      <w:r>
        <w:rPr>
          <w:rFonts w:hint="eastAsia" w:ascii="宋体"/>
          <w:color w:val="auto"/>
          <w:szCs w:val="21"/>
          <w:highlight w:val="none"/>
        </w:rPr>
        <w:t>公告中标结果并同时向中标人发出中标通知书。</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.2.2中标通知书须加盖招标人、代理机构公章后，方可发出。</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.2.3招标人将在发出中标通知书的同时，向未通过资格审查的投标人告知其未通过的原因。</w:t>
      </w:r>
    </w:p>
    <w:p>
      <w:pPr>
        <w:spacing w:line="420" w:lineRule="exact"/>
        <w:ind w:firstLine="421"/>
        <w:jc w:val="left"/>
        <w:rPr>
          <w:rFonts w:hint="eastAsia" w:ascii="宋体"/>
          <w:b/>
          <w:color w:val="auto"/>
          <w:szCs w:val="21"/>
          <w:highlight w:val="none"/>
        </w:rPr>
      </w:pPr>
      <w:r>
        <w:rPr>
          <w:rFonts w:hint="eastAsia" w:ascii="宋体"/>
          <w:b/>
          <w:color w:val="auto"/>
          <w:szCs w:val="21"/>
          <w:highlight w:val="none"/>
        </w:rPr>
        <w:t>3</w:t>
      </w:r>
      <w:r>
        <w:rPr>
          <w:rFonts w:hint="eastAsia" w:ascii="宋体"/>
          <w:b/>
          <w:color w:val="auto"/>
          <w:szCs w:val="21"/>
          <w:highlight w:val="none"/>
          <w:lang w:val="en-US" w:eastAsia="zh-CN"/>
        </w:rPr>
        <w:t>1</w:t>
      </w:r>
      <w:r>
        <w:rPr>
          <w:rFonts w:hint="eastAsia" w:ascii="宋体"/>
          <w:b/>
          <w:color w:val="auto"/>
          <w:szCs w:val="21"/>
          <w:highlight w:val="none"/>
        </w:rPr>
        <w:t>.开评标异常情况处理</w:t>
      </w:r>
    </w:p>
    <w:p>
      <w:pPr>
        <w:spacing w:line="420" w:lineRule="exact"/>
        <w:ind w:firstLine="421"/>
        <w:jc w:val="left"/>
        <w:rPr>
          <w:rFonts w:hint="eastAsia" w:ascii="宋体"/>
          <w:b/>
          <w:color w:val="auto"/>
          <w:szCs w:val="21"/>
          <w:highlight w:val="none"/>
        </w:rPr>
      </w:pPr>
      <w:r>
        <w:rPr>
          <w:rFonts w:hint="eastAsia" w:ascii="宋体"/>
          <w:color w:val="auto"/>
          <w:kern w:val="10"/>
          <w:szCs w:val="21"/>
          <w:highlight w:val="none"/>
        </w:rPr>
        <w:t>3</w:t>
      </w:r>
      <w:r>
        <w:rPr>
          <w:rFonts w:hint="eastAsia" w:ascii="宋体"/>
          <w:color w:val="auto"/>
          <w:kern w:val="10"/>
          <w:szCs w:val="21"/>
          <w:highlight w:val="none"/>
          <w:lang w:val="en-US" w:eastAsia="zh-CN"/>
        </w:rPr>
        <w:t>1</w:t>
      </w:r>
      <w:r>
        <w:rPr>
          <w:rFonts w:hint="eastAsia" w:ascii="宋体"/>
          <w:color w:val="auto"/>
          <w:kern w:val="10"/>
          <w:szCs w:val="21"/>
          <w:highlight w:val="none"/>
        </w:rPr>
        <w:t>.1</w:t>
      </w:r>
      <w:r>
        <w:rPr>
          <w:rFonts w:hint="eastAsia" w:ascii="宋体"/>
          <w:b/>
          <w:color w:val="auto"/>
          <w:szCs w:val="21"/>
          <w:highlight w:val="none"/>
        </w:rPr>
        <w:t xml:space="preserve">重新招标 </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项目有下列情形之一的，招标人将重新招标：</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 xml:space="preserve">(1)投标截止时间止，投标人少于三个的； </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(2)符合专业条件的供应商或者对招标文件作实质响应的供应商不足三家的；</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(3)出现影响招标公正的违法、违规行为的；</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(4)投标人的报价均脱离实际且无充分证据的；</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w:t>
      </w:r>
      <w:r>
        <w:rPr>
          <w:rFonts w:hint="eastAsia" w:ascii="宋体"/>
          <w:color w:val="auto"/>
          <w:kern w:val="10"/>
          <w:szCs w:val="21"/>
          <w:highlight w:val="none"/>
          <w:lang w:val="en-US" w:eastAsia="zh-CN"/>
        </w:rPr>
        <w:t>5</w:t>
      </w:r>
      <w:r>
        <w:rPr>
          <w:rFonts w:hint="eastAsia" w:ascii="宋体"/>
          <w:color w:val="auto"/>
          <w:kern w:val="10"/>
          <w:szCs w:val="21"/>
          <w:highlight w:val="none"/>
        </w:rPr>
        <w:t>)因重大变故，采购任务取消的。</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3</w:t>
      </w:r>
      <w:r>
        <w:rPr>
          <w:rFonts w:hint="eastAsia" w:ascii="宋体"/>
          <w:color w:val="auto"/>
          <w:kern w:val="10"/>
          <w:szCs w:val="21"/>
          <w:highlight w:val="none"/>
          <w:lang w:val="en-US" w:eastAsia="zh-CN"/>
        </w:rPr>
        <w:t>1.</w:t>
      </w:r>
      <w:r>
        <w:rPr>
          <w:rFonts w:hint="eastAsia" w:ascii="宋体"/>
          <w:color w:val="auto"/>
          <w:kern w:val="10"/>
          <w:szCs w:val="21"/>
          <w:highlight w:val="none"/>
        </w:rPr>
        <w:t>2变更采购方式</w:t>
      </w:r>
    </w:p>
    <w:p>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1" w:name="_Toc449028872"/>
      <w:r>
        <w:rPr>
          <w:rFonts w:hint="eastAsia" w:ascii="宋体"/>
          <w:color w:val="auto"/>
          <w:szCs w:val="21"/>
          <w:highlight w:val="none"/>
        </w:rPr>
        <w:t>按照滁州市公管局相关规定执行。</w:t>
      </w:r>
      <w:bookmarkEnd w:id="41"/>
    </w:p>
    <w:p>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0"/>
    </w:p>
    <w:p>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32.合同授予标准</w:t>
      </w:r>
    </w:p>
    <w:p>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32.1本招标项目的合同将授予按本投标须知第30条规定所确定的中标人。 </w:t>
      </w:r>
    </w:p>
    <w:p>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33.合同协议书的签订</w:t>
      </w:r>
    </w:p>
    <w:p>
      <w:pPr>
        <w:spacing w:line="440" w:lineRule="exact"/>
        <w:ind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1招标人与中标人将于中标通知书发出之日起30日内，按照招标文件和中标人的投标文件订立书面采购合同。中标人无正当理由拒签合同的，在签订合同时向招标人提出附加条件，或不按照招标文件要求提交履约保证金的，招标人取消其中标资格，其投标保证金不予退还；给招标人造成的损失超过投标保证金数额的，中标人还应当对超过部分予以赔偿。</w:t>
      </w:r>
    </w:p>
    <w:p>
      <w:pPr>
        <w:spacing w:line="440" w:lineRule="exact"/>
        <w:ind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33.2</w:t>
      </w:r>
      <w:r>
        <w:rPr>
          <w:rFonts w:hint="eastAsia" w:ascii="宋体" w:hAnsi="宋体" w:eastAsia="宋体" w:cs="宋体"/>
          <w:color w:val="auto"/>
          <w:szCs w:val="21"/>
          <w:highlight w:val="none"/>
        </w:rPr>
        <w:t>发出中标通知书后，招标人无正当理由拒签合同的，招标人向中标人退还投标保证金；给中标人造成损失的，还应当赔偿损失。</w:t>
      </w:r>
    </w:p>
    <w:p>
      <w:pPr>
        <w:spacing w:line="440" w:lineRule="exact"/>
        <w:ind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依法必须进行招标的项目，除中标人以外的其他投标人存在串通投标、弄虚作假、行贿情形且在评标过程中未被发现的，视为对中标结果没有造成实质性影响，招标人可以依法继续开展招标活动。</w:t>
      </w:r>
    </w:p>
    <w:p>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2" w:name="_Toc217446068"/>
      <w:r>
        <w:rPr>
          <w:rFonts w:hint="eastAsia" w:ascii="宋体" w:hAnsi="宋体" w:cs="宋体"/>
          <w:b/>
          <w:color w:val="auto"/>
          <w:szCs w:val="21"/>
          <w:highlight w:val="none"/>
        </w:rPr>
        <w:t>履约保证金</w:t>
      </w:r>
      <w:bookmarkEnd w:id="42"/>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pPr>
        <w:spacing w:before="312" w:beforeLines="100" w:after="312" w:afterLines="100" w:line="440" w:lineRule="exact"/>
        <w:jc w:val="center"/>
        <w:rPr>
          <w:rFonts w:hint="eastAsia" w:ascii="宋体" w:hAnsi="宋体" w:eastAsia="宋体" w:cs="宋体"/>
          <w:b/>
          <w:color w:val="auto"/>
          <w:sz w:val="28"/>
          <w:szCs w:val="28"/>
          <w:highlight w:val="none"/>
        </w:rPr>
      </w:pPr>
      <w:bookmarkStart w:id="43" w:name="_Toc449028874"/>
      <w:r>
        <w:rPr>
          <w:rFonts w:hint="eastAsia" w:ascii="宋体" w:hAnsi="宋体" w:eastAsia="宋体" w:cs="宋体"/>
          <w:b/>
          <w:color w:val="auto"/>
          <w:sz w:val="28"/>
          <w:szCs w:val="28"/>
          <w:highlight w:val="none"/>
        </w:rPr>
        <w:t>（七）纪律和监督</w:t>
      </w:r>
      <w:bookmarkEnd w:id="43"/>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before="312" w:beforeLines="100" w:after="312" w:afterLines="100" w:line="440" w:lineRule="exact"/>
        <w:jc w:val="center"/>
        <w:rPr>
          <w:rFonts w:hint="eastAsia" w:ascii="宋体" w:hAnsi="宋体" w:eastAsia="宋体" w:cs="宋体"/>
          <w:b/>
          <w:color w:val="auto"/>
          <w:sz w:val="28"/>
          <w:szCs w:val="28"/>
          <w:highlight w:val="none"/>
          <w:lang w:eastAsia="zh-CN"/>
        </w:rPr>
      </w:pPr>
      <w:bookmarkStart w:id="44" w:name="_Toc449028875"/>
      <w:r>
        <w:rPr>
          <w:rFonts w:hint="eastAsia" w:ascii="宋体" w:hAnsi="宋体" w:eastAsia="宋体" w:cs="宋体"/>
          <w:b/>
          <w:color w:val="auto"/>
          <w:sz w:val="28"/>
          <w:szCs w:val="28"/>
          <w:highlight w:val="none"/>
        </w:rPr>
        <w:t>（八）</w:t>
      </w:r>
      <w:bookmarkEnd w:id="44"/>
      <w:r>
        <w:rPr>
          <w:rFonts w:hint="eastAsia" w:ascii="宋体" w:hAnsi="宋体" w:cs="宋体"/>
          <w:b/>
          <w:color w:val="auto"/>
          <w:sz w:val="28"/>
          <w:szCs w:val="28"/>
          <w:highlight w:val="none"/>
          <w:lang w:val="en-US" w:eastAsia="zh-CN"/>
        </w:rPr>
        <w:t>投诉</w:t>
      </w:r>
    </w:p>
    <w:p>
      <w:pPr>
        <w:spacing w:line="440" w:lineRule="exact"/>
        <w:ind w:firstLine="314" w:firstLineChars="149"/>
        <w:jc w:val="left"/>
        <w:rPr>
          <w:rFonts w:hint="eastAsia" w:ascii="宋体" w:hAnsi="宋体" w:eastAsia="宋体" w:cs="宋体"/>
          <w:b/>
          <w:color w:val="auto"/>
          <w:szCs w:val="21"/>
          <w:highlight w:val="none"/>
          <w:lang w:eastAsia="zh-CN"/>
        </w:rPr>
      </w:pPr>
      <w:r>
        <w:rPr>
          <w:rFonts w:hint="eastAsia" w:ascii="宋体" w:hAnsi="宋体" w:cs="宋体"/>
          <w:b/>
          <w:color w:val="auto"/>
          <w:szCs w:val="21"/>
          <w:highlight w:val="none"/>
        </w:rPr>
        <w:t xml:space="preserve">39. </w:t>
      </w:r>
      <w:r>
        <w:rPr>
          <w:rFonts w:hint="eastAsia" w:ascii="宋体" w:hAnsi="宋体" w:cs="宋体"/>
          <w:b/>
          <w:color w:val="auto"/>
          <w:szCs w:val="21"/>
          <w:highlight w:val="none"/>
          <w:lang w:val="en-US" w:eastAsia="zh-CN"/>
        </w:rPr>
        <w:t>投诉</w:t>
      </w:r>
    </w:p>
    <w:p>
      <w:pPr>
        <w:adjustRightInd w:val="0"/>
        <w:snapToGrid w:val="0"/>
        <w:spacing w:line="420" w:lineRule="exact"/>
        <w:ind w:firstLine="315" w:firstLineChars="150"/>
        <w:rPr>
          <w:rFonts w:hint="eastAsia" w:ascii="宋体" w:hAnsi="Times New Roman" w:eastAsia="宋体" w:cs="Times New Roman"/>
          <w:color w:val="auto"/>
          <w:kern w:val="10"/>
          <w:szCs w:val="21"/>
          <w:highlight w:val="none"/>
        </w:rPr>
      </w:pPr>
      <w:bookmarkStart w:id="45" w:name="_Toc58430316"/>
      <w:r>
        <w:rPr>
          <w:rFonts w:hint="eastAsia" w:ascii="宋体" w:eastAsia="宋体" w:cs="Times New Roman"/>
          <w:color w:val="auto"/>
          <w:kern w:val="10"/>
          <w:szCs w:val="21"/>
          <w:highlight w:val="none"/>
          <w:lang w:val="en-US" w:eastAsia="zh-CN"/>
        </w:rPr>
        <w:t>39</w:t>
      </w:r>
      <w:r>
        <w:rPr>
          <w:rFonts w:hint="eastAsia" w:ascii="宋体" w:hAnsi="Times New Roman" w:eastAsia="宋体" w:cs="Times New Roman"/>
          <w:color w:val="auto"/>
          <w:kern w:val="10"/>
          <w:szCs w:val="21"/>
          <w:highlight w:val="none"/>
        </w:rPr>
        <w:t>.1投标人或者其他利害关系人认为招标投标活动违反法律、法规和规章规定的，有权向相关行政监督部门投诉。投诉应当有明确的请求和必要的证明材料。</w:t>
      </w:r>
    </w:p>
    <w:p>
      <w:pPr>
        <w:adjustRightInd w:val="0"/>
        <w:snapToGrid w:val="0"/>
        <w:spacing w:line="420" w:lineRule="exact"/>
        <w:ind w:firstLine="315" w:firstLineChars="150"/>
        <w:rPr>
          <w:rFonts w:hint="eastAsia" w:ascii="宋体" w:hAnsi="Times New Roman" w:eastAsia="宋体" w:cs="Times New Roman"/>
          <w:color w:val="auto"/>
          <w:kern w:val="10"/>
          <w:szCs w:val="21"/>
          <w:highlight w:val="none"/>
        </w:rPr>
      </w:pPr>
      <w:r>
        <w:rPr>
          <w:rFonts w:hint="eastAsia" w:ascii="宋体" w:eastAsia="宋体" w:cs="Times New Roman"/>
          <w:color w:val="auto"/>
          <w:kern w:val="10"/>
          <w:szCs w:val="21"/>
          <w:highlight w:val="none"/>
          <w:lang w:val="en-US" w:eastAsia="zh-CN"/>
        </w:rPr>
        <w:t>39</w:t>
      </w:r>
      <w:r>
        <w:rPr>
          <w:rFonts w:hint="eastAsia" w:ascii="宋体" w:hAnsi="Times New Roman" w:eastAsia="宋体" w:cs="Times New Roman"/>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第三章 评标办法</w:t>
      </w:r>
      <w:bookmarkEnd w:id="45"/>
    </w:p>
    <w:p>
      <w:pPr>
        <w:spacing w:before="156" w:beforeLines="50" w:after="156" w:afterLines="50" w:line="440" w:lineRule="exact"/>
        <w:jc w:val="center"/>
        <w:outlineLvl w:val="1"/>
        <w:rPr>
          <w:rFonts w:hint="eastAsia" w:ascii="宋体"/>
          <w:b/>
          <w:color w:val="auto"/>
          <w:sz w:val="28"/>
          <w:szCs w:val="28"/>
          <w:highlight w:val="none"/>
        </w:rPr>
      </w:pPr>
      <w:bookmarkStart w:id="46" w:name="_Toc58430317"/>
      <w:bookmarkStart w:id="47" w:name="_Toc362983801"/>
      <w:bookmarkStart w:id="48" w:name="_Toc449028877"/>
      <w:bookmarkStart w:id="49" w:name="_Toc267320058"/>
      <w:bookmarkStart w:id="50" w:name="_Toc363135205"/>
      <w:r>
        <w:rPr>
          <w:rFonts w:hint="eastAsia" w:ascii="宋体"/>
          <w:b/>
          <w:color w:val="auto"/>
          <w:sz w:val="28"/>
          <w:szCs w:val="28"/>
          <w:highlight w:val="none"/>
        </w:rPr>
        <w:t>一、总则</w:t>
      </w:r>
      <w:bookmarkEnd w:id="46"/>
      <w:bookmarkEnd w:id="47"/>
      <w:bookmarkEnd w:id="48"/>
    </w:p>
    <w:p>
      <w:pPr>
        <w:spacing w:line="440" w:lineRule="exact"/>
        <w:ind w:firstLine="316" w:firstLineChars="150"/>
        <w:jc w:val="left"/>
        <w:rPr>
          <w:rFonts w:ascii="宋体"/>
          <w:b/>
          <w:color w:val="auto"/>
          <w:szCs w:val="21"/>
          <w:highlight w:val="none"/>
        </w:rPr>
      </w:pPr>
      <w:bookmarkStart w:id="51" w:name="_Toc362983802"/>
      <w:r>
        <w:rPr>
          <w:rFonts w:hint="eastAsia" w:ascii="宋体"/>
          <w:b/>
          <w:color w:val="auto"/>
          <w:szCs w:val="21"/>
          <w:highlight w:val="none"/>
        </w:rPr>
        <w:t>1. 本次评标采用最低评标价法</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1.1最低评标价法，是指投标文件满足招标文件全部实质性要求且投标报价由低到高的供应商为中标候选人的评标方法。</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 xml:space="preserve"> 1.2最低评标价法一般适用于标准定制商品及通用服务项目的项目评审。</w:t>
      </w:r>
    </w:p>
    <w:p>
      <w:pPr>
        <w:spacing w:line="440" w:lineRule="exact"/>
        <w:ind w:firstLine="422" w:firstLineChars="200"/>
        <w:jc w:val="left"/>
        <w:rPr>
          <w:rFonts w:ascii="宋体"/>
          <w:b/>
          <w:color w:val="auto"/>
          <w:szCs w:val="21"/>
          <w:highlight w:val="none"/>
        </w:rPr>
      </w:pPr>
      <w:r>
        <w:rPr>
          <w:rFonts w:hint="eastAsia" w:ascii="宋体"/>
          <w:b/>
          <w:color w:val="auto"/>
          <w:szCs w:val="21"/>
          <w:highlight w:val="none"/>
        </w:rPr>
        <w:t>2．评标程序</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2.1投标文件的初审</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2.2投标文件的澄清</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 xml:space="preserve">2.2.1本项目采用远程开标，具体操作方法详见服务指南&gt;交易须知&gt;开标大厅远程解密、质疑(异议)及回复以及评标过程中询标流程操作手册。 </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2.3比较与评价</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 xml:space="preserve">2．3.1按招标文件中规定的评标方法和标准，对资格性检查和符合性检查合格的投标文件进行商务报价评审，综合比较与评价。 </w:t>
      </w:r>
      <w:r>
        <w:rPr>
          <w:rFonts w:hint="eastAsia" w:ascii="宋体"/>
          <w:color w:val="auto"/>
          <w:szCs w:val="21"/>
          <w:highlight w:val="none"/>
        </w:rPr>
        <w:br w:type="textWrapping"/>
      </w:r>
      <w:r>
        <w:rPr>
          <w:rFonts w:hint="eastAsia" w:ascii="宋体"/>
          <w:color w:val="auto"/>
          <w:szCs w:val="21"/>
          <w:highlight w:val="none"/>
        </w:rPr>
        <w:t xml:space="preserve">    2.4推荐中标候选人名单</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2.4.1中标候选人数量应当根据采购需要确定，但必须按顺序排列中标候选人。</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2.5在投标文件的审查、澄清、评价和比较以及授予合同过程中，投标人对招标单位和评标委员会成员施加影响的任何行为，都将导致取消其中标资格。</w:t>
      </w:r>
    </w:p>
    <w:p>
      <w:pPr>
        <w:spacing w:before="156" w:beforeLines="50" w:after="156" w:afterLines="50" w:line="360" w:lineRule="auto"/>
        <w:outlineLvl w:val="1"/>
        <w:rPr>
          <w:rFonts w:ascii="宋体"/>
          <w:b/>
          <w:color w:val="auto"/>
          <w:sz w:val="28"/>
          <w:szCs w:val="28"/>
          <w:highlight w:val="none"/>
        </w:rPr>
        <w:sectPr>
          <w:footerReference r:id="rId8" w:type="default"/>
          <w:pgSz w:w="11906" w:h="16838"/>
          <w:pgMar w:top="1440" w:right="1800" w:bottom="1440" w:left="1800" w:header="851" w:footer="992" w:gutter="0"/>
          <w:pgNumType w:fmt="numberInDash" w:start="1"/>
          <w:cols w:space="720" w:num="1"/>
          <w:docGrid w:type="lines" w:linePitch="312" w:charSpace="0"/>
        </w:sectPr>
      </w:pPr>
    </w:p>
    <w:p>
      <w:pPr>
        <w:jc w:val="center"/>
        <w:outlineLvl w:val="1"/>
        <w:rPr>
          <w:rFonts w:hint="eastAsia" w:ascii="宋体"/>
          <w:b/>
          <w:color w:val="auto"/>
          <w:sz w:val="28"/>
          <w:szCs w:val="28"/>
          <w:highlight w:val="none"/>
        </w:rPr>
      </w:pPr>
      <w:bookmarkStart w:id="52" w:name="_Toc449028878"/>
      <w:bookmarkStart w:id="53" w:name="_Toc58430318"/>
      <w:r>
        <w:rPr>
          <w:rFonts w:hint="eastAsia" w:ascii="宋体"/>
          <w:b/>
          <w:color w:val="auto"/>
          <w:sz w:val="28"/>
          <w:szCs w:val="28"/>
          <w:highlight w:val="none"/>
        </w:rPr>
        <w:t>二、投标文件初审</w:t>
      </w:r>
      <w:bookmarkEnd w:id="51"/>
      <w:bookmarkEnd w:id="52"/>
      <w:bookmarkEnd w:id="53"/>
    </w:p>
    <w:p>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4"/>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795"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pPr>
              <w:spacing w:line="440" w:lineRule="exact"/>
              <w:jc w:val="center"/>
              <w:rPr>
                <w:rFonts w:hint="eastAsia" w:ascii="宋体" w:hAnsi="宋体" w:cs="宋体"/>
                <w:color w:val="auto"/>
                <w:szCs w:val="21"/>
                <w:highlight w:val="none"/>
              </w:rPr>
            </w:pPr>
          </w:p>
        </w:tc>
        <w:tc>
          <w:tcPr>
            <w:tcW w:w="1275" w:type="dxa"/>
            <w:vMerge w:val="continue"/>
            <w:noWrap w:val="0"/>
            <w:vAlign w:val="center"/>
          </w:tcPr>
          <w:p>
            <w:pPr>
              <w:spacing w:line="440" w:lineRule="exact"/>
              <w:rPr>
                <w:rFonts w:hint="eastAsia" w:ascii="宋体" w:hAnsi="宋体" w:cs="宋体"/>
                <w:color w:val="auto"/>
                <w:szCs w:val="21"/>
                <w:highlight w:val="none"/>
              </w:rPr>
            </w:pPr>
          </w:p>
        </w:tc>
        <w:tc>
          <w:tcPr>
            <w:tcW w:w="3368" w:type="dxa"/>
            <w:noWrap w:val="0"/>
            <w:vAlign w:val="top"/>
          </w:tcPr>
          <w:p>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）诚信投标承诺书</w:t>
            </w:r>
          </w:p>
        </w:tc>
        <w:tc>
          <w:tcPr>
            <w:tcW w:w="4492" w:type="dxa"/>
            <w:noWrap w:val="0"/>
            <w:vAlign w:val="top"/>
          </w:tcPr>
          <w:p>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正本一份、副本二份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w:t>
      </w:r>
      <w:r>
        <w:rPr>
          <w:rFonts w:hint="eastAsia" w:ascii="宋体" w:hAnsi="宋体" w:cs="宋体"/>
          <w:color w:val="auto"/>
          <w:szCs w:val="21"/>
          <w:highlight w:val="none"/>
          <w:lang w:val="en-US" w:eastAsia="zh-CN"/>
        </w:rPr>
        <w:t>审</w:t>
      </w:r>
      <w:r>
        <w:rPr>
          <w:rFonts w:hint="eastAsia" w:ascii="宋体" w:hAnsi="宋体" w:cs="宋体"/>
          <w:color w:val="auto"/>
          <w:szCs w:val="21"/>
          <w:highlight w:val="none"/>
        </w:rPr>
        <w:t>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pPr>
        <w:jc w:val="center"/>
        <w:outlineLvl w:val="1"/>
        <w:rPr>
          <w:rFonts w:hint="eastAsia" w:ascii="宋体" w:hAnsi="Times New Roman" w:eastAsia="宋体" w:cs="Times New Roman"/>
          <w:b/>
          <w:color w:val="auto"/>
          <w:sz w:val="28"/>
          <w:szCs w:val="28"/>
          <w:highlight w:val="none"/>
        </w:rPr>
      </w:pPr>
      <w:bookmarkStart w:id="54" w:name="_Toc362983803"/>
      <w:bookmarkStart w:id="55" w:name="_Toc58430319"/>
      <w:bookmarkStart w:id="56" w:name="_Toc449028879"/>
      <w:r>
        <w:rPr>
          <w:rFonts w:hint="eastAsia" w:ascii="宋体" w:hAnsi="Times New Roman" w:eastAsia="宋体" w:cs="Times New Roman"/>
          <w:b/>
          <w:color w:val="auto"/>
          <w:sz w:val="28"/>
          <w:szCs w:val="28"/>
          <w:highlight w:val="none"/>
        </w:rPr>
        <w:t>三、投标文件的澄清和补正</w:t>
      </w:r>
      <w:bookmarkEnd w:id="54"/>
      <w:bookmarkEnd w:id="55"/>
      <w:bookmarkEnd w:id="56"/>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pPr>
        <w:spacing w:line="440" w:lineRule="exact"/>
        <w:ind w:firstLine="403" w:firstLineChars="192"/>
        <w:jc w:val="left"/>
        <w:rPr>
          <w:rFonts w:hint="eastAsia" w:ascii="宋体"/>
          <w:b/>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5.4评委会将按上述修正错误的方法调整投标文件中的投标报价，调整后的价格应对投标人具有约束力。无论投标人是接受或是拒绝调整后的价格，都应当由投标人在系统中确认。</w:t>
      </w:r>
      <w:r>
        <w:rPr>
          <w:rFonts w:hint="eastAsia" w:ascii="宋体"/>
          <w:b/>
          <w:bCs/>
          <w:color w:val="auto"/>
          <w:szCs w:val="21"/>
          <w:highlight w:val="none"/>
        </w:rPr>
        <w:t>投标人拒绝对投标文件出现的错漏按上述原则进行修正、澄清、说明，评标委员会应当否决其投标。</w:t>
      </w:r>
      <w:bookmarkStart w:id="57" w:name="_Toc449028880"/>
      <w:bookmarkStart w:id="58" w:name="_Toc58430320"/>
    </w:p>
    <w:p>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57"/>
      <w:bookmarkEnd w:id="58"/>
    </w:p>
    <w:p>
      <w:pPr>
        <w:spacing w:line="440" w:lineRule="exact"/>
        <w:ind w:right="36" w:rightChars="17" w:firstLine="417" w:firstLineChars="198"/>
        <w:jc w:val="left"/>
        <w:rPr>
          <w:rFonts w:ascii="宋体" w:hAnsi="宋体" w:cs="宋体"/>
          <w:b/>
          <w:color w:val="auto"/>
          <w:szCs w:val="21"/>
          <w:highlight w:val="none"/>
        </w:rPr>
      </w:pPr>
      <w:r>
        <w:rPr>
          <w:rFonts w:hint="eastAsia" w:ascii="宋体" w:hAnsi="宋体" w:eastAsia="宋体" w:cs="宋体"/>
          <w:b/>
          <w:color w:val="auto"/>
          <w:sz w:val="21"/>
          <w:szCs w:val="21"/>
          <w:highlight w:val="none"/>
        </w:rPr>
        <w:t xml:space="preserve"> </w:t>
      </w:r>
      <w:bookmarkStart w:id="59" w:name="_Toc449028881"/>
      <w:bookmarkStart w:id="60" w:name="_Toc362983805"/>
      <w:r>
        <w:rPr>
          <w:rFonts w:hint="eastAsia" w:ascii="宋体" w:hAnsi="宋体" w:cs="宋体"/>
          <w:b/>
          <w:color w:val="auto"/>
          <w:szCs w:val="21"/>
          <w:highlight w:val="none"/>
        </w:rPr>
        <w:t>6.详细评审即按招标文件中规定的评标方法和标准，评标委员会将对通过初审的投标文件，进行综合比较与评价。</w:t>
      </w:r>
    </w:p>
    <w:p>
      <w:pPr>
        <w:spacing w:line="440" w:lineRule="exact"/>
        <w:ind w:right="36" w:rightChars="17" w:firstLine="525" w:firstLineChars="250"/>
        <w:jc w:val="left"/>
        <w:rPr>
          <w:rFonts w:ascii="宋体" w:hAnsi="宋体" w:cs="宋体"/>
          <w:color w:val="auto"/>
          <w:szCs w:val="21"/>
          <w:highlight w:val="none"/>
        </w:rPr>
      </w:pPr>
      <w:r>
        <w:rPr>
          <w:rFonts w:hint="eastAsia" w:ascii="宋体" w:hAnsi="宋体" w:cs="宋体"/>
          <w:color w:val="auto"/>
          <w:szCs w:val="21"/>
          <w:highlight w:val="none"/>
        </w:rPr>
        <w:t>6.</w:t>
      </w:r>
      <w:r>
        <w:rPr>
          <w:rFonts w:hint="eastAsia" w:ascii="宋体" w:hAnsi="宋体" w:cs="宋体"/>
          <w:color w:val="auto"/>
          <w:szCs w:val="21"/>
          <w:highlight w:val="none"/>
          <w:lang w:val="en-US" w:eastAsia="zh-CN"/>
        </w:rPr>
        <w:t>1报价</w:t>
      </w:r>
      <w:r>
        <w:rPr>
          <w:rFonts w:hint="eastAsia" w:ascii="宋体" w:hAnsi="宋体" w:cs="宋体"/>
          <w:color w:val="auto"/>
          <w:szCs w:val="21"/>
          <w:highlight w:val="none"/>
        </w:rPr>
        <w:t>评审</w:t>
      </w:r>
    </w:p>
    <w:p>
      <w:pPr>
        <w:spacing w:line="440" w:lineRule="exact"/>
        <w:ind w:firstLine="403" w:firstLineChars="192"/>
        <w:jc w:val="left"/>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6.</w:t>
      </w:r>
      <w:r>
        <w:rPr>
          <w:rFonts w:hint="eastAsia" w:ascii="宋体" w:hAnsi="Times New Roman" w:eastAsia="宋体" w:cs="Times New Roman"/>
          <w:color w:val="auto"/>
          <w:szCs w:val="21"/>
          <w:highlight w:val="none"/>
          <w:lang w:val="en-US" w:eastAsia="zh-CN"/>
        </w:rPr>
        <w:t>1.1</w:t>
      </w:r>
      <w:r>
        <w:rPr>
          <w:rFonts w:hint="eastAsia" w:ascii="宋体" w:hAnsi="Times New Roman" w:eastAsia="宋体" w:cs="Times New Roman"/>
          <w:color w:val="auto"/>
          <w:szCs w:val="21"/>
          <w:highlight w:val="none"/>
        </w:rPr>
        <w:t>评标委员会按修正</w:t>
      </w:r>
      <w:r>
        <w:rPr>
          <w:rFonts w:hint="eastAsia" w:ascii="宋体" w:hAnsi="Times New Roman" w:eastAsia="宋体" w:cs="Times New Roman"/>
          <w:color w:val="auto"/>
          <w:szCs w:val="21"/>
          <w:highlight w:val="none"/>
          <w:lang w:val="en-US" w:eastAsia="zh-CN"/>
        </w:rPr>
        <w:t>且扣税后的</w:t>
      </w:r>
      <w:r>
        <w:rPr>
          <w:rFonts w:hint="eastAsia" w:ascii="宋体" w:hAnsi="Times New Roman" w:eastAsia="宋体" w:cs="Times New Roman"/>
          <w:color w:val="auto"/>
          <w:szCs w:val="21"/>
          <w:highlight w:val="none"/>
        </w:rPr>
        <w:t>报价由低到高顺序排序，确定中标候选人。</w:t>
      </w:r>
    </w:p>
    <w:p>
      <w:pPr>
        <w:spacing w:line="440" w:lineRule="exact"/>
        <w:ind w:firstLine="405" w:firstLineChars="192"/>
        <w:jc w:val="left"/>
        <w:rPr>
          <w:rFonts w:hint="eastAsia" w:ascii="宋体" w:hAnsi="Times New Roman" w:eastAsia="宋体" w:cs="Times New Roman"/>
          <w:b/>
          <w:bCs/>
          <w:color w:val="auto"/>
          <w:szCs w:val="21"/>
          <w:highlight w:val="none"/>
          <w:lang w:val="en-US" w:eastAsia="zh-CN"/>
        </w:rPr>
      </w:pPr>
      <w:r>
        <w:rPr>
          <w:rFonts w:hint="eastAsia" w:ascii="宋体" w:hAnsi="Times New Roman" w:eastAsia="宋体" w:cs="Times New Roman"/>
          <w:b/>
          <w:bCs/>
          <w:color w:val="auto"/>
          <w:szCs w:val="21"/>
          <w:highlight w:val="none"/>
          <w:lang w:val="en-US" w:eastAsia="zh-CN"/>
        </w:rPr>
        <w:t>特别说明：投标人须在开标一览表及投标函中注明中标后开具发票的种类，如提供增值税专用发票，并同步注明税率。</w:t>
      </w:r>
    </w:p>
    <w:p>
      <w:pPr>
        <w:jc w:val="center"/>
        <w:outlineLvl w:val="1"/>
        <w:rPr>
          <w:rFonts w:hint="eastAsia" w:ascii="宋体" w:hAnsi="Times New Roman" w:eastAsia="宋体" w:cs="Times New Roman"/>
          <w:b/>
          <w:color w:val="auto"/>
          <w:sz w:val="28"/>
          <w:szCs w:val="28"/>
          <w:highlight w:val="none"/>
        </w:rPr>
      </w:pPr>
      <w:bookmarkStart w:id="61" w:name="_Toc58430321"/>
      <w:r>
        <w:rPr>
          <w:rFonts w:hint="eastAsia" w:ascii="宋体" w:hAnsi="Times New Roman" w:eastAsia="宋体" w:cs="Times New Roman"/>
          <w:b/>
          <w:color w:val="auto"/>
          <w:sz w:val="28"/>
          <w:szCs w:val="28"/>
          <w:highlight w:val="none"/>
        </w:rPr>
        <w:t>五、推荐中标候选人</w:t>
      </w:r>
      <w:bookmarkEnd w:id="59"/>
      <w:bookmarkEnd w:id="60"/>
      <w:bookmarkEnd w:id="61"/>
    </w:p>
    <w:bookmarkEnd w:id="49"/>
    <w:p>
      <w:pPr>
        <w:spacing w:line="440" w:lineRule="exact"/>
        <w:ind w:right="36" w:rightChars="17"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7.评标委员会根据第二章投标人须知及前附表的规定数量推荐中标候选人，并标明排序。 </w:t>
      </w:r>
    </w:p>
    <w:p>
      <w:pPr>
        <w:spacing w:line="440" w:lineRule="exact"/>
        <w:ind w:right="36" w:rightChars="17"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7.1如出现</w:t>
      </w:r>
      <w:r>
        <w:rPr>
          <w:rFonts w:hint="eastAsia" w:ascii="宋体" w:hAnsi="宋体" w:eastAsia="宋体" w:cs="宋体"/>
          <w:color w:val="auto"/>
          <w:szCs w:val="21"/>
          <w:highlight w:val="none"/>
          <w:lang w:val="en-US" w:eastAsia="zh-CN"/>
        </w:rPr>
        <w:t>扣税后</w:t>
      </w:r>
      <w:r>
        <w:rPr>
          <w:rFonts w:hint="eastAsia" w:ascii="宋体" w:hAnsi="宋体" w:eastAsia="宋体" w:cs="宋体"/>
          <w:color w:val="auto"/>
          <w:szCs w:val="21"/>
          <w:highlight w:val="none"/>
        </w:rPr>
        <w:t>报价相同情况，则由</w:t>
      </w:r>
      <w:r>
        <w:rPr>
          <w:rFonts w:hint="eastAsia" w:ascii="宋体" w:hAnsi="宋体" w:eastAsia="宋体" w:cs="宋体"/>
          <w:color w:val="auto"/>
          <w:szCs w:val="21"/>
          <w:highlight w:val="none"/>
          <w:lang w:val="en-US" w:eastAsia="zh-CN"/>
        </w:rPr>
        <w:t>招标人</w:t>
      </w:r>
      <w:r>
        <w:rPr>
          <w:rFonts w:hint="eastAsia" w:ascii="宋体" w:hAnsi="宋体" w:eastAsia="宋体" w:cs="宋体"/>
          <w:color w:val="auto"/>
          <w:szCs w:val="21"/>
          <w:highlight w:val="none"/>
        </w:rPr>
        <w:t>现场抽签确定中标候选人排名顺序。</w:t>
      </w:r>
    </w:p>
    <w:p>
      <w:pPr>
        <w:snapToGrid w:val="0"/>
        <w:spacing w:line="440" w:lineRule="exact"/>
        <w:ind w:left="0" w:leftChars="0" w:firstLine="422" w:firstLineChars="20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2" w:name="_Hlk61815781"/>
      <w:r>
        <w:rPr>
          <w:rFonts w:hint="eastAsia" w:ascii="宋体" w:hAnsi="宋体" w:cs="宋体"/>
          <w:b/>
          <w:color w:val="auto"/>
          <w:szCs w:val="21"/>
          <w:highlight w:val="none"/>
        </w:rPr>
        <w:t>无效投标条款</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8.1投标文件有下列情形之一的,其投标文件拒收:</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(1) 未在开标截止时间前递交有效投标文件的，投标将被拒绝。</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8.2投标人有下列情形之一的,资格审查后其投标作无效投标处理：</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(1)投标人为本项目提供招标代理服务的；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(2)投标人与在本项目代理机构存在相互任职或工作的；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8.3 投标人有下列情形之一的,符合性审查后其投标按无效投标处理：</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(1)投标文件签字、盖章不全，经评标委员会一致认定对开评标内容有实质性影响的；</w:t>
      </w:r>
    </w:p>
    <w:p>
      <w:pPr>
        <w:snapToGrid w:val="0"/>
        <w:spacing w:line="440" w:lineRule="exact"/>
        <w:ind w:left="0" w:leftChars="0" w:firstLine="420" w:firstLineChars="200"/>
        <w:jc w:val="left"/>
        <w:rPr>
          <w:rFonts w:hint="eastAsia" w:ascii="宋体"/>
          <w:color w:val="auto"/>
          <w:szCs w:val="21"/>
          <w:highlight w:val="none"/>
        </w:rPr>
      </w:pPr>
      <w:r>
        <w:rPr>
          <w:rFonts w:hint="eastAsia" w:ascii="宋体" w:hAnsi="宋体" w:cs="宋体"/>
          <w:color w:val="auto"/>
          <w:szCs w:val="21"/>
          <w:highlight w:val="none"/>
        </w:rPr>
        <w:t>(2)</w:t>
      </w:r>
      <w:r>
        <w:rPr>
          <w:rFonts w:hint="eastAsia" w:ascii="宋体"/>
          <w:color w:val="auto"/>
          <w:szCs w:val="21"/>
          <w:highlight w:val="none"/>
        </w:rPr>
        <w:t>未按规定的格式填写导致实质性内容不全以及实质上不响应，或者关键字迹模糊、无法辨认；</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(3)同一投标人提交两个以上不同的投标文件或者投标报价，但招标文件规定提交备选方案的除外；</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(4)投标文件没有对招标文件的实质性要求和条件作出响应;</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(5)投标报价超出规定的投标限价或公布的采购预算的；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(6)不按评标委员会要求澄清、说明或补正的，或者评标委员会根据招标文件的规定对招标文件的计算错误进行修正后，投标人不接受修正的投标报价的。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(7)其它情形，经评标委员会委提出按无效投标处理的；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(9)招标文件规定的其它无效投标情形。</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 详细评审后其投标按无效投标处理：</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(1)投标产品不符合必须强制执行的国家标准的；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(2)投标人有串通投标、弄虚作假、行贿等违法行为；</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2"/>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center"/>
        <w:textAlignment w:val="auto"/>
        <w:rPr>
          <w:rFonts w:hint="eastAsia" w:ascii="宋体"/>
          <w:b/>
          <w:color w:val="auto"/>
          <w:sz w:val="32"/>
          <w:szCs w:val="32"/>
          <w:highlight w:val="none"/>
        </w:rPr>
      </w:pPr>
      <w:bookmarkStart w:id="63" w:name="_Toc58430328"/>
      <w:r>
        <w:rPr>
          <w:rFonts w:hint="eastAsia" w:ascii="宋体"/>
          <w:b/>
          <w:color w:val="auto"/>
          <w:sz w:val="32"/>
          <w:szCs w:val="32"/>
          <w:highlight w:val="none"/>
        </w:rPr>
        <w:br w:type="page"/>
      </w:r>
      <w:r>
        <w:rPr>
          <w:rFonts w:hint="eastAsia" w:ascii="宋体" w:hAnsi="Times New Roman" w:eastAsia="宋体" w:cs="Times New Roman"/>
          <w:b/>
          <w:color w:val="auto"/>
          <w:sz w:val="32"/>
          <w:szCs w:val="32"/>
          <w:highlight w:val="none"/>
        </w:rPr>
        <w:t>第四章  采购需求</w:t>
      </w:r>
    </w:p>
    <w:bookmarkEnd w:id="50"/>
    <w:bookmarkEnd w:id="63"/>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bookmarkStart w:id="64" w:name="_Toc666"/>
      <w:bookmarkStart w:id="65" w:name="_Toc449028945"/>
      <w:bookmarkStart w:id="66" w:name="_Toc58430329"/>
      <w:r>
        <w:rPr>
          <w:rFonts w:hint="eastAsia" w:ascii="宋体" w:hAnsi="宋体" w:eastAsia="宋体" w:cs="宋体"/>
          <w:b/>
          <w:bCs/>
          <w:color w:val="auto"/>
          <w:sz w:val="24"/>
          <w:szCs w:val="24"/>
        </w:rPr>
        <w:t>一、项目概况</w:t>
      </w:r>
      <w:bookmarkEnd w:id="64"/>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（一）基本情况</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该项目涉及市城泊公司管理的公共停车场、厕所和管理用房的卫生保洁服务，具体包括23个停车场、2间停车场厕所和一套管理用房的卫生保洁服务。服务范围和内容包含停车场日常保洁服务、地面清扫、垃圾清运、房屋内设施卫生打扫和清洗。停车场情况见下表。</w:t>
      </w:r>
    </w:p>
    <w:tbl>
      <w:tblPr>
        <w:tblStyle w:val="34"/>
        <w:tblW w:w="10590" w:type="dxa"/>
        <w:tblInd w:w="-906" w:type="dxa"/>
        <w:tblLayout w:type="fixed"/>
        <w:tblCellMar>
          <w:top w:w="0" w:type="dxa"/>
          <w:left w:w="108" w:type="dxa"/>
          <w:bottom w:w="0" w:type="dxa"/>
          <w:right w:w="108" w:type="dxa"/>
        </w:tblCellMar>
      </w:tblPr>
      <w:tblGrid>
        <w:gridCol w:w="810"/>
        <w:gridCol w:w="2535"/>
        <w:gridCol w:w="915"/>
        <w:gridCol w:w="4545"/>
        <w:gridCol w:w="1785"/>
      </w:tblGrid>
      <w:tr>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序号</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停车场</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泊位数</w:t>
            </w: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位置</w:t>
            </w:r>
          </w:p>
        </w:tc>
        <w:tc>
          <w:tcPr>
            <w:tcW w:w="178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面积</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育新西路</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86</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丰乐大道与育新路交口东北角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约4000平方米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明光路</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152</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定远路与明光路交口西南角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约5700平方米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二纺机、怡景园</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70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丰乐大道与明光路交口东北角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约1800平方米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王桥</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97</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丰乐大道与天长路交口东南方向200米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约3200平方米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小桥湖</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323</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丰乐大道与清流路交口东南方向200米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约15000平方米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明珠园</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42</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南谯路与清流路交口西北角200米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约1400平方米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三里亭</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29</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西涧路与琅琊路交口西北角100米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约750平方米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一附小</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63</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四牌楼街一附小南侧</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约1900平方米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青琅茶楼</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26</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琅琊路与三里亭路交口西北侧</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约1000平方米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文德街</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50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文德街与长巷交口</w:t>
            </w:r>
          </w:p>
        </w:tc>
        <w:tc>
          <w:tcPr>
            <w:tcW w:w="1785" w:type="dxa"/>
            <w:tcBorders>
              <w:top w:val="nil"/>
              <w:left w:val="nil"/>
              <w:bottom w:val="nil"/>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约1500平方米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11</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育新东路</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77</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育新东路国际大酒店南侧</w:t>
            </w:r>
          </w:p>
        </w:tc>
        <w:tc>
          <w:tcPr>
            <w:tcW w:w="178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约2800平方米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12</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西涧一村</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41</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西涧路与明光路交界口西侧</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约1200平方米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13</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扬子宾馆</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403</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南谯路与清流路交口西侧200米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约16000平方米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14</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南小庄</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229</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南谯路与凤谯路交口西南角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约8200平方米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15</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紫西社区</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18</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中都大道与清流路交口西北方向500米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约850平方米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16</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金地大酒店东侧</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90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中都大道与凤凰路交口东北角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4435平方米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17</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定远路建行宿舍</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65</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定远路与明光路交口西南方向500米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4713平方米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18</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新生路</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80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金陵北路与新生路交口西南角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2925平方米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19</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卫校巷</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280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中都大道与琅琊路交口东南角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10868平方米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20</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裕安园</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50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紫薇北路与明光路交口西北角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1933平方米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21</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凤凰西路停车场</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169</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凤凰路凤凰菜场巷内</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8539平方米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22</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丰乐大道与凤凰路交口</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189</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丰乐大道与凤凰路交口东南角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10829平方米</w:t>
            </w:r>
          </w:p>
        </w:tc>
      </w:tr>
      <w:tr>
        <w:tblPrEx>
          <w:tblCellMar>
            <w:top w:w="0" w:type="dxa"/>
            <w:left w:w="108" w:type="dxa"/>
            <w:bottom w:w="0" w:type="dxa"/>
            <w:right w:w="108" w:type="dxa"/>
          </w:tblCellMar>
        </w:tblPrEx>
        <w:trPr>
          <w:trHeight w:val="415"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23</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琴轩路</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28</w:t>
            </w: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琴轩东路与阳明路交口东北角</w:t>
            </w:r>
          </w:p>
        </w:tc>
        <w:tc>
          <w:tcPr>
            <w:tcW w:w="178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约990平方米</w:t>
            </w:r>
          </w:p>
        </w:tc>
      </w:tr>
      <w:tr>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24</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扬子宾馆停车场管理用房</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南谯路与清流路交口西侧200米</w:t>
            </w:r>
          </w:p>
        </w:tc>
        <w:tc>
          <w:tcPr>
            <w:tcW w:w="178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约150平方米</w:t>
            </w:r>
          </w:p>
        </w:tc>
      </w:tr>
      <w:tr>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25</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小桥湖停车场厕所</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丰乐大道与清流路交口东南方向200米</w:t>
            </w:r>
          </w:p>
        </w:tc>
        <w:tc>
          <w:tcPr>
            <w:tcW w:w="178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26</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职业技术学院停车场公厕</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敬梓路与西涧路交口东南角，城际铁路线区域内</w:t>
            </w:r>
          </w:p>
        </w:tc>
        <w:tc>
          <w:tcPr>
            <w:tcW w:w="178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p>
        </w:tc>
      </w:tr>
    </w:tbl>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bookmarkStart w:id="67" w:name="_Toc17735_WPSOffice_Level1"/>
      <w:bookmarkStart w:id="68" w:name="_Toc28508"/>
      <w:r>
        <w:rPr>
          <w:rFonts w:hint="eastAsia" w:ascii="宋体" w:hAnsi="宋体" w:eastAsia="宋体" w:cs="宋体"/>
          <w:b/>
          <w:bCs/>
          <w:color w:val="auto"/>
          <w:sz w:val="24"/>
          <w:szCs w:val="24"/>
        </w:rPr>
        <w:t>二、</w:t>
      </w:r>
      <w:bookmarkEnd w:id="67"/>
      <w:bookmarkEnd w:id="68"/>
      <w:r>
        <w:rPr>
          <w:rFonts w:hint="eastAsia" w:ascii="宋体" w:hAnsi="宋体" w:eastAsia="宋体" w:cs="宋体"/>
          <w:b/>
          <w:bCs/>
          <w:color w:val="auto"/>
          <w:sz w:val="24"/>
          <w:szCs w:val="24"/>
        </w:rPr>
        <w:t>服务期限</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lang w:val="en-US" w:eastAsia="zh-CN"/>
        </w:rPr>
      </w:pPr>
      <w:bookmarkStart w:id="69" w:name="_Toc31493"/>
      <w:bookmarkStart w:id="70" w:name="_Toc21817"/>
      <w:bookmarkStart w:id="71" w:name="_Toc9926"/>
      <w:bookmarkStart w:id="72" w:name="_Toc2501"/>
      <w:bookmarkStart w:id="73" w:name="_Toc18472"/>
      <w:r>
        <w:rPr>
          <w:rFonts w:hint="eastAsia" w:ascii="宋体" w:hAnsi="宋体" w:eastAsia="宋体" w:cs="宋体"/>
          <w:color w:val="auto"/>
          <w:sz w:val="21"/>
          <w:szCs w:val="21"/>
          <w:highlight w:val="none"/>
          <w:lang w:val="en-US" w:eastAsia="zh-CN"/>
        </w:rPr>
        <w:t>自合同签订之日起一年，如服务期满，经招标方业绩考核满意，可以续签1年服务期。</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注：自合同签订之日起开始计算进行为期两个月的考核期，如考核期内不合格，招标人有权单方解除合同。</w:t>
      </w:r>
      <w:r>
        <w:rPr>
          <w:rFonts w:hint="eastAsia" w:ascii="宋体" w:hAnsi="宋体" w:cs="宋体"/>
          <w:color w:val="auto"/>
          <w:sz w:val="21"/>
          <w:szCs w:val="21"/>
          <w:highlight w:val="none"/>
          <w:lang w:val="en-US" w:eastAsia="zh-CN"/>
        </w:rPr>
        <w:t>服务期限中含两个月考核期。</w:t>
      </w:r>
    </w:p>
    <w:bookmarkEnd w:id="69"/>
    <w:bookmarkEnd w:id="70"/>
    <w:bookmarkEnd w:id="71"/>
    <w:bookmarkEnd w:id="72"/>
    <w:bookmarkEnd w:id="73"/>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bookmarkStart w:id="74" w:name="_Toc13256"/>
      <w:bookmarkStart w:id="75" w:name="_Toc175"/>
      <w:bookmarkStart w:id="76" w:name="_Toc5967"/>
      <w:bookmarkStart w:id="77" w:name="_Toc6553"/>
      <w:bookmarkStart w:id="78" w:name="_Toc11011"/>
      <w:r>
        <w:rPr>
          <w:rFonts w:hint="eastAsia" w:ascii="宋体" w:hAnsi="宋体" w:eastAsia="宋体" w:cs="宋体"/>
          <w:b/>
          <w:bCs/>
          <w:color w:val="auto"/>
          <w:sz w:val="24"/>
          <w:szCs w:val="24"/>
        </w:rPr>
        <w:t>三、项目管控要求</w:t>
      </w:r>
      <w:bookmarkEnd w:id="74"/>
      <w:bookmarkEnd w:id="75"/>
      <w:bookmarkEnd w:id="76"/>
      <w:bookmarkEnd w:id="77"/>
      <w:bookmarkEnd w:id="78"/>
    </w:p>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rPr>
      </w:pPr>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rPr>
        <w:t>.保洁人员要求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（1）身体健康，个人形象良好，工作责任心强，无被收容教育、强制隔离戒毒、劳动教养、治安刑事处罚等记录。能胜任工作，无高血压、先天性心脏病等影响工作的一系列疾病。</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（2）所有保洁人员均须做好岗前培训，熟悉项目现场具体情况后，方能上岗。培训内容包括但不限于文明用语、安全生产、消</w:t>
      </w:r>
      <w:r>
        <w:rPr>
          <w:rFonts w:hint="eastAsia" w:ascii="宋体" w:hAnsi="宋体" w:eastAsia="宋体" w:cs="宋体"/>
          <w:color w:val="auto"/>
          <w:spacing w:val="-6"/>
          <w:sz w:val="21"/>
          <w:szCs w:val="21"/>
        </w:rPr>
        <w:t>防安全和操作规程、应急处置和垃圾分类知识等。</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（3）所有服务人员需具备思想政治立场坚定、有一定文化素质、精神面貌良好、身体健康、品行良好、工作热情、责任心强等条件。</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（4）服务期内服务人员与上述要求不符的，中标方应及时更换且需在更换前5个工作日内向招标方提供更换人员的名单及其相关资料。</w:t>
      </w:r>
    </w:p>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rPr>
      </w:pPr>
      <w:r>
        <w:rPr>
          <w:rFonts w:hint="eastAsia" w:ascii="宋体" w:hAnsi="宋体" w:cs="宋体"/>
          <w:b/>
          <w:bCs/>
          <w:color w:val="auto"/>
          <w:sz w:val="21"/>
          <w:szCs w:val="21"/>
          <w:lang w:val="en-US" w:eastAsia="zh-CN"/>
        </w:rPr>
        <w:t>2</w:t>
      </w:r>
      <w:r>
        <w:rPr>
          <w:rFonts w:hint="eastAsia" w:ascii="宋体" w:hAnsi="宋体" w:eastAsia="宋体" w:cs="宋体"/>
          <w:b/>
          <w:bCs/>
          <w:color w:val="auto"/>
          <w:sz w:val="21"/>
          <w:szCs w:val="21"/>
        </w:rPr>
        <w:t>.人数配置要求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保洁人员数量必须严格按照保洁服务最低人员配备表执行。合同期内，以保洁工作质量和效果为最终标准，招标方可根据实际情况对各区域保洁人数配置数量进行调整，具体以招标方书面通知为准。</w:t>
      </w:r>
    </w:p>
    <w:tbl>
      <w:tblPr>
        <w:tblStyle w:val="35"/>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2571"/>
        <w:gridCol w:w="1155"/>
        <w:gridCol w:w="4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12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938"/>
              </w:tabs>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color w:val="auto"/>
                <w:sz w:val="21"/>
                <w:szCs w:val="21"/>
              </w:rPr>
              <w:t>保洁服务最低人数配备表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bCs/>
                <w:color w:val="auto"/>
                <w:kern w:val="0"/>
                <w:sz w:val="21"/>
                <w:szCs w:val="21"/>
              </w:rPr>
              <w:t>序号</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bCs/>
                <w:color w:val="auto"/>
                <w:kern w:val="0"/>
                <w:sz w:val="21"/>
                <w:szCs w:val="21"/>
              </w:rPr>
              <w:t>停车场</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color w:val="auto"/>
                <w:sz w:val="21"/>
                <w:szCs w:val="21"/>
              </w:rPr>
              <w:t>最低人数</w:t>
            </w:r>
          </w:p>
        </w:tc>
        <w:tc>
          <w:tcPr>
            <w:tcW w:w="4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color w:val="auto"/>
                <w:sz w:val="21"/>
                <w:szCs w:val="21"/>
              </w:rPr>
              <w:t>作业内容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育新西路</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地面干净，无杂物，无明显油渍、污渍；停车场内设备、灯具表面干净、蛛网；停车场内垃圾桶杂物超过2/3应及时倾倒；各种指示牌表面干净；消防器材表面干净，摆放整齐；减速带表面干净无明显污迹，各种道闸表面干净无明显污迹；所有垃圾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2571" w:type="dxa"/>
            <w:tcBorders>
              <w:top w:val="single" w:color="auto" w:sz="4" w:space="0"/>
              <w:left w:val="single" w:color="auto" w:sz="4" w:space="0"/>
              <w:bottom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明光路</w:t>
            </w:r>
          </w:p>
        </w:tc>
        <w:tc>
          <w:tcPr>
            <w:tcW w:w="1155" w:type="dxa"/>
            <w:tcBorders>
              <w:top w:val="single" w:color="auto" w:sz="4" w:space="0"/>
              <w:left w:val="single" w:color="auto" w:sz="4" w:space="0"/>
              <w:bottom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二纺机、怡景园</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王桥</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小桥湖</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ind w:left="240" w:hanging="210" w:hangingChars="100"/>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明珠园</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三里亭</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一附小</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青琅茶楼</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文德街</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11</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育新东路</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12</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西涧一村</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13</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扬子宾馆</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14</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南小庄</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15</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紫西社区</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16</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金地大酒店东侧</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17</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定远路建行宿舍</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18</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新生路</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19</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卫校巷</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20</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裕安园</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21</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凤凰西路停车场</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22</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丰乐大道与凤凰路交口</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23</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琴轩路</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24</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扬子宾馆停车场管理用房</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楼内、公共通道、公共卫生间地面干净、无污渍；门框、窗框、窗台、金件表面光亮、无灰尘、无污渍；门窗玻璃干净无尘，透光性好，无明显印迹；各种金属件表面干净，无污渍，有金属光泽；门把手干净、无印迹、定时消毒；天花板干净，无污渍、无蛛网；灯具干净无积尘，中央空调风口干净，无污迹，进出口地垫摆放整齐，表面干净无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25</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小桥湖停车场厕所</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地面干净，无污渍、无积水，大小便器表面干净，无污渍；各种隔断表面干净，无乱写乱画，金属饰件表面干净，无污迹；墙壁表面干净，天花板无污渍、蛛网；风口或换气扇表面干净无积尘；门窗表面干净，窗台无灰尘；玻璃干净无水渍；洗手台干净无积水，面盆无污垢；各种管道表面干净无污渍；各种物品摆放整齐规范；废纸篓杂物超过2/3应及时倾倒，卫生间内空气流通并且无明显异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26</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职业技术学院停车场公厕</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1</w:t>
            </w:r>
          </w:p>
        </w:tc>
        <w:tc>
          <w:tcPr>
            <w:tcW w:w="4618"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jc w:val="center"/>
        </w:trPr>
        <w:tc>
          <w:tcPr>
            <w:tcW w:w="912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备注：</w:t>
            </w:r>
          </w:p>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1.</w:t>
            </w:r>
            <w:r>
              <w:rPr>
                <w:rFonts w:hint="eastAsia" w:ascii="宋体" w:hAnsi="宋体" w:cs="宋体"/>
                <w:b/>
                <w:bCs/>
                <w:color w:val="auto"/>
                <w:sz w:val="21"/>
                <w:szCs w:val="21"/>
                <w:lang w:val="en-US" w:eastAsia="zh-CN"/>
              </w:rPr>
              <w:t>本项目除上述人员外，须另</w:t>
            </w:r>
            <w:r>
              <w:rPr>
                <w:rFonts w:hint="eastAsia" w:ascii="宋体" w:hAnsi="宋体" w:eastAsia="宋体" w:cs="宋体"/>
                <w:b/>
                <w:bCs/>
                <w:color w:val="auto"/>
                <w:sz w:val="21"/>
                <w:szCs w:val="21"/>
              </w:rPr>
              <w:t>配备1名现场项目管理人员，</w:t>
            </w:r>
            <w:r>
              <w:rPr>
                <w:rFonts w:hint="eastAsia" w:ascii="宋体" w:hAnsi="宋体" w:cs="宋体"/>
                <w:b/>
                <w:bCs/>
                <w:color w:val="auto"/>
                <w:sz w:val="21"/>
                <w:szCs w:val="21"/>
                <w:lang w:val="en-US" w:eastAsia="zh-CN"/>
              </w:rPr>
              <w:t>其费用含在投标总价中</w:t>
            </w:r>
            <w:r>
              <w:rPr>
                <w:rFonts w:hint="eastAsia" w:ascii="宋体" w:hAnsi="宋体" w:cs="宋体"/>
                <w:b/>
                <w:bCs/>
                <w:color w:val="auto"/>
                <w:sz w:val="21"/>
                <w:szCs w:val="21"/>
                <w:lang w:eastAsia="zh-CN"/>
              </w:rPr>
              <w:t>。</w:t>
            </w:r>
          </w:p>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2.重大节假日、重大活动时提前做好人员储备，如遇临时性突击任务需临时增加人员支援的，不另行支付费用。</w:t>
            </w:r>
          </w:p>
        </w:tc>
      </w:tr>
    </w:tbl>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79" w:name="_Toc24702"/>
      <w:bookmarkStart w:id="80" w:name="_Toc12496"/>
      <w:bookmarkStart w:id="81" w:name="_Toc30247"/>
      <w:bookmarkStart w:id="82" w:name="_Toc15957"/>
      <w:bookmarkStart w:id="83" w:name="_Toc21115"/>
      <w:bookmarkStart w:id="84" w:name="_Toc26986"/>
      <w:r>
        <w:rPr>
          <w:rFonts w:hint="eastAsia" w:ascii="宋体" w:hAnsi="宋体" w:eastAsia="宋体" w:cs="宋体"/>
          <w:color w:val="auto"/>
          <w:sz w:val="21"/>
          <w:szCs w:val="21"/>
        </w:rPr>
        <w:t>（二）工作时间</w:t>
      </w:r>
      <w:bookmarkEnd w:id="79"/>
      <w:bookmarkEnd w:id="80"/>
      <w:bookmarkEnd w:id="81"/>
      <w:bookmarkEnd w:id="82"/>
      <w:bookmarkEnd w:id="83"/>
      <w:bookmarkEnd w:id="84"/>
      <w:r>
        <w:rPr>
          <w:rFonts w:hint="eastAsia" w:ascii="宋体" w:hAnsi="宋体" w:eastAsia="宋体" w:cs="宋体"/>
          <w:color w:val="auto"/>
          <w:sz w:val="21"/>
          <w:szCs w:val="21"/>
        </w:rPr>
        <w:t>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85" w:name="_Toc31085"/>
      <w:r>
        <w:rPr>
          <w:rFonts w:hint="eastAsia" w:ascii="宋体" w:hAnsi="宋体" w:eastAsia="宋体" w:cs="宋体"/>
          <w:color w:val="auto"/>
          <w:sz w:val="21"/>
          <w:szCs w:val="21"/>
        </w:rPr>
        <w:t>1.保洁人员按工作时间表上班。</w:t>
      </w:r>
    </w:p>
    <w:tbl>
      <w:tblPr>
        <w:tblStyle w:val="34"/>
        <w:tblW w:w="9320" w:type="dxa"/>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98"/>
        <w:gridCol w:w="1739"/>
        <w:gridCol w:w="6783"/>
      </w:tblGrid>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blHeader/>
          <w:jc w:val="center"/>
        </w:trPr>
        <w:tc>
          <w:tcPr>
            <w:tcW w:w="93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保洁人员工作时间表</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blHeader/>
          <w:jc w:val="center"/>
        </w:trPr>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序号</w:t>
            </w:r>
          </w:p>
        </w:tc>
        <w:tc>
          <w:tcPr>
            <w:tcW w:w="17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工作场地</w:t>
            </w:r>
          </w:p>
        </w:tc>
        <w:tc>
          <w:tcPr>
            <w:tcW w:w="678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工作时间安排及主要工作检查</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27" w:hRule="atLeast"/>
          <w:jc w:val="center"/>
        </w:trPr>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739"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停车场、管理用房</w:t>
            </w:r>
          </w:p>
        </w:tc>
        <w:tc>
          <w:tcPr>
            <w:tcW w:w="678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07：30～17：30（08：30前完成首次保洁工作，14：30-17：30完成二次保洁工作）</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jc w:val="center"/>
        </w:trPr>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739"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公厕管理</w:t>
            </w:r>
          </w:p>
        </w:tc>
        <w:tc>
          <w:tcPr>
            <w:tcW w:w="678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8：00-20：00（时间段有人值守打扫）</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jc w:val="center"/>
        </w:trPr>
        <w:tc>
          <w:tcPr>
            <w:tcW w:w="93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备注：</w:t>
            </w:r>
          </w:p>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重大节假日、重大活动时或突击任务时根据实际要求灵活调配工作时间，不另行支付费用。</w:t>
            </w:r>
          </w:p>
        </w:tc>
      </w:tr>
    </w:tbl>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2.确保每天至少有1名</w:t>
      </w:r>
      <w:r>
        <w:rPr>
          <w:rFonts w:hint="eastAsia" w:ascii="宋体" w:hAnsi="宋体" w:cs="宋体"/>
          <w:color w:val="auto"/>
          <w:sz w:val="21"/>
          <w:szCs w:val="21"/>
          <w:lang w:val="en-US" w:eastAsia="zh-CN"/>
        </w:rPr>
        <w:t>现场项目</w:t>
      </w:r>
      <w:r>
        <w:rPr>
          <w:rFonts w:hint="eastAsia" w:ascii="宋体" w:hAnsi="宋体" w:eastAsia="宋体" w:cs="宋体"/>
          <w:color w:val="auto"/>
          <w:sz w:val="21"/>
          <w:szCs w:val="21"/>
        </w:rPr>
        <w:t>管理人员在岗，工作时间为：8:00-17:30，如遇特殊情况中标方应安排其他人员及时到岗组织做好各项工作。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3.具体工作时间可根据现场实际情况适当调整,特殊情况中标方根据现场实际需要调整时间，须经招标方研究同意。</w:t>
      </w:r>
      <w:bookmarkEnd w:id="85"/>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（三）服务内容要求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负责区域内卫生保洁工作，包括：各停车场、管理用房、公厕公共区域的地面、门窗、卫生间、通道、公共设施（设备、广告牌、不锈钢制品等）以及出入口与市政环卫交界处的日常卫生保洁、清洗、和垃圾处理等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2.负责区域内的除“四害”工作。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3.负责区域内化粪池、沉水井、明渠、水渠的疏通和清淤工作（日常问题随时处理）。</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4.负责区域内卫生间设备设施日常管理及保洁工作。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5.负责区域内乱张贴广告等不文明行为，并及时清除。</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6.负责区域内的垃圾清运工作。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7.负责根据相关要求做好区域内消毒工作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8.负责区域内杂草清理工作（至少每季度1次）。</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86" w:name="_Toc28277"/>
      <w:bookmarkStart w:id="87" w:name="_Toc2495"/>
      <w:bookmarkStart w:id="88" w:name="_Toc26218"/>
      <w:bookmarkStart w:id="89" w:name="_Toc26649"/>
      <w:bookmarkStart w:id="90" w:name="_Toc488"/>
      <w:bookmarkStart w:id="91" w:name="_Toc17654"/>
      <w:r>
        <w:rPr>
          <w:rFonts w:hint="eastAsia" w:ascii="宋体" w:hAnsi="宋体" w:eastAsia="宋体" w:cs="宋体"/>
          <w:color w:val="auto"/>
          <w:sz w:val="21"/>
          <w:szCs w:val="21"/>
        </w:rPr>
        <w:t>9.负责按招标人环境管理体系要求，做好垃圾分类、危废品处置、节能降耗等相关工作。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10.负责区域内如有绿化遮挡或者影响车辆通行等，中标人根据招标人要求对绿化无偿修剪。</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10.其它按性质应纳入保洁服务的工作。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（四）服务标准及质量</w:t>
      </w:r>
      <w:bookmarkEnd w:id="86"/>
      <w:bookmarkEnd w:id="87"/>
      <w:bookmarkEnd w:id="88"/>
      <w:bookmarkEnd w:id="89"/>
      <w:bookmarkEnd w:id="90"/>
      <w:bookmarkEnd w:id="91"/>
      <w:r>
        <w:rPr>
          <w:rFonts w:hint="eastAsia" w:ascii="宋体" w:hAnsi="宋体" w:eastAsia="宋体" w:cs="宋体"/>
          <w:color w:val="auto"/>
          <w:sz w:val="21"/>
          <w:szCs w:val="21"/>
        </w:rPr>
        <w:t>要求</w:t>
      </w:r>
    </w:p>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1.</w:t>
      </w:r>
      <w:bookmarkStart w:id="92" w:name="_Toc358883012"/>
      <w:r>
        <w:rPr>
          <w:rFonts w:hint="eastAsia" w:ascii="宋体" w:hAnsi="宋体" w:eastAsia="宋体" w:cs="宋体"/>
          <w:b/>
          <w:bCs/>
          <w:color w:val="auto"/>
          <w:sz w:val="21"/>
          <w:szCs w:val="21"/>
        </w:rPr>
        <w:t>区域内保洁标准</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（1）停车场道路：无杂物、无明显灰尘;无垃圾、无尘土、无积水、无杂草;</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（2）管理用房：无垃圾、无明显灰尘、地板光亮、明洁，走廊扶手无积尘;</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（3）公厕：无杂物、无积水、无明显灰尘; 地板光亮、明洁，马桶或蹲坑、水池整洁无污物；</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（4）垃圾收集：定期收集，清运垃圾，保持垃圾收集点四周干净，无明显异味;</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（5）其他公共设施：无污物、水渍、无明显灰尘。</w:t>
      </w:r>
      <w:bookmarkEnd w:id="92"/>
      <w:bookmarkStart w:id="93" w:name="_Toc358883014"/>
    </w:p>
    <w:bookmarkEnd w:id="93"/>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color w:val="auto"/>
          <w:sz w:val="21"/>
          <w:szCs w:val="21"/>
        </w:rPr>
      </w:pPr>
      <w:bookmarkStart w:id="94" w:name="_Toc358883015"/>
      <w:r>
        <w:rPr>
          <w:rFonts w:hint="eastAsia" w:ascii="宋体" w:hAnsi="宋体" w:eastAsia="宋体" w:cs="宋体"/>
          <w:b/>
          <w:bCs/>
          <w:color w:val="auto"/>
          <w:sz w:val="21"/>
          <w:szCs w:val="21"/>
        </w:rPr>
        <w:t xml:space="preserve"> </w:t>
      </w:r>
      <w:bookmarkEnd w:id="94"/>
      <w:bookmarkStart w:id="95" w:name="_Toc362505933"/>
      <w:bookmarkStart w:id="96" w:name="_Toc358883013"/>
      <w:bookmarkStart w:id="97" w:name="_Toc17294"/>
      <w:bookmarkStart w:id="98" w:name="_Toc17542_WPSOffice_Level3"/>
      <w:bookmarkStart w:id="99" w:name="_Toc360736706"/>
      <w:r>
        <w:rPr>
          <w:rFonts w:hint="eastAsia" w:ascii="宋体" w:hAnsi="宋体" w:eastAsia="宋体" w:cs="宋体"/>
          <w:b/>
          <w:bCs/>
          <w:color w:val="auto"/>
          <w:sz w:val="21"/>
          <w:szCs w:val="21"/>
        </w:rPr>
        <w:t>2.保洁质量工作定量</w:t>
      </w:r>
      <w:bookmarkEnd w:id="95"/>
      <w:bookmarkEnd w:id="96"/>
      <w:bookmarkEnd w:id="97"/>
      <w:bookmarkEnd w:id="98"/>
      <w:bookmarkEnd w:id="99"/>
      <w:r>
        <w:rPr>
          <w:rFonts w:hint="eastAsia" w:ascii="宋体" w:hAnsi="宋体" w:eastAsia="宋体" w:cs="宋体"/>
          <w:b/>
          <w:bCs/>
          <w:color w:val="auto"/>
          <w:sz w:val="21"/>
          <w:szCs w:val="21"/>
        </w:rPr>
        <w:t>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 xml:space="preserve"> （1）道闸设备：每天清抹二次；</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 xml:space="preserve"> （2）垃圾箱：每天清理二次，每周用清洁剂彻底清洗、消毒一次；</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（3）停车场道路：每天不少于2次巡扫；</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（4）垃圾清运：每天按指定时间收集，运往垃圾场；</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（五）安全管理要求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1.按照招标方安全管理的有关要求和相关规定执行。</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2.上岗的保洁员需进行岗前安全培训。日常积极参加工作中组织</w:t>
      </w:r>
      <w:r>
        <w:rPr>
          <w:rFonts w:hint="eastAsia" w:ascii="宋体" w:hAnsi="宋体" w:eastAsia="宋体" w:cs="宋体"/>
          <w:color w:val="auto"/>
          <w:spacing w:val="-6"/>
          <w:sz w:val="21"/>
          <w:szCs w:val="21"/>
        </w:rPr>
        <w:t>的交接班会、安全培训和应急演练，并认真按照相关要求落实安全工作。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3.保洁员应把安全工作放在首位，若因违章作业而造成的后果，由其自行负责。</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4.保洁工具实行定置管理、谁使用谁保管，用时放在安全位置，用后摆放在固定位置。</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5.保洁作业时严格按规定操作相关设备，并保证设备状态良好，严禁乱拉乱接电线。</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6.进行2米及以上高空保洁作业时，需先搭建脚手架或采取防止坠落措施，必须双人上岗，一人作业一人防护，防止发生人身伤害事故，无安全防护措施不得进行高空作业。</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7.各场点范围内严禁摆放危险品（易燃、易爆），保洁不得使用和存放易燃、易爆物品。</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（六）其他管理要求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1.中标方每月组织保洁人员进行培训，培训内容参照岗前培训内容进行。</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2.中标方定期开展各类预案的培训和演练，提高保洁人员突发事件应对能力。</w:t>
      </w:r>
    </w:p>
    <w:p>
      <w:pPr>
        <w:keepNext w:val="0"/>
        <w:keepLines w:val="0"/>
        <w:pageBreakBefore w:val="0"/>
        <w:kinsoku/>
        <w:wordWrap/>
        <w:overflowPunct/>
        <w:topLinePunct w:val="0"/>
        <w:autoSpaceDE/>
        <w:autoSpaceDN/>
        <w:bidi w:val="0"/>
        <w:adjustRightInd/>
        <w:snapToGrid/>
        <w:spacing w:line="440" w:lineRule="exact"/>
        <w:ind w:firstLine="396" w:firstLineChars="200"/>
        <w:textAlignment w:val="baseline"/>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3.中标方须根据保洁实际情况建立一套完善、全面的保洁管理制度。</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100" w:name="_Toc391026951"/>
      <w:bookmarkStart w:id="101" w:name="_Toc17287"/>
      <w:r>
        <w:rPr>
          <w:rFonts w:hint="eastAsia" w:ascii="宋体" w:hAnsi="宋体" w:eastAsia="宋体" w:cs="宋体"/>
          <w:color w:val="auto"/>
          <w:sz w:val="21"/>
          <w:szCs w:val="21"/>
        </w:rPr>
        <w:t>4.保洁人员当班期间按规定着制式工装、并配备相应保洁工具及设备，仪容仪表须符合规范要求。</w:t>
      </w:r>
    </w:p>
    <w:bookmarkEnd w:id="100"/>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5.遵守招标方有关现场具体的保洁管理规定和日常管理工作要求，并完成招标方交办的其他工作任务。</w:t>
      </w:r>
      <w:bookmarkEnd w:id="101"/>
    </w:p>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r>
        <w:rPr>
          <w:rFonts w:hint="eastAsia" w:ascii="宋体" w:hAnsi="宋体" w:eastAsia="宋体" w:cs="宋体"/>
          <w:b/>
          <w:bCs/>
          <w:color w:val="auto"/>
          <w:sz w:val="24"/>
          <w:szCs w:val="24"/>
        </w:rPr>
        <w:t>四、检查考核</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项目考核每月进行一次，根据《保洁工作考核细则》进行考核。因中标方原因造成设备故障、客伤、招标方或第三方财产或人身损害的，除负责赔偿责任外，还需向招标方赔付由招标方依据安全事故的性质、受伤人员数量、受伤害的程度、招标方的名誉、形象受损的范围和程度等确定的金额，并承担招标方因此产生的诉讼费、律师费等一切费用及承担相关法律责任。</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102" w:name="_Toc11585_WPSOffice_Level2"/>
      <w:bookmarkStart w:id="103" w:name="_Toc31914"/>
      <w:bookmarkStart w:id="104" w:name="_Toc19054_WPSOffice_Level2"/>
      <w:bookmarkStart w:id="105" w:name="_Toc22090"/>
      <w:bookmarkStart w:id="106" w:name="_Toc14937"/>
      <w:bookmarkStart w:id="107" w:name="_Toc29835"/>
      <w:r>
        <w:rPr>
          <w:rFonts w:hint="eastAsia" w:ascii="宋体" w:hAnsi="宋体" w:eastAsia="宋体" w:cs="宋体"/>
          <w:color w:val="auto"/>
          <w:sz w:val="21"/>
          <w:szCs w:val="21"/>
        </w:rPr>
        <w:t>（一）</w:t>
      </w:r>
      <w:bookmarkEnd w:id="102"/>
      <w:bookmarkEnd w:id="103"/>
      <w:bookmarkEnd w:id="104"/>
      <w:bookmarkEnd w:id="105"/>
      <w:bookmarkEnd w:id="106"/>
      <w:bookmarkEnd w:id="107"/>
      <w:r>
        <w:rPr>
          <w:rFonts w:hint="eastAsia" w:ascii="宋体" w:hAnsi="宋体" w:eastAsia="宋体" w:cs="宋体"/>
          <w:color w:val="auto"/>
          <w:sz w:val="21"/>
          <w:szCs w:val="21"/>
        </w:rPr>
        <w:t>考核方式</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1、采取日常检查（定期检查、不定期检查、专项检查）。保洁工作考核内容及标准见《保洁工作考核细则》（附件1） 。相关制度如有增加、更新、修改，则按最新要求执行。</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2、招标方根据用户需求书中有关条款、合同规定的服务范围、内容以及合同附件和《保洁工作考核细则》 ，结合中标方投标文件中响应和承诺的内容，对中标方履职尽责情况进行考核。对检查中发现的不合格项下发《整改通知书》（附件2）。对于整改不到位或造成严重影响的情形，招标方根据实际情况将加重处罚。</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3、中标方一个月内连续2次经下发《整改通知书》后整改不到位或一个季度内累计5次经下发《整改通知书》后整改不到位的，招标方有权单方面终止合同,所有责任及后果均由中标方承担。</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4、因中标方严重违约，导致招标方重大经济损失和造成严重影响的，招标方可单方面终止合同，并由中标方承担一切后果及责任，且不允许再参与招标方今后的所有保洁服务招标项目。</w:t>
      </w:r>
    </w:p>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bookmarkStart w:id="108" w:name="_Toc227423936"/>
      <w:bookmarkStart w:id="109" w:name="_Toc367274928"/>
      <w:bookmarkStart w:id="110" w:name="_Toc360736712"/>
      <w:r>
        <w:rPr>
          <w:rFonts w:hint="eastAsia" w:ascii="宋体" w:hAnsi="宋体" w:eastAsia="宋体" w:cs="宋体"/>
          <w:b/>
          <w:bCs/>
          <w:color w:val="auto"/>
          <w:sz w:val="24"/>
          <w:szCs w:val="24"/>
        </w:rPr>
        <w:t>五、其他说明</w:t>
      </w:r>
      <w:bookmarkEnd w:id="108"/>
      <w:bookmarkEnd w:id="109"/>
      <w:bookmarkEnd w:id="110"/>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1.投标方在投标前，如须踏勘现场，有关费用自理，踏勘期间发生的意外自负。</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投标方应根据项目要求和现场情况，详细列明项目所需的各项费用，包含在服务实施中应缴纳的税费、管理费、保险费、培训、人工（含岗位轮休）、财务、食宿、服装、装备、设备、材料、工器具、耗材等一切与该项目管理有关的费用。投标方在投标报价时，必须考虑自带设备、材料及工器具进场服务。并考虑项目实施过程中，如遇节假日、重大活动、临时检查突击作业等增加的服务成本。招标方不增加费用，投标方须保证合同实施过程中保洁服务质量符合招标文件及合同的要求。如一旦中标，在项目实施中出现任何遗漏，均由中标方免费提供，招标方不再支付任何费用。</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3.中标方应按照招标方的规范要求，做好日常管理，设施设备自行配置。</w:t>
      </w:r>
    </w:p>
    <w:p>
      <w:pPr>
        <w:keepNext w:val="0"/>
        <w:keepLines w:val="0"/>
        <w:pageBreakBefore w:val="0"/>
        <w:kinsoku/>
        <w:wordWrap/>
        <w:overflowPunct/>
        <w:topLinePunct w:val="0"/>
        <w:autoSpaceDE/>
        <w:autoSpaceDN/>
        <w:bidi w:val="0"/>
        <w:adjustRightInd/>
        <w:snapToGrid/>
        <w:spacing w:line="440" w:lineRule="exact"/>
        <w:ind w:firstLine="210" w:firstLineChars="1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w:t>
      </w:r>
      <w:r>
        <w:rPr>
          <w:rFonts w:hint="eastAsia" w:ascii="宋体" w:hAnsi="宋体" w:eastAsia="宋体" w:cs="宋体"/>
          <w:color w:val="auto"/>
          <w:sz w:val="21"/>
          <w:szCs w:val="21"/>
          <w:u w:val="single"/>
        </w:rPr>
        <w:t>4.在合同实施过程中，招标方有权根据现场实际工作需要、以及中标方工作实际情况对其服务工作范围、服务区域、服务内容进行适当调整（包括增加和减少），</w:t>
      </w:r>
      <w:r>
        <w:rPr>
          <w:rFonts w:hint="eastAsia" w:ascii="宋体" w:hAnsi="宋体" w:eastAsia="宋体" w:cs="宋体"/>
          <w:color w:val="auto"/>
          <w:sz w:val="21"/>
          <w:szCs w:val="21"/>
          <w:highlight w:val="none"/>
          <w:u w:val="single"/>
        </w:rPr>
        <w:t>服务费相应予以调整</w:t>
      </w:r>
      <w:r>
        <w:rPr>
          <w:rFonts w:hint="eastAsia" w:ascii="宋体" w:hAnsi="宋体" w:cs="宋体"/>
          <w:color w:val="auto"/>
          <w:sz w:val="21"/>
          <w:szCs w:val="21"/>
          <w:highlight w:val="none"/>
          <w:u w:val="single"/>
          <w:lang w:eastAsia="zh-CN"/>
        </w:rPr>
        <w:t>（</w:t>
      </w:r>
      <w:r>
        <w:rPr>
          <w:rFonts w:hint="eastAsia" w:ascii="宋体" w:hAnsi="宋体" w:cs="宋体"/>
          <w:color w:val="auto"/>
          <w:sz w:val="21"/>
          <w:szCs w:val="21"/>
          <w:highlight w:val="none"/>
          <w:u w:val="single"/>
          <w:lang w:val="en-US" w:eastAsia="zh-CN"/>
        </w:rPr>
        <w:t>具体按照（中标价/2657*12）元/泊位·月的标准进行调整，费用中包含管理用房和公厕的保洁服务费用，不再单独增加费用）</w:t>
      </w:r>
      <w:r>
        <w:rPr>
          <w:rFonts w:hint="eastAsia" w:ascii="宋体" w:hAnsi="宋体" w:eastAsia="宋体" w:cs="宋体"/>
          <w:color w:val="auto"/>
          <w:sz w:val="21"/>
          <w:szCs w:val="21"/>
          <w:highlight w:val="none"/>
          <w:u w:val="single"/>
        </w:rPr>
        <w:t>，以</w:t>
      </w:r>
      <w:r>
        <w:rPr>
          <w:rFonts w:hint="eastAsia" w:ascii="宋体" w:hAnsi="宋体" w:eastAsia="宋体" w:cs="宋体"/>
          <w:color w:val="auto"/>
          <w:sz w:val="21"/>
          <w:szCs w:val="21"/>
          <w:u w:val="single"/>
        </w:rPr>
        <w:t>招标方的书面通知为准（提前至少半个月发书面通知）。中标方须无条件服从招标方的调整安排。</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5.中标方在提供服务期间，应严格按照国家《劳动法》、《劳动合同法》、《工资支付暂行规定》等有关法律法规规定，合法用工和经营，并全面保障保洁人员的劳动权益。</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6.中标方单位内部发生人员劳动纠纷、工伤及其他人员安全意外等情况，均由中标方自行负责，招标方概不负责。</w:t>
      </w:r>
    </w:p>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7.对于上述项目要求，投标方应在投标文件中进行回应，作出承诺及说明。</w:t>
      </w:r>
    </w:p>
    <w:p>
      <w:pPr>
        <w:spacing w:line="360" w:lineRule="auto"/>
        <w:textAlignment w:val="baseline"/>
        <w:rPr>
          <w:rFonts w:ascii="宋体" w:hAnsi="宋体" w:cs="宋体"/>
          <w:color w:val="auto"/>
          <w:sz w:val="30"/>
          <w:szCs w:val="30"/>
        </w:rPr>
      </w:pPr>
      <w:bookmarkStart w:id="111" w:name="_Toc19246_WPSOffice_Level2"/>
      <w:bookmarkStart w:id="112" w:name="_Toc27322"/>
      <w:bookmarkStart w:id="113" w:name="_Toc11143_WPSOffice_Level2"/>
    </w:p>
    <w:p>
      <w:pPr>
        <w:spacing w:line="360" w:lineRule="auto"/>
        <w:textAlignment w:val="baseline"/>
        <w:rPr>
          <w:rFonts w:ascii="宋体" w:hAnsi="宋体" w:cs="宋体"/>
          <w:color w:val="auto"/>
          <w:sz w:val="30"/>
          <w:szCs w:val="30"/>
        </w:rPr>
      </w:pPr>
    </w:p>
    <w:p>
      <w:pPr>
        <w:spacing w:line="360" w:lineRule="auto"/>
        <w:textAlignment w:val="baseline"/>
        <w:rPr>
          <w:rFonts w:ascii="宋体" w:hAnsi="宋体" w:cs="宋体"/>
          <w:color w:val="auto"/>
          <w:sz w:val="30"/>
          <w:szCs w:val="30"/>
        </w:rPr>
      </w:pPr>
    </w:p>
    <w:p>
      <w:pPr>
        <w:rPr>
          <w:rFonts w:hint="eastAsia" w:ascii="仿宋" w:hAnsi="仿宋" w:eastAsia="仿宋" w:cs="仿宋"/>
          <w:color w:val="auto"/>
          <w:sz w:val="30"/>
          <w:szCs w:val="30"/>
        </w:rPr>
      </w:pPr>
      <w:r>
        <w:rPr>
          <w:rFonts w:hint="eastAsia" w:ascii="仿宋" w:hAnsi="仿宋" w:eastAsia="仿宋" w:cs="仿宋"/>
          <w:color w:val="auto"/>
          <w:sz w:val="30"/>
          <w:szCs w:val="30"/>
        </w:rPr>
        <w:br w:type="page"/>
      </w:r>
    </w:p>
    <w:p>
      <w:pPr>
        <w:spacing w:line="360" w:lineRule="auto"/>
        <w:textAlignment w:val="baseline"/>
        <w:rPr>
          <w:rFonts w:ascii="仿宋" w:hAnsi="仿宋" w:eastAsia="仿宋" w:cs="仿宋"/>
          <w:color w:val="auto"/>
          <w:sz w:val="30"/>
          <w:szCs w:val="30"/>
        </w:rPr>
      </w:pPr>
      <w:r>
        <w:rPr>
          <w:rFonts w:hint="eastAsia" w:ascii="仿宋" w:hAnsi="仿宋" w:eastAsia="仿宋" w:cs="仿宋"/>
          <w:color w:val="auto"/>
          <w:sz w:val="30"/>
          <w:szCs w:val="30"/>
        </w:rPr>
        <w:t>附件1</w:t>
      </w:r>
    </w:p>
    <w:p>
      <w:pPr>
        <w:spacing w:line="360" w:lineRule="auto"/>
        <w:jc w:val="center"/>
        <w:textAlignment w:val="baseline"/>
        <w:rPr>
          <w:rFonts w:ascii="黑体" w:hAnsi="黑体" w:eastAsia="黑体" w:cs="黑体"/>
          <w:color w:val="auto"/>
          <w:sz w:val="36"/>
          <w:szCs w:val="36"/>
        </w:rPr>
      </w:pPr>
      <w:r>
        <w:rPr>
          <w:rFonts w:hint="eastAsia" w:ascii="黑体" w:hAnsi="黑体" w:eastAsia="黑体" w:cs="黑体"/>
          <w:color w:val="auto"/>
          <w:sz w:val="36"/>
          <w:szCs w:val="36"/>
        </w:rPr>
        <w:t>保洁工作考核细则</w:t>
      </w:r>
      <w:bookmarkEnd w:id="111"/>
      <w:bookmarkEnd w:id="112"/>
      <w:bookmarkEnd w:id="113"/>
    </w:p>
    <w:tbl>
      <w:tblPr>
        <w:tblStyle w:val="34"/>
        <w:tblpPr w:leftFromText="180" w:rightFromText="180" w:vertAnchor="text" w:horzAnchor="page" w:tblpX="1287" w:tblpY="302"/>
        <w:tblOverlap w:val="never"/>
        <w:tblW w:w="92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9"/>
        <w:gridCol w:w="4883"/>
        <w:gridCol w:w="2070"/>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vMerge w:val="restart"/>
            <w:shd w:val="clear" w:color="auto" w:fill="auto"/>
            <w:tcMar>
              <w:top w:w="15" w:type="dxa"/>
              <w:left w:w="15" w:type="dxa"/>
              <w:right w:w="15" w:type="dxa"/>
            </w:tcMar>
            <w:vAlign w:val="center"/>
          </w:tcPr>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kern w:val="0"/>
                <w:sz w:val="24"/>
              </w:rPr>
              <w:t>序号</w:t>
            </w:r>
          </w:p>
        </w:tc>
        <w:tc>
          <w:tcPr>
            <w:tcW w:w="4883" w:type="dxa"/>
            <w:vMerge w:val="restart"/>
            <w:shd w:val="clear" w:color="auto" w:fill="auto"/>
            <w:tcMar>
              <w:top w:w="15" w:type="dxa"/>
              <w:left w:w="15" w:type="dxa"/>
              <w:right w:w="15" w:type="dxa"/>
            </w:tcMar>
            <w:vAlign w:val="center"/>
          </w:tcPr>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sz w:val="24"/>
              </w:rPr>
              <w:t>失职行为</w:t>
            </w:r>
            <w:r>
              <w:rPr>
                <w:rFonts w:hint="eastAsia" w:ascii="仿宋" w:hAnsi="仿宋" w:eastAsia="仿宋" w:cs="仿宋"/>
                <w:b/>
                <w:color w:val="auto"/>
                <w:kern w:val="0"/>
                <w:sz w:val="24"/>
              </w:rPr>
              <w:t>定位</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kern w:val="0"/>
                <w:sz w:val="24"/>
              </w:rPr>
              <w:t>考核标准</w:t>
            </w:r>
          </w:p>
        </w:tc>
        <w:tc>
          <w:tcPr>
            <w:tcW w:w="1706" w:type="dxa"/>
            <w:vMerge w:val="restart"/>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hint="eastAsia" w:ascii="仿宋" w:hAnsi="仿宋" w:eastAsia="仿宋" w:cs="仿宋"/>
                <w:b/>
                <w:color w:val="auto"/>
                <w:kern w:val="0"/>
                <w:sz w:val="24"/>
              </w:rPr>
              <w:t>考核中标方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vMerge w:val="continue"/>
            <w:shd w:val="clear" w:color="auto" w:fill="auto"/>
            <w:tcMar>
              <w:top w:w="15" w:type="dxa"/>
              <w:left w:w="15" w:type="dxa"/>
              <w:right w:w="15" w:type="dxa"/>
            </w:tcMar>
            <w:vAlign w:val="center"/>
          </w:tcPr>
          <w:p>
            <w:pPr>
              <w:widowControl/>
              <w:jc w:val="center"/>
              <w:textAlignment w:val="center"/>
              <w:rPr>
                <w:rFonts w:ascii="仿宋" w:hAnsi="仿宋" w:eastAsia="仿宋" w:cs="仿宋"/>
                <w:b/>
                <w:color w:val="auto"/>
                <w:kern w:val="0"/>
                <w:sz w:val="24"/>
              </w:rPr>
            </w:pPr>
          </w:p>
        </w:tc>
        <w:tc>
          <w:tcPr>
            <w:tcW w:w="4883" w:type="dxa"/>
            <w:vMerge w:val="continue"/>
            <w:shd w:val="clear" w:color="auto" w:fill="auto"/>
            <w:tcMar>
              <w:top w:w="15" w:type="dxa"/>
              <w:left w:w="15" w:type="dxa"/>
              <w:right w:w="15" w:type="dxa"/>
            </w:tcMar>
            <w:vAlign w:val="center"/>
          </w:tcPr>
          <w:p>
            <w:pPr>
              <w:widowControl/>
              <w:jc w:val="center"/>
              <w:textAlignment w:val="center"/>
              <w:rPr>
                <w:rFonts w:ascii="仿宋" w:hAnsi="仿宋" w:eastAsia="仿宋" w:cs="仿宋"/>
                <w:b/>
                <w:color w:val="auto"/>
                <w:kern w:val="0"/>
                <w:sz w:val="24"/>
              </w:rPr>
            </w:pP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kern w:val="0"/>
                <w:sz w:val="24"/>
              </w:rPr>
              <w:t>金额</w:t>
            </w:r>
          </w:p>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kern w:val="0"/>
                <w:sz w:val="24"/>
              </w:rPr>
              <w:t>（元）</w:t>
            </w:r>
          </w:p>
        </w:tc>
        <w:tc>
          <w:tcPr>
            <w:tcW w:w="1706" w:type="dxa"/>
            <w:vMerge w:val="continue"/>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日常卫生保洁项目中清扫未达标（每处）</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50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在工作区域张贴与工作无关字画等（每次）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未按规定用电，使用不匹配充电设备，未在指定地点使用设备充电的</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4</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着工装在工作区域内吃东西、打闹、嘻戏等不文明行为的（每人次）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5</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人员迟到、早退</w:t>
            </w:r>
            <w:r>
              <w:rPr>
                <w:rStyle w:val="147"/>
                <w:rFonts w:hint="default" w:ascii="仿宋" w:hAnsi="仿宋" w:eastAsia="仿宋" w:cs="仿宋"/>
                <w:color w:val="auto"/>
                <w:sz w:val="24"/>
                <w:szCs w:val="24"/>
                <w:lang w:bidi="ar"/>
              </w:rPr>
              <w:t>造成区域卫生未打扫干净的（每人次）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 xml:space="preserve">6          </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遗失、损坏钥匙、门禁卡等相关物品的照价赔偿（每次）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7</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私自在非指定区域内堆放物品的</w:t>
            </w:r>
            <w:r>
              <w:rPr>
                <w:rStyle w:val="71"/>
                <w:rFonts w:hint="default" w:ascii="仿宋" w:hAnsi="仿宋" w:eastAsia="仿宋" w:cs="仿宋"/>
                <w:color w:val="auto"/>
                <w:sz w:val="24"/>
                <w:szCs w:val="24"/>
                <w:lang w:bidi="ar"/>
              </w:rPr>
              <w:t>。</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8</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中标方人员所管辖区域内工具材料未堆放整齐或卫生脏乱</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bCs/>
                <w:color w:val="auto"/>
                <w:sz w:val="24"/>
              </w:rPr>
            </w:pPr>
            <w:r>
              <w:rPr>
                <w:rFonts w:hint="eastAsia" w:ascii="仿宋" w:hAnsi="仿宋" w:eastAsia="仿宋" w:cs="仿宋"/>
                <w:bCs/>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9</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中标方人员私接电源或违规使用电器设备</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10</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同一区域连续两次反映相同保洁问题，都未进行整改的</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11</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在接受相关部门检查时，保洁服务未达到检查标准的。</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12</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人员迟到、早退（</w:t>
            </w:r>
            <w:r>
              <w:rPr>
                <w:rStyle w:val="148"/>
                <w:rFonts w:hint="eastAsia" w:ascii="仿宋" w:hAnsi="仿宋" w:eastAsia="仿宋" w:cs="仿宋"/>
                <w:color w:val="auto"/>
                <w:sz w:val="24"/>
                <w:szCs w:val="24"/>
                <w:lang w:bidi="ar"/>
              </w:rPr>
              <w:t>4</w:t>
            </w:r>
            <w:r>
              <w:rPr>
                <w:rStyle w:val="147"/>
                <w:rFonts w:hint="default" w:ascii="仿宋" w:hAnsi="仿宋" w:eastAsia="仿宋" w:cs="仿宋"/>
                <w:color w:val="auto"/>
                <w:sz w:val="24"/>
                <w:szCs w:val="24"/>
                <w:lang w:bidi="ar"/>
              </w:rPr>
              <w:t>小时以上）（每人次），按缺岗处理，</w:t>
            </w:r>
            <w:r>
              <w:rPr>
                <w:rFonts w:hint="eastAsia" w:ascii="仿宋" w:hAnsi="仿宋" w:eastAsia="仿宋" w:cs="仿宋"/>
                <w:color w:val="auto"/>
                <w:sz w:val="24"/>
              </w:rPr>
              <w:t>中标方</w:t>
            </w:r>
            <w:r>
              <w:rPr>
                <w:rStyle w:val="147"/>
                <w:rFonts w:hint="default" w:ascii="仿宋" w:hAnsi="仿宋" w:eastAsia="仿宋" w:cs="仿宋"/>
                <w:color w:val="auto"/>
                <w:sz w:val="24"/>
                <w:szCs w:val="24"/>
                <w:lang w:bidi="ar"/>
              </w:rPr>
              <w:t>须补齐人员（按岗位据实核减服务费）</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400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13</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sz w:val="24"/>
              </w:rPr>
              <w:t>中标方</w:t>
            </w:r>
            <w:r>
              <w:rPr>
                <w:rFonts w:hint="eastAsia" w:ascii="仿宋" w:hAnsi="仿宋" w:eastAsia="仿宋" w:cs="仿宋"/>
                <w:color w:val="auto"/>
                <w:kern w:val="0"/>
                <w:sz w:val="24"/>
                <w:lang w:bidi="ar"/>
              </w:rPr>
              <w:t>人员不符合</w:t>
            </w:r>
            <w:r>
              <w:rPr>
                <w:rFonts w:hint="eastAsia" w:ascii="仿宋" w:hAnsi="仿宋" w:eastAsia="仿宋" w:cs="仿宋"/>
                <w:color w:val="auto"/>
                <w:sz w:val="24"/>
              </w:rPr>
              <w:t>招标方</w:t>
            </w:r>
            <w:r>
              <w:rPr>
                <w:rFonts w:hint="eastAsia" w:ascii="仿宋" w:hAnsi="仿宋" w:eastAsia="仿宋" w:cs="仿宋"/>
                <w:color w:val="auto"/>
                <w:kern w:val="0"/>
                <w:sz w:val="24"/>
                <w:lang w:bidi="ar"/>
              </w:rPr>
              <w:t>人员配备要求</w:t>
            </w:r>
            <w:r>
              <w:rPr>
                <w:rStyle w:val="147"/>
                <w:rFonts w:hint="default" w:ascii="仿宋" w:hAnsi="仿宋" w:eastAsia="仿宋" w:cs="仿宋"/>
                <w:color w:val="auto"/>
                <w:sz w:val="24"/>
                <w:szCs w:val="24"/>
                <w:lang w:bidi="ar"/>
              </w:rPr>
              <w:t>（每人次），</w:t>
            </w:r>
            <w:r>
              <w:rPr>
                <w:rFonts w:hint="eastAsia" w:ascii="仿宋" w:hAnsi="仿宋" w:eastAsia="仿宋" w:cs="仿宋"/>
                <w:color w:val="auto"/>
                <w:sz w:val="24"/>
              </w:rPr>
              <w:t>中标方</w:t>
            </w:r>
            <w:r>
              <w:rPr>
                <w:rStyle w:val="147"/>
                <w:rFonts w:hint="default" w:ascii="仿宋" w:hAnsi="仿宋" w:eastAsia="仿宋" w:cs="仿宋"/>
                <w:color w:val="auto"/>
                <w:sz w:val="24"/>
                <w:szCs w:val="24"/>
                <w:lang w:bidi="ar"/>
              </w:rPr>
              <w:t>未按规定补齐或更换人员（按岗位据实核减服务费）</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400</w:t>
            </w:r>
          </w:p>
        </w:tc>
        <w:tc>
          <w:tcPr>
            <w:tcW w:w="1706"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14</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未经招标方同意，擅自进入设备房等重点区域的（每人次）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15</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在工作期间打瞌睡/铺床睡觉的（每次）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16</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未按招标方要求执行相关工作的（每项）</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17</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保洁人员未按规定着装上岗；酒后上岗或者班中饮酒</w:t>
            </w:r>
            <w:r>
              <w:rPr>
                <w:rFonts w:hint="eastAsia" w:ascii="仿宋" w:hAnsi="仿宋" w:eastAsia="仿宋" w:cs="仿宋"/>
                <w:color w:val="auto"/>
                <w:kern w:val="0"/>
                <w:sz w:val="24"/>
                <w:lang w:eastAsia="zh-CN" w:bidi="ar"/>
              </w:rPr>
              <w:t>（每人次）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bCs/>
                <w:color w:val="auto"/>
                <w:sz w:val="24"/>
              </w:rPr>
            </w:pPr>
            <w:r>
              <w:rPr>
                <w:rFonts w:hint="eastAsia" w:ascii="仿宋" w:hAnsi="仿宋" w:eastAsia="仿宋" w:cs="仿宋"/>
                <w:bCs/>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造成后果责任自负，并赔偿招标方有关损失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18</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经查实，在</w:t>
            </w:r>
            <w:r>
              <w:rPr>
                <w:rStyle w:val="147"/>
                <w:rFonts w:hint="default" w:ascii="仿宋" w:hAnsi="仿宋" w:eastAsia="仿宋" w:cs="仿宋"/>
                <w:color w:val="auto"/>
                <w:sz w:val="24"/>
                <w:szCs w:val="24"/>
                <w:lang w:bidi="ar"/>
              </w:rPr>
              <w:t>服务区域内捡到物品未及时上交招标方或未及时归还失主的（每人次）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400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19</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在禁烟区域吸烟的（每人次）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400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20</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未对每班配备管理人员的；管理人员不作为、未按要求履行其职责，未按规定进行巡查的， （每人次）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500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21</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 xml:space="preserve">保洁人员违章蛮干或进行危险性作业但未造成影响， </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500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22</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被投诉后经查实属有责的（每次）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1000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23</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kern w:val="0"/>
                <w:sz w:val="24"/>
                <w:lang w:bidi="ar"/>
              </w:rPr>
              <w:t>保洁人员作业完毕后未及时出清现场，导致工器具遗留工作区内造成安全隐患，但未造成影响（每次）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1000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24</w:t>
            </w:r>
          </w:p>
        </w:tc>
        <w:tc>
          <w:tcPr>
            <w:tcW w:w="4883" w:type="dxa"/>
            <w:shd w:val="clear" w:color="auto" w:fill="auto"/>
            <w:tcMar>
              <w:top w:w="15" w:type="dxa"/>
              <w:left w:w="15" w:type="dxa"/>
              <w:right w:w="15" w:type="dxa"/>
            </w:tcMar>
            <w:vAlign w:val="center"/>
          </w:tcPr>
          <w:p>
            <w:pPr>
              <w:pStyle w:val="110"/>
              <w:ind w:left="73"/>
              <w:textAlignment w:val="baseline"/>
              <w:rPr>
                <w:rFonts w:ascii="仿宋" w:hAnsi="仿宋" w:eastAsia="仿宋" w:cs="仿宋"/>
                <w:bCs/>
                <w:color w:val="auto"/>
                <w:sz w:val="24"/>
                <w:lang w:eastAsia="zh-CN"/>
              </w:rPr>
            </w:pPr>
            <w:r>
              <w:rPr>
                <w:rFonts w:hint="eastAsia" w:ascii="仿宋" w:hAnsi="仿宋" w:eastAsia="仿宋" w:cs="仿宋"/>
                <w:color w:val="auto"/>
                <w:sz w:val="24"/>
                <w:lang w:eastAsia="zh-CN"/>
              </w:rPr>
              <w:t>违规操作导致设备损坏，不能正常工作或影响正常运营、办公秩序的（每次)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1000至5000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hint="eastAsia" w:ascii="仿宋" w:hAnsi="仿宋" w:eastAsia="仿宋" w:cs="仿宋"/>
                <w:color w:val="auto"/>
                <w:sz w:val="24"/>
              </w:rPr>
              <w:t>中标方承担设备设施的一切损失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25</w:t>
            </w:r>
          </w:p>
        </w:tc>
        <w:tc>
          <w:tcPr>
            <w:tcW w:w="4883" w:type="dxa"/>
            <w:shd w:val="clear" w:color="auto" w:fill="auto"/>
            <w:tcMar>
              <w:top w:w="15" w:type="dxa"/>
              <w:left w:w="15" w:type="dxa"/>
              <w:right w:w="15" w:type="dxa"/>
            </w:tcMar>
            <w:vAlign w:val="center"/>
          </w:tcPr>
          <w:p>
            <w:pPr>
              <w:widowControl/>
              <w:snapToGrid w:val="0"/>
              <w:jc w:val="left"/>
              <w:textAlignment w:val="center"/>
              <w:rPr>
                <w:rFonts w:ascii="仿宋" w:hAnsi="仿宋" w:eastAsia="仿宋" w:cs="仿宋"/>
                <w:color w:val="auto"/>
                <w:sz w:val="24"/>
              </w:rPr>
            </w:pPr>
            <w:r>
              <w:rPr>
                <w:rFonts w:hint="eastAsia" w:ascii="仿宋" w:hAnsi="仿宋" w:eastAsia="仿宋" w:cs="仿宋"/>
                <w:color w:val="auto"/>
                <w:sz w:val="24"/>
              </w:rPr>
              <w:t>遇突发、紧急事故（件）不服从招标方合理调度指挥的（每次）</w:t>
            </w:r>
            <w:r>
              <w:rPr>
                <w:rFonts w:hint="eastAsia" w:ascii="仿宋" w:hAnsi="仿宋" w:eastAsia="仿宋" w:cs="仿宋"/>
                <w:bCs/>
                <w:color w:val="auto"/>
                <w:kern w:val="0"/>
                <w:sz w:val="24"/>
              </w:rPr>
              <w:t>）</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1000至5000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26</w:t>
            </w:r>
          </w:p>
        </w:tc>
        <w:tc>
          <w:tcPr>
            <w:tcW w:w="4883" w:type="dxa"/>
            <w:shd w:val="clear" w:color="auto" w:fill="auto"/>
            <w:tcMar>
              <w:top w:w="15" w:type="dxa"/>
              <w:left w:w="15" w:type="dxa"/>
              <w:right w:w="15" w:type="dxa"/>
            </w:tcMar>
            <w:vAlign w:val="center"/>
          </w:tcPr>
          <w:p>
            <w:pPr>
              <w:widowControl/>
              <w:snapToGrid w:val="0"/>
              <w:jc w:val="left"/>
              <w:textAlignment w:val="center"/>
              <w:rPr>
                <w:rFonts w:ascii="仿宋" w:hAnsi="仿宋" w:eastAsia="仿宋" w:cs="仿宋"/>
                <w:color w:val="auto"/>
                <w:sz w:val="24"/>
              </w:rPr>
            </w:pPr>
            <w:r>
              <w:rPr>
                <w:rFonts w:hint="eastAsia" w:ascii="仿宋" w:hAnsi="仿宋" w:eastAsia="仿宋" w:cs="仿宋"/>
                <w:color w:val="auto"/>
                <w:sz w:val="24"/>
              </w:rPr>
              <w:t>上级有关单位到服务区域及工作区域进行检查，中标方不配合检查的（每次)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1000至5000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27</w:t>
            </w:r>
          </w:p>
        </w:tc>
        <w:tc>
          <w:tcPr>
            <w:tcW w:w="4883" w:type="dxa"/>
            <w:shd w:val="clear" w:color="auto" w:fill="auto"/>
            <w:tcMar>
              <w:top w:w="15" w:type="dxa"/>
              <w:left w:w="15" w:type="dxa"/>
              <w:right w:w="15" w:type="dxa"/>
            </w:tcMar>
            <w:vAlign w:val="center"/>
          </w:tcPr>
          <w:p>
            <w:pPr>
              <w:widowControl/>
              <w:snapToGrid w:val="0"/>
              <w:jc w:val="left"/>
              <w:textAlignment w:val="center"/>
              <w:rPr>
                <w:rFonts w:ascii="仿宋" w:hAnsi="仿宋" w:eastAsia="仿宋" w:cs="仿宋"/>
                <w:color w:val="auto"/>
                <w:sz w:val="24"/>
              </w:rPr>
            </w:pPr>
            <w:r>
              <w:rPr>
                <w:rFonts w:hint="eastAsia" w:ascii="仿宋" w:hAnsi="仿宋" w:eastAsia="仿宋" w:cs="仿宋"/>
                <w:color w:val="auto"/>
                <w:sz w:val="24"/>
              </w:rPr>
              <w:t>中标方人员盗窃物品、设备设施或恶意损坏设备设施的（每次)</w:t>
            </w:r>
          </w:p>
        </w:tc>
        <w:tc>
          <w:tcPr>
            <w:tcW w:w="2070" w:type="dxa"/>
            <w:shd w:val="clear" w:color="auto" w:fill="auto"/>
            <w:tcMar>
              <w:top w:w="0" w:type="dxa"/>
              <w:left w:w="74" w:type="dxa"/>
              <w:right w:w="74" w:type="dxa"/>
            </w:tcMar>
            <w:vAlign w:val="center"/>
          </w:tcPr>
          <w:p>
            <w:pPr>
              <w:pStyle w:val="110"/>
              <w:jc w:val="center"/>
              <w:textAlignment w:val="baseline"/>
              <w:rPr>
                <w:rFonts w:ascii="仿宋" w:hAnsi="仿宋" w:eastAsia="仿宋" w:cs="仿宋"/>
                <w:bCs/>
                <w:color w:val="auto"/>
                <w:sz w:val="24"/>
              </w:rPr>
            </w:pPr>
            <w:r>
              <w:rPr>
                <w:rFonts w:hint="eastAsia" w:ascii="仿宋" w:hAnsi="仿宋" w:eastAsia="仿宋" w:cs="仿宋"/>
                <w:bCs/>
                <w:color w:val="auto"/>
                <w:sz w:val="24"/>
              </w:rPr>
              <w:t>1000至</w:t>
            </w:r>
          </w:p>
          <w:p>
            <w:pPr>
              <w:widowControl/>
              <w:snapToGrid w:val="0"/>
              <w:jc w:val="center"/>
              <w:textAlignment w:val="center"/>
              <w:rPr>
                <w:rFonts w:ascii="仿宋" w:hAnsi="仿宋" w:eastAsia="仿宋" w:cs="仿宋"/>
                <w:bCs/>
                <w:color w:val="auto"/>
                <w:sz w:val="24"/>
              </w:rPr>
            </w:pPr>
            <w:r>
              <w:rPr>
                <w:rFonts w:hint="eastAsia" w:ascii="仿宋" w:hAnsi="仿宋" w:eastAsia="仿宋" w:cs="仿宋"/>
                <w:bCs/>
                <w:color w:val="auto"/>
                <w:sz w:val="24"/>
              </w:rPr>
              <w:t>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0"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28</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sz w:val="24"/>
              </w:rPr>
              <w:t>中标方</w:t>
            </w:r>
            <w:r>
              <w:rPr>
                <w:rFonts w:hint="eastAsia" w:ascii="仿宋" w:hAnsi="仿宋" w:eastAsia="仿宋" w:cs="仿宋"/>
                <w:color w:val="auto"/>
                <w:kern w:val="0"/>
                <w:sz w:val="24"/>
                <w:lang w:bidi="ar"/>
              </w:rPr>
              <w:t>未按</w:t>
            </w:r>
            <w:r>
              <w:rPr>
                <w:rFonts w:hint="eastAsia" w:ascii="仿宋" w:hAnsi="仿宋" w:eastAsia="仿宋" w:cs="仿宋"/>
                <w:color w:val="auto"/>
                <w:sz w:val="24"/>
              </w:rPr>
              <w:t>招标方</w:t>
            </w:r>
            <w:r>
              <w:rPr>
                <w:rFonts w:hint="eastAsia" w:ascii="仿宋" w:hAnsi="仿宋" w:eastAsia="仿宋" w:cs="仿宋"/>
                <w:color w:val="auto"/>
                <w:kern w:val="0"/>
                <w:sz w:val="24"/>
                <w:lang w:bidi="ar"/>
              </w:rPr>
              <w:t>要求对保洁员工开展岗前安全、消防知识培训的,经</w:t>
            </w:r>
            <w:r>
              <w:rPr>
                <w:rFonts w:hint="eastAsia" w:ascii="仿宋" w:hAnsi="仿宋" w:eastAsia="仿宋" w:cs="仿宋"/>
                <w:color w:val="auto"/>
                <w:sz w:val="24"/>
              </w:rPr>
              <w:t>招标方</w:t>
            </w:r>
            <w:r>
              <w:rPr>
                <w:rFonts w:hint="eastAsia" w:ascii="仿宋" w:hAnsi="仿宋" w:eastAsia="仿宋" w:cs="仿宋"/>
                <w:color w:val="auto"/>
                <w:kern w:val="0"/>
                <w:sz w:val="24"/>
                <w:lang w:bidi="ar"/>
              </w:rPr>
              <w:t>查出未按要求及时整改。</w:t>
            </w:r>
          </w:p>
        </w:tc>
        <w:tc>
          <w:tcPr>
            <w:tcW w:w="2070" w:type="dxa"/>
            <w:shd w:val="clear" w:color="auto" w:fill="auto"/>
            <w:tcMar>
              <w:top w:w="0" w:type="dxa"/>
              <w:left w:w="74" w:type="dxa"/>
              <w:right w:w="74" w:type="dxa"/>
            </w:tcMar>
            <w:vAlign w:val="center"/>
          </w:tcPr>
          <w:p>
            <w:pPr>
              <w:pStyle w:val="110"/>
              <w:jc w:val="center"/>
              <w:textAlignment w:val="baseline"/>
              <w:rPr>
                <w:rFonts w:ascii="仿宋" w:hAnsi="仿宋" w:eastAsia="仿宋" w:cs="仿宋"/>
                <w:bCs/>
                <w:color w:val="auto"/>
                <w:sz w:val="24"/>
              </w:rPr>
            </w:pPr>
            <w:r>
              <w:rPr>
                <w:rFonts w:hint="eastAsia" w:ascii="仿宋" w:hAnsi="仿宋" w:eastAsia="仿宋" w:cs="仿宋"/>
                <w:bCs/>
                <w:color w:val="auto"/>
                <w:sz w:val="24"/>
              </w:rPr>
              <w:t>1000至</w:t>
            </w:r>
          </w:p>
          <w:p>
            <w:pPr>
              <w:widowControl/>
              <w:snapToGrid w:val="0"/>
              <w:jc w:val="center"/>
              <w:textAlignment w:val="center"/>
              <w:rPr>
                <w:rFonts w:ascii="仿宋" w:hAnsi="仿宋" w:eastAsia="仿宋" w:cs="仿宋"/>
                <w:bCs/>
                <w:color w:val="auto"/>
                <w:sz w:val="24"/>
              </w:rPr>
            </w:pPr>
            <w:r>
              <w:rPr>
                <w:rFonts w:hint="eastAsia" w:ascii="仿宋" w:hAnsi="仿宋" w:eastAsia="仿宋" w:cs="仿宋"/>
                <w:bCs/>
                <w:color w:val="auto"/>
                <w:sz w:val="24"/>
              </w:rPr>
              <w:t>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29</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kern w:val="0"/>
                <w:sz w:val="24"/>
                <w:lang w:bidi="ar"/>
              </w:rPr>
              <w:t>违反以下规定</w:t>
            </w:r>
            <w:r>
              <w:rPr>
                <w:rFonts w:hint="eastAsia" w:ascii="仿宋" w:hAnsi="仿宋" w:eastAsia="仿宋" w:cs="仿宋"/>
                <w:color w:val="auto"/>
                <w:sz w:val="24"/>
              </w:rPr>
              <w:t>中标方</w:t>
            </w:r>
            <w:r>
              <w:rPr>
                <w:rFonts w:hint="eastAsia" w:ascii="仿宋" w:hAnsi="仿宋" w:eastAsia="仿宋" w:cs="仿宋"/>
                <w:color w:val="auto"/>
                <w:kern w:val="0"/>
                <w:sz w:val="24"/>
                <w:lang w:bidi="ar"/>
              </w:rPr>
              <w:t>5个工作日未进行人员更换的：</w:t>
            </w:r>
          </w:p>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kern w:val="0"/>
                <w:sz w:val="24"/>
                <w:lang w:bidi="ar"/>
              </w:rPr>
              <w:t>1.员工之间在工作期间及工作区域发生打架、斗殴；</w:t>
            </w:r>
          </w:p>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kern w:val="0"/>
                <w:sz w:val="24"/>
                <w:lang w:bidi="ar"/>
              </w:rPr>
              <w:t>2.与</w:t>
            </w:r>
            <w:r>
              <w:rPr>
                <w:rFonts w:hint="eastAsia" w:ascii="仿宋" w:hAnsi="仿宋" w:eastAsia="仿宋" w:cs="仿宋"/>
                <w:color w:val="auto"/>
                <w:sz w:val="24"/>
              </w:rPr>
              <w:t>招标方</w:t>
            </w:r>
            <w:r>
              <w:rPr>
                <w:rFonts w:hint="eastAsia" w:ascii="仿宋" w:hAnsi="仿宋" w:eastAsia="仿宋" w:cs="仿宋"/>
                <w:color w:val="auto"/>
                <w:kern w:val="0"/>
                <w:sz w:val="24"/>
                <w:lang w:bidi="ar"/>
              </w:rPr>
              <w:t>员工发生肢体冲突且责任在</w:t>
            </w:r>
            <w:r>
              <w:rPr>
                <w:rFonts w:hint="eastAsia" w:ascii="仿宋" w:hAnsi="仿宋" w:eastAsia="仿宋" w:cs="仿宋"/>
                <w:color w:val="auto"/>
                <w:sz w:val="24"/>
              </w:rPr>
              <w:t>中标方</w:t>
            </w:r>
            <w:r>
              <w:rPr>
                <w:rFonts w:hint="eastAsia" w:ascii="仿宋" w:hAnsi="仿宋" w:eastAsia="仿宋" w:cs="仿宋"/>
                <w:color w:val="auto"/>
                <w:kern w:val="0"/>
                <w:sz w:val="24"/>
                <w:lang w:bidi="ar"/>
              </w:rPr>
              <w:t>人员；</w:t>
            </w:r>
          </w:p>
        </w:tc>
        <w:tc>
          <w:tcPr>
            <w:tcW w:w="2070" w:type="dxa"/>
            <w:shd w:val="clear" w:color="auto" w:fill="auto"/>
            <w:tcMar>
              <w:top w:w="0" w:type="dxa"/>
              <w:left w:w="74" w:type="dxa"/>
              <w:right w:w="74" w:type="dxa"/>
            </w:tcMar>
            <w:vAlign w:val="center"/>
          </w:tcPr>
          <w:p>
            <w:pPr>
              <w:pStyle w:val="110"/>
              <w:jc w:val="center"/>
              <w:textAlignment w:val="baseline"/>
              <w:rPr>
                <w:rFonts w:ascii="仿宋" w:hAnsi="仿宋" w:eastAsia="仿宋" w:cs="仿宋"/>
                <w:bCs/>
                <w:color w:val="auto"/>
                <w:sz w:val="24"/>
              </w:rPr>
            </w:pPr>
            <w:r>
              <w:rPr>
                <w:rFonts w:hint="eastAsia" w:ascii="仿宋" w:hAnsi="仿宋" w:eastAsia="仿宋" w:cs="仿宋"/>
                <w:bCs/>
                <w:color w:val="auto"/>
                <w:sz w:val="24"/>
              </w:rPr>
              <w:t>1000至</w:t>
            </w:r>
          </w:p>
          <w:p>
            <w:pPr>
              <w:widowControl/>
              <w:snapToGrid w:val="0"/>
              <w:jc w:val="center"/>
              <w:textAlignment w:val="center"/>
              <w:rPr>
                <w:rFonts w:ascii="仿宋" w:hAnsi="仿宋" w:eastAsia="仿宋" w:cs="仿宋"/>
                <w:bCs/>
                <w:color w:val="auto"/>
                <w:sz w:val="24"/>
              </w:rPr>
            </w:pPr>
            <w:r>
              <w:rPr>
                <w:rFonts w:hint="eastAsia" w:ascii="仿宋" w:hAnsi="仿宋" w:eastAsia="仿宋" w:cs="仿宋"/>
                <w:bCs/>
                <w:color w:val="auto"/>
                <w:sz w:val="24"/>
              </w:rPr>
              <w:t>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30</w:t>
            </w:r>
          </w:p>
        </w:tc>
        <w:tc>
          <w:tcPr>
            <w:tcW w:w="4883" w:type="dxa"/>
            <w:shd w:val="clear" w:color="auto" w:fill="auto"/>
            <w:tcMar>
              <w:top w:w="15" w:type="dxa"/>
              <w:left w:w="15" w:type="dxa"/>
              <w:right w:w="15" w:type="dxa"/>
            </w:tcMar>
            <w:vAlign w:val="center"/>
          </w:tcPr>
          <w:p>
            <w:pPr>
              <w:textAlignment w:val="baseline"/>
              <w:rPr>
                <w:rFonts w:ascii="仿宋" w:hAnsi="仿宋" w:eastAsia="仿宋" w:cs="仿宋"/>
                <w:color w:val="auto"/>
                <w:sz w:val="24"/>
              </w:rPr>
            </w:pPr>
            <w:r>
              <w:rPr>
                <w:rFonts w:hint="eastAsia" w:ascii="仿宋" w:hAnsi="仿宋" w:eastAsia="仿宋" w:cs="仿宋"/>
                <w:color w:val="auto"/>
                <w:sz w:val="24"/>
              </w:rPr>
              <w:t>经查实中标方留用有精神病史、吸毒、非法上访、参加邪教组织等有犯罪前科史的或有吸毒、非法上访、参加邪教组织等犯罪违法活动的人员（每人次)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31</w:t>
            </w:r>
          </w:p>
        </w:tc>
        <w:tc>
          <w:tcPr>
            <w:tcW w:w="4883" w:type="dxa"/>
            <w:shd w:val="clear" w:color="auto" w:fill="auto"/>
            <w:tcMar>
              <w:top w:w="15" w:type="dxa"/>
              <w:left w:w="15" w:type="dxa"/>
              <w:right w:w="15" w:type="dxa"/>
            </w:tcMar>
            <w:vAlign w:val="center"/>
          </w:tcPr>
          <w:p>
            <w:pPr>
              <w:textAlignment w:val="baseline"/>
              <w:rPr>
                <w:rFonts w:ascii="仿宋" w:hAnsi="仿宋" w:eastAsia="仿宋" w:cs="仿宋"/>
                <w:color w:val="auto"/>
                <w:sz w:val="24"/>
              </w:rPr>
            </w:pPr>
            <w:r>
              <w:rPr>
                <w:rFonts w:hint="eastAsia" w:ascii="仿宋" w:hAnsi="仿宋" w:eastAsia="仿宋" w:cs="仿宋"/>
                <w:color w:val="auto"/>
                <w:sz w:val="24"/>
              </w:rPr>
              <w:t>中标方被投诉后经查实属有责的，并造成影响的（每次)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32</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中标方员工通过网络社交平台发布负面内容；被其他人员通过网络社交平台发布负面内容或被媒体曝光产生负面新闻，影响公司形象的（每次)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33</w:t>
            </w:r>
          </w:p>
        </w:tc>
        <w:tc>
          <w:tcPr>
            <w:tcW w:w="4883" w:type="dxa"/>
            <w:shd w:val="clear" w:color="auto" w:fill="auto"/>
            <w:tcMar>
              <w:top w:w="15" w:type="dxa"/>
              <w:left w:w="15" w:type="dxa"/>
              <w:right w:w="15" w:type="dxa"/>
            </w:tcMar>
            <w:vAlign w:val="center"/>
          </w:tcPr>
          <w:p>
            <w:pPr>
              <w:textAlignment w:val="baseline"/>
              <w:rPr>
                <w:rFonts w:ascii="仿宋" w:hAnsi="仿宋" w:eastAsia="仿宋" w:cs="仿宋"/>
                <w:color w:val="auto"/>
                <w:sz w:val="24"/>
              </w:rPr>
            </w:pPr>
            <w:r>
              <w:rPr>
                <w:rFonts w:hint="eastAsia" w:ascii="仿宋" w:hAnsi="仿宋" w:eastAsia="仿宋" w:cs="仿宋"/>
                <w:color w:val="auto"/>
                <w:sz w:val="24"/>
              </w:rPr>
              <w:t>被上级部门通报的（每次)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1000至5000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sz w:val="24"/>
              </w:rPr>
            </w:pPr>
            <w:r>
              <w:rPr>
                <w:rFonts w:ascii="仿宋" w:hAnsi="仿宋" w:eastAsia="仿宋" w:cs="仿宋"/>
                <w:bCs/>
                <w:color w:val="auto"/>
                <w:sz w:val="24"/>
              </w:rPr>
              <w:t>34</w:t>
            </w:r>
          </w:p>
        </w:tc>
        <w:tc>
          <w:tcPr>
            <w:tcW w:w="4883" w:type="dxa"/>
            <w:shd w:val="clear" w:color="auto" w:fill="auto"/>
            <w:tcMar>
              <w:top w:w="15" w:type="dxa"/>
              <w:left w:w="15" w:type="dxa"/>
              <w:right w:w="15" w:type="dxa"/>
            </w:tcMar>
            <w:vAlign w:val="center"/>
          </w:tcPr>
          <w:p>
            <w:pPr>
              <w:textAlignment w:val="baseline"/>
              <w:rPr>
                <w:rFonts w:ascii="仿宋" w:hAnsi="仿宋" w:eastAsia="仿宋" w:cs="仿宋"/>
                <w:color w:val="auto"/>
                <w:sz w:val="24"/>
              </w:rPr>
            </w:pPr>
            <w:r>
              <w:rPr>
                <w:rFonts w:hint="eastAsia" w:ascii="仿宋" w:hAnsi="仿宋" w:eastAsia="仿宋" w:cs="仿宋"/>
                <w:color w:val="auto"/>
                <w:sz w:val="24"/>
              </w:rPr>
              <w:t>因中标方问题，被新闻媒体负面报道经查属实或被新闻单位通报批评，影响公司形象的（每次)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5000至50000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35</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中标方未按岗位数量要求派遣人员，对运营造成影响，导致工作无法开展的（每次)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36</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w:t>
            </w:r>
            <w:r>
              <w:rPr>
                <w:rFonts w:hint="eastAsia" w:ascii="仿宋" w:hAnsi="仿宋" w:eastAsia="仿宋" w:cs="仿宋"/>
                <w:color w:val="auto"/>
                <w:kern w:val="0"/>
                <w:sz w:val="24"/>
                <w:lang w:eastAsia="zh-CN" w:bidi="ar"/>
              </w:rPr>
              <w:t>提供不合格的消杀、保洁药品药剂，被检查或造成后果的。</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37</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kern w:val="0"/>
                <w:sz w:val="24"/>
                <w:lang w:eastAsia="zh-CN" w:bidi="ar"/>
              </w:rPr>
              <w:t>保洁作业期间发生影响运营安全的一般事故以下的事件。</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38</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kern w:val="0"/>
                <w:sz w:val="24"/>
                <w:lang w:eastAsia="zh-CN" w:bidi="ar"/>
              </w:rPr>
              <w:t>保洁作业期间发生影响运营安全的一般事故以上的事件。</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25000至50000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39</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kern w:val="0"/>
                <w:sz w:val="24"/>
                <w:lang w:eastAsia="zh-CN" w:bidi="ar"/>
              </w:rPr>
            </w:pPr>
            <w:r>
              <w:rPr>
                <w:rFonts w:hint="eastAsia" w:ascii="仿宋" w:hAnsi="仿宋" w:eastAsia="仿宋" w:cs="仿宋"/>
                <w:color w:val="auto"/>
                <w:sz w:val="24"/>
                <w:lang w:eastAsia="zh-CN"/>
              </w:rPr>
              <w:t>已下发书面《整改通知书》，到期再检查，未能及时整改到位的</w:t>
            </w:r>
          </w:p>
        </w:tc>
        <w:tc>
          <w:tcPr>
            <w:tcW w:w="3776" w:type="dxa"/>
            <w:gridSpan w:val="2"/>
            <w:shd w:val="clear" w:color="auto" w:fill="auto"/>
            <w:tcMar>
              <w:top w:w="0" w:type="dxa"/>
              <w:left w:w="74" w:type="dxa"/>
              <w:right w:w="74"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sz w:val="24"/>
              </w:rPr>
              <w:t>在上一份整改通知书的基础上，加倍罚款</w:t>
            </w:r>
          </w:p>
        </w:tc>
      </w:tr>
    </w:tbl>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仿宋" w:hAnsi="仿宋" w:eastAsia="仿宋" w:cs="仿宋"/>
          <w:bCs/>
          <w:color w:val="auto"/>
          <w:sz w:val="30"/>
          <w:szCs w:val="30"/>
        </w:rPr>
      </w:pPr>
    </w:p>
    <w:p>
      <w:pPr>
        <w:textAlignment w:val="baseline"/>
        <w:rPr>
          <w:rFonts w:ascii="仿宋" w:hAnsi="仿宋" w:eastAsia="仿宋" w:cs="仿宋"/>
          <w:bCs/>
          <w:color w:val="auto"/>
          <w:sz w:val="30"/>
          <w:szCs w:val="30"/>
        </w:rPr>
      </w:pPr>
    </w:p>
    <w:p>
      <w:pPr>
        <w:textAlignment w:val="baseline"/>
        <w:rPr>
          <w:rFonts w:hint="eastAsia" w:ascii="仿宋" w:hAnsi="仿宋" w:eastAsia="仿宋" w:cs="仿宋"/>
          <w:bCs/>
          <w:color w:val="auto"/>
          <w:sz w:val="30"/>
          <w:szCs w:val="30"/>
        </w:rPr>
      </w:pPr>
    </w:p>
    <w:p>
      <w:pPr>
        <w:rPr>
          <w:rFonts w:hint="eastAsia" w:ascii="仿宋" w:hAnsi="仿宋" w:eastAsia="仿宋" w:cs="仿宋"/>
          <w:bCs/>
          <w:color w:val="auto"/>
          <w:sz w:val="30"/>
          <w:szCs w:val="30"/>
        </w:rPr>
      </w:pPr>
      <w:r>
        <w:rPr>
          <w:rFonts w:hint="eastAsia" w:ascii="仿宋" w:hAnsi="仿宋" w:eastAsia="仿宋" w:cs="仿宋"/>
          <w:bCs/>
          <w:color w:val="auto"/>
          <w:sz w:val="30"/>
          <w:szCs w:val="30"/>
        </w:rPr>
        <w:br w:type="page"/>
      </w:r>
    </w:p>
    <w:p>
      <w:pPr>
        <w:textAlignment w:val="baseline"/>
        <w:rPr>
          <w:rFonts w:ascii="仿宋" w:hAnsi="仿宋" w:eastAsia="仿宋" w:cs="仿宋"/>
          <w:bCs/>
          <w:color w:val="auto"/>
          <w:sz w:val="30"/>
          <w:szCs w:val="30"/>
        </w:rPr>
      </w:pPr>
      <w:r>
        <w:rPr>
          <w:rFonts w:hint="eastAsia" w:ascii="仿宋" w:hAnsi="仿宋" w:eastAsia="仿宋" w:cs="仿宋"/>
          <w:bCs/>
          <w:color w:val="auto"/>
          <w:sz w:val="30"/>
          <w:szCs w:val="30"/>
        </w:rPr>
        <w:t>附件</w:t>
      </w:r>
      <w:r>
        <w:rPr>
          <w:rFonts w:ascii="仿宋" w:hAnsi="仿宋" w:eastAsia="仿宋" w:cs="仿宋"/>
          <w:bCs/>
          <w:color w:val="auto"/>
          <w:sz w:val="30"/>
          <w:szCs w:val="30"/>
        </w:rPr>
        <w:t>2</w:t>
      </w:r>
    </w:p>
    <w:p>
      <w:pPr>
        <w:jc w:val="center"/>
        <w:textAlignment w:val="baseline"/>
        <w:rPr>
          <w:color w:val="auto"/>
          <w:sz w:val="28"/>
          <w:szCs w:val="28"/>
        </w:rPr>
      </w:pPr>
      <w:r>
        <w:rPr>
          <w:rFonts w:hint="eastAsia" w:ascii="宋体" w:hAnsi="宋体" w:cs="宋体"/>
          <w:b/>
          <w:color w:val="auto"/>
          <w:sz w:val="36"/>
          <w:szCs w:val="36"/>
        </w:rPr>
        <w:t>整改（考核）通知书</w:t>
      </w:r>
      <w:r>
        <w:rPr>
          <w:rFonts w:hint="eastAsia"/>
          <w:color w:val="auto"/>
          <w:sz w:val="28"/>
          <w:szCs w:val="28"/>
        </w:rPr>
        <w:t xml:space="preserve">                               </w:t>
      </w:r>
    </w:p>
    <w:tbl>
      <w:tblPr>
        <w:tblStyle w:val="34"/>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2892"/>
        <w:gridCol w:w="1538"/>
        <w:gridCol w:w="3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下达单位</w:t>
            </w:r>
          </w:p>
        </w:tc>
        <w:tc>
          <w:tcPr>
            <w:tcW w:w="2892" w:type="dxa"/>
            <w:vAlign w:val="center"/>
          </w:tcPr>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tc>
        <w:tc>
          <w:tcPr>
            <w:tcW w:w="1538"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下达时间</w:t>
            </w:r>
          </w:p>
        </w:tc>
        <w:tc>
          <w:tcPr>
            <w:tcW w:w="3010" w:type="dxa"/>
            <w:vAlign w:val="center"/>
          </w:tcPr>
          <w:p>
            <w:pPr>
              <w:jc w:val="center"/>
              <w:textAlignment w:val="baseline"/>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受检单位</w:t>
            </w:r>
          </w:p>
        </w:tc>
        <w:tc>
          <w:tcPr>
            <w:tcW w:w="2892" w:type="dxa"/>
            <w:vAlign w:val="center"/>
          </w:tcPr>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tc>
        <w:tc>
          <w:tcPr>
            <w:tcW w:w="1538"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检查时间</w:t>
            </w:r>
          </w:p>
        </w:tc>
        <w:tc>
          <w:tcPr>
            <w:tcW w:w="3010" w:type="dxa"/>
            <w:vAlign w:val="center"/>
          </w:tcPr>
          <w:p>
            <w:pPr>
              <w:jc w:val="center"/>
              <w:textAlignment w:val="baseline"/>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4" w:hRule="atLeast"/>
          <w:jc w:val="center"/>
        </w:trPr>
        <w:tc>
          <w:tcPr>
            <w:tcW w:w="8853" w:type="dxa"/>
            <w:gridSpan w:val="4"/>
            <w:vAlign w:val="center"/>
          </w:tcPr>
          <w:p>
            <w:pP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检查情况:</w:t>
            </w: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ind w:firstLine="630"/>
              <w:jc w:val="center"/>
              <w:textAlignment w:val="baseline"/>
              <w:rPr>
                <w:rFonts w:ascii="仿宋_GB2312" w:hAnsi="仿宋_GB2312" w:eastAsia="仿宋_GB2312" w:cs="仿宋_GB2312"/>
                <w:color w:val="auto"/>
                <w:kern w:val="0"/>
                <w:sz w:val="24"/>
              </w:rPr>
            </w:pPr>
          </w:p>
          <w:p>
            <w:pPr>
              <w:ind w:firstLine="630"/>
              <w:jc w:val="center"/>
              <w:textAlignment w:val="baseline"/>
              <w:rPr>
                <w:rFonts w:ascii="仿宋_GB2312" w:hAnsi="仿宋_GB2312" w:eastAsia="仿宋_GB2312" w:cs="仿宋_GB2312"/>
                <w:color w:val="auto"/>
                <w:kern w:val="0"/>
                <w:sz w:val="24"/>
              </w:rPr>
            </w:pPr>
          </w:p>
          <w:p>
            <w:pPr>
              <w:ind w:firstLine="630"/>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 xml:space="preserve"> </w:t>
            </w:r>
            <w:r>
              <w:rPr>
                <w:rFonts w:ascii="仿宋_GB2312" w:hAnsi="仿宋_GB2312" w:eastAsia="仿宋_GB2312" w:cs="仿宋_GB2312"/>
                <w:color w:val="auto"/>
                <w:kern w:val="0"/>
                <w:sz w:val="24"/>
              </w:rPr>
              <w:t xml:space="preserve">         </w:t>
            </w:r>
            <w:r>
              <w:rPr>
                <w:rFonts w:hint="eastAsia" w:ascii="仿宋_GB2312" w:hAnsi="仿宋_GB2312" w:eastAsia="仿宋_GB2312" w:cs="仿宋_GB2312"/>
                <w:color w:val="auto"/>
                <w:kern w:val="0"/>
                <w:sz w:val="24"/>
              </w:rPr>
              <w:t xml:space="preserve">检查人：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413"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整改期限</w:t>
            </w:r>
          </w:p>
        </w:tc>
        <w:tc>
          <w:tcPr>
            <w:tcW w:w="2892" w:type="dxa"/>
            <w:vAlign w:val="center"/>
          </w:tcPr>
          <w:p>
            <w:pPr>
              <w:jc w:val="center"/>
              <w:textAlignment w:val="baseline"/>
              <w:rPr>
                <w:rFonts w:ascii="仿宋_GB2312" w:hAnsi="仿宋_GB2312" w:eastAsia="仿宋_GB2312" w:cs="仿宋_GB2312"/>
                <w:color w:val="auto"/>
                <w:kern w:val="0"/>
                <w:sz w:val="24"/>
              </w:rPr>
            </w:pPr>
          </w:p>
        </w:tc>
        <w:tc>
          <w:tcPr>
            <w:tcW w:w="1538"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责任人签认</w:t>
            </w:r>
          </w:p>
        </w:tc>
        <w:tc>
          <w:tcPr>
            <w:tcW w:w="3010" w:type="dxa"/>
            <w:vAlign w:val="center"/>
          </w:tcPr>
          <w:p>
            <w:pPr>
              <w:jc w:val="center"/>
              <w:textAlignment w:val="baseline"/>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9" w:hRule="atLeast"/>
          <w:jc w:val="center"/>
        </w:trPr>
        <w:tc>
          <w:tcPr>
            <w:tcW w:w="8853" w:type="dxa"/>
            <w:gridSpan w:val="4"/>
            <w:vAlign w:val="center"/>
          </w:tcPr>
          <w:p>
            <w:pP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复查情况:</w:t>
            </w: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 xml:space="preserve">     </w:t>
            </w:r>
          </w:p>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 xml:space="preserve">                           检查人:</w:t>
            </w:r>
          </w:p>
        </w:tc>
      </w:tr>
    </w:tbl>
    <w:p>
      <w:pPr>
        <w:rPr>
          <w:rFonts w:hint="eastAsia" w:ascii="宋体"/>
          <w:b/>
          <w:color w:val="auto"/>
          <w:sz w:val="32"/>
          <w:szCs w:val="32"/>
          <w:highlight w:val="none"/>
        </w:rPr>
      </w:pPr>
      <w:r>
        <w:rPr>
          <w:rFonts w:hint="eastAsia" w:ascii="宋体"/>
          <w:b/>
          <w:color w:val="auto"/>
          <w:sz w:val="32"/>
          <w:szCs w:val="32"/>
          <w:highlight w:val="none"/>
        </w:rPr>
        <w:br w:type="page"/>
      </w:r>
    </w:p>
    <w:p>
      <w:pPr>
        <w:numPr>
          <w:ilvl w:val="0"/>
          <w:numId w:val="0"/>
        </w:numPr>
        <w:spacing w:before="156" w:beforeLines="50" w:after="156" w:afterLines="50"/>
        <w:jc w:val="center"/>
        <w:outlineLvl w:val="0"/>
        <w:rPr>
          <w:rFonts w:hint="eastAsia" w:ascii="宋体"/>
          <w:b/>
          <w:color w:val="auto"/>
          <w:sz w:val="32"/>
          <w:szCs w:val="32"/>
          <w:highlight w:val="none"/>
          <w:lang w:val="en-US" w:eastAsia="zh-CN"/>
        </w:rPr>
      </w:pPr>
      <w:r>
        <w:rPr>
          <w:rFonts w:hint="eastAsia" w:ascii="宋体"/>
          <w:b/>
          <w:color w:val="auto"/>
          <w:sz w:val="32"/>
          <w:szCs w:val="32"/>
          <w:highlight w:val="none"/>
          <w:lang w:val="en-US" w:eastAsia="zh-CN"/>
        </w:rPr>
        <w:t xml:space="preserve">第五章  </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合同格式（参考）</w:t>
      </w:r>
    </w:p>
    <w:p>
      <w:pPr>
        <w:widowControl/>
        <w:spacing w:line="400" w:lineRule="exact"/>
        <w:ind w:left="360"/>
        <w:jc w:val="center"/>
        <w:textAlignment w:val="baseline"/>
        <w:outlineLvl w:val="1"/>
        <w:rPr>
          <w:rFonts w:hint="eastAsia" w:ascii="宋体"/>
          <w:b/>
          <w:color w:val="auto"/>
          <w:sz w:val="30"/>
          <w:szCs w:val="30"/>
          <w:highlight w:val="none"/>
        </w:rPr>
      </w:pPr>
    </w:p>
    <w:p>
      <w:pPr>
        <w:widowControl/>
        <w:spacing w:line="400" w:lineRule="exact"/>
        <w:ind w:left="360"/>
        <w:jc w:val="center"/>
        <w:textAlignment w:val="baseline"/>
        <w:outlineLvl w:val="1"/>
        <w:rPr>
          <w:rFonts w:hint="eastAsia" w:ascii="黑体" w:eastAsia="黑体"/>
          <w:b/>
          <w:color w:val="auto"/>
          <w:sz w:val="30"/>
          <w:szCs w:val="30"/>
          <w:highlight w:val="none"/>
        </w:rPr>
      </w:pPr>
      <w:r>
        <w:rPr>
          <w:rFonts w:hint="eastAsia" w:ascii="宋体"/>
          <w:b/>
          <w:color w:val="auto"/>
          <w:sz w:val="30"/>
          <w:szCs w:val="30"/>
          <w:highlight w:val="none"/>
        </w:rPr>
        <w:t>一</w:t>
      </w:r>
      <w:bookmarkStart w:id="114" w:name="_Toc449028946"/>
      <w:r>
        <w:rPr>
          <w:rFonts w:hint="eastAsia" w:ascii="宋体"/>
          <w:b/>
          <w:color w:val="auto"/>
          <w:sz w:val="30"/>
          <w:szCs w:val="30"/>
          <w:highlight w:val="none"/>
        </w:rPr>
        <w:t>、合同协议书（格式）</w:t>
      </w:r>
      <w:bookmarkEnd w:id="114"/>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Cs w:val="21"/>
          <w:highlight w:val="none"/>
        </w:rPr>
      </w:pPr>
      <w:r>
        <w:rPr>
          <w:rFonts w:hint="eastAsia" w:ascii="宋体" w:hAnsi="宋体"/>
          <w:color w:val="auto"/>
          <w:szCs w:val="21"/>
          <w:highlight w:val="none"/>
        </w:rPr>
        <w:t xml:space="preserve">项目名称：    </w:t>
      </w:r>
    </w:p>
    <w:p>
      <w:pPr>
        <w:spacing w:before="120" w:line="480" w:lineRule="auto"/>
        <w:ind w:left="960"/>
        <w:rPr>
          <w:rFonts w:ascii="宋体" w:hAnsi="宋体"/>
          <w:color w:val="auto"/>
          <w:szCs w:val="21"/>
          <w:highlight w:val="none"/>
        </w:rPr>
      </w:pPr>
      <w:r>
        <w:rPr>
          <w:rFonts w:hint="eastAsia" w:ascii="宋体" w:hAnsi="宋体"/>
          <w:color w:val="auto"/>
          <w:szCs w:val="21"/>
          <w:highlight w:val="none"/>
        </w:rPr>
        <w:t>项目编号：</w:t>
      </w:r>
    </w:p>
    <w:p>
      <w:pPr>
        <w:spacing w:before="120" w:line="480" w:lineRule="auto"/>
        <w:ind w:left="960"/>
        <w:rPr>
          <w:rFonts w:ascii="宋体" w:hAnsi="宋体"/>
          <w:color w:val="auto"/>
          <w:szCs w:val="21"/>
          <w:highlight w:val="none"/>
          <w:u w:val="single"/>
        </w:rPr>
      </w:pPr>
      <w:r>
        <w:rPr>
          <w:rFonts w:hint="eastAsia" w:ascii="宋体" w:hAnsi="宋体"/>
          <w:color w:val="auto"/>
          <w:szCs w:val="21"/>
          <w:highlight w:val="none"/>
        </w:rPr>
        <w:t>甲方（</w:t>
      </w:r>
      <w:r>
        <w:rPr>
          <w:rFonts w:hint="eastAsia" w:ascii="宋体" w:hAnsi="宋体"/>
          <w:color w:val="auto"/>
          <w:szCs w:val="21"/>
          <w:highlight w:val="none"/>
          <w:lang w:val="en-US" w:eastAsia="zh-CN"/>
        </w:rPr>
        <w:t>招标</w:t>
      </w:r>
      <w:r>
        <w:rPr>
          <w:rFonts w:hint="eastAsia" w:ascii="宋体" w:hAnsi="宋体"/>
          <w:color w:val="auto"/>
          <w:szCs w:val="21"/>
          <w:highlight w:val="none"/>
        </w:rPr>
        <w:t>人）：</w:t>
      </w:r>
      <w:r>
        <w:rPr>
          <w:rFonts w:hint="eastAsia" w:ascii="宋体" w:hAnsi="宋体"/>
          <w:color w:val="auto"/>
          <w:szCs w:val="21"/>
          <w:highlight w:val="none"/>
          <w:u w:val="single"/>
        </w:rPr>
        <w:t xml:space="preserve">                              </w:t>
      </w:r>
    </w:p>
    <w:p>
      <w:pPr>
        <w:spacing w:before="120" w:line="480" w:lineRule="auto"/>
        <w:ind w:left="960"/>
        <w:rPr>
          <w:rFonts w:ascii="宋体" w:hAnsi="宋体"/>
          <w:color w:val="auto"/>
          <w:szCs w:val="21"/>
          <w:highlight w:val="none"/>
          <w:u w:val="single"/>
        </w:rPr>
      </w:pPr>
      <w:r>
        <w:rPr>
          <w:rFonts w:hint="eastAsia" w:ascii="宋体" w:hAnsi="宋体"/>
          <w:color w:val="auto"/>
          <w:szCs w:val="21"/>
          <w:highlight w:val="none"/>
        </w:rPr>
        <w:t>乙方（中标人）：</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p>
      <w:pPr>
        <w:spacing w:before="120" w:line="480" w:lineRule="auto"/>
        <w:ind w:firstLine="840" w:firstLineChars="400"/>
        <w:rPr>
          <w:rFonts w:ascii="宋体" w:hAnsi="宋体"/>
          <w:color w:val="auto"/>
          <w:szCs w:val="21"/>
          <w:highlight w:val="none"/>
          <w:u w:val="single"/>
        </w:rPr>
      </w:pPr>
      <w:r>
        <w:rPr>
          <w:rFonts w:hint="eastAsia" w:ascii="宋体" w:hAnsi="宋体"/>
          <w:color w:val="auto"/>
          <w:szCs w:val="21"/>
          <w:highlight w:val="none"/>
        </w:rPr>
        <w:t>签订地：</w:t>
      </w:r>
      <w:r>
        <w:rPr>
          <w:rFonts w:hint="eastAsia" w:ascii="宋体" w:hAnsi="宋体"/>
          <w:color w:val="auto"/>
          <w:szCs w:val="21"/>
          <w:highlight w:val="none"/>
          <w:u w:val="single"/>
        </w:rPr>
        <w:t xml:space="preserve">                                     </w:t>
      </w:r>
    </w:p>
    <w:p>
      <w:pPr>
        <w:spacing w:before="120" w:line="480" w:lineRule="auto"/>
        <w:ind w:firstLine="840" w:firstLineChars="400"/>
        <w:rPr>
          <w:rFonts w:ascii="宋体" w:hAnsi="宋体"/>
          <w:color w:val="auto"/>
          <w:szCs w:val="21"/>
          <w:highlight w:val="none"/>
        </w:rPr>
      </w:pPr>
      <w:r>
        <w:rPr>
          <w:rFonts w:hint="eastAsia" w:ascii="宋体" w:hAnsi="宋体"/>
          <w:color w:val="auto"/>
          <w:szCs w:val="21"/>
          <w:highlight w:val="none"/>
        </w:rPr>
        <w:t>签订日期：</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widowControl/>
        <w:jc w:val="left"/>
        <w:rPr>
          <w:rFonts w:ascii="宋体" w:hAnsi="宋体"/>
          <w:color w:val="auto"/>
          <w:szCs w:val="21"/>
          <w:highlight w:val="none"/>
        </w:rPr>
      </w:pPr>
      <w:r>
        <w:rPr>
          <w:rFonts w:ascii="宋体" w:hAnsi="宋体"/>
          <w:color w:val="auto"/>
          <w:szCs w:val="21"/>
          <w:highlight w:val="none"/>
        </w:rPr>
        <w:br w:type="page"/>
      </w:r>
    </w:p>
    <w:p>
      <w:pPr>
        <w:spacing w:line="360" w:lineRule="auto"/>
        <w:ind w:firstLine="435"/>
        <w:rPr>
          <w:rFonts w:ascii="宋体" w:hAnsi="宋体"/>
          <w:color w:val="auto"/>
          <w:szCs w:val="21"/>
          <w:highlight w:val="none"/>
        </w:rPr>
      </w:pPr>
      <w:r>
        <w:rPr>
          <w:rFonts w:hint="eastAsia" w:ascii="宋体" w:hAnsi="宋体"/>
          <w:i/>
          <w:iCs/>
          <w:color w:val="auto"/>
          <w:szCs w:val="21"/>
          <w:highlight w:val="none"/>
          <w:u w:val="single"/>
        </w:rPr>
        <w:t>（</w:t>
      </w:r>
      <w:r>
        <w:rPr>
          <w:rFonts w:hint="eastAsia" w:ascii="宋体" w:hAnsi="宋体"/>
          <w:i/>
          <w:iCs/>
          <w:color w:val="auto"/>
          <w:szCs w:val="21"/>
          <w:highlight w:val="none"/>
          <w:u w:val="single"/>
          <w:lang w:val="en-US" w:eastAsia="zh-CN"/>
        </w:rPr>
        <w:t>招标</w:t>
      </w:r>
      <w:r>
        <w:rPr>
          <w:rFonts w:hint="eastAsia" w:ascii="宋体" w:hAnsi="宋体"/>
          <w:i/>
          <w:iCs/>
          <w:color w:val="auto"/>
          <w:szCs w:val="21"/>
          <w:highlight w:val="none"/>
          <w:u w:val="single"/>
        </w:rPr>
        <w:t>人名称）</w:t>
      </w:r>
      <w:r>
        <w:rPr>
          <w:rFonts w:hint="eastAsia" w:ascii="宋体" w:hAnsi="宋体"/>
          <w:color w:val="auto"/>
          <w:szCs w:val="21"/>
          <w:highlight w:val="none"/>
        </w:rPr>
        <w:t>（</w:t>
      </w:r>
      <w:r>
        <w:rPr>
          <w:rFonts w:hint="eastAsia" w:ascii="宋体" w:hAnsi="宋体"/>
          <w:color w:val="auto"/>
          <w:szCs w:val="21"/>
          <w:highlight w:val="none"/>
          <w:lang w:val="zh-CN"/>
        </w:rPr>
        <w:t>以下简称：甲方</w:t>
      </w:r>
      <w:r>
        <w:rPr>
          <w:rFonts w:hint="eastAsia" w:ascii="宋体" w:hAnsi="宋体"/>
          <w:color w:val="auto"/>
          <w:szCs w:val="21"/>
          <w:highlight w:val="none"/>
        </w:rPr>
        <w:t>）通过公开招标，经评标委员会评定，确定</w:t>
      </w:r>
      <w:r>
        <w:rPr>
          <w:rFonts w:hint="eastAsia" w:ascii="宋体" w:hAnsi="宋体"/>
          <w:i/>
          <w:iCs/>
          <w:color w:val="auto"/>
          <w:szCs w:val="21"/>
          <w:highlight w:val="none"/>
          <w:u w:val="single"/>
        </w:rPr>
        <w:t>（中标人名称）</w:t>
      </w:r>
      <w:r>
        <w:rPr>
          <w:rFonts w:hint="eastAsia" w:ascii="宋体" w:hAnsi="宋体"/>
          <w:color w:val="auto"/>
          <w:szCs w:val="21"/>
          <w:highlight w:val="none"/>
        </w:rPr>
        <w:t>（</w:t>
      </w:r>
      <w:r>
        <w:rPr>
          <w:rFonts w:hint="eastAsia" w:ascii="宋体" w:hAnsi="宋体"/>
          <w:color w:val="auto"/>
          <w:szCs w:val="21"/>
          <w:highlight w:val="none"/>
          <w:lang w:val="zh-CN"/>
        </w:rPr>
        <w:t>以下简称：乙方</w:t>
      </w:r>
      <w:r>
        <w:rPr>
          <w:rFonts w:hint="eastAsia" w:ascii="宋体" w:hAnsi="宋体"/>
          <w:color w:val="auto"/>
          <w:szCs w:val="21"/>
          <w:highlight w:val="none"/>
        </w:rPr>
        <w:t>）为本项目中标人，现按照采购文件确定的事项签订本合同。</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rPr>
        <w:t>根据《中华人民共和国民法典》、《中华人民共和国</w:t>
      </w:r>
      <w:r>
        <w:rPr>
          <w:rFonts w:hint="eastAsia" w:ascii="宋体" w:hAnsi="宋体"/>
          <w:color w:val="auto"/>
          <w:szCs w:val="21"/>
          <w:highlight w:val="none"/>
          <w:lang w:val="en-US" w:eastAsia="zh-CN"/>
        </w:rPr>
        <w:t>招标投标法</w:t>
      </w:r>
      <w:r>
        <w:rPr>
          <w:rFonts w:hint="eastAsia" w:ascii="宋体" w:hAnsi="宋体"/>
          <w:color w:val="auto"/>
          <w:szCs w:val="21"/>
          <w:highlight w:val="none"/>
        </w:rPr>
        <w:t>》等相关法律法规之规定，按照平等、自愿、公平和诚实信用的原则，经甲方和乙方协商一致，约定以下合同条款，以兹共同遵守、全面履行。</w:t>
      </w:r>
    </w:p>
    <w:p>
      <w:pPr>
        <w:spacing w:line="360" w:lineRule="auto"/>
        <w:ind w:firstLine="437"/>
        <w:outlineLvl w:val="3"/>
        <w:rPr>
          <w:rFonts w:ascii="宋体" w:hAnsi="宋体"/>
          <w:b/>
          <w:bCs/>
          <w:color w:val="auto"/>
          <w:szCs w:val="21"/>
          <w:highlight w:val="none"/>
          <w:lang w:val="zh-CN"/>
        </w:rPr>
      </w:pPr>
      <w:bookmarkStart w:id="115" w:name="_Toc24059"/>
      <w:bookmarkStart w:id="116" w:name="_Toc2232"/>
      <w:bookmarkStart w:id="117" w:name="_Toc3029"/>
      <w:r>
        <w:rPr>
          <w:rFonts w:hint="eastAsia" w:ascii="宋体" w:hAnsi="宋体"/>
          <w:b/>
          <w:bCs/>
          <w:color w:val="auto"/>
          <w:szCs w:val="21"/>
          <w:highlight w:val="none"/>
          <w:lang w:val="zh-CN"/>
        </w:rPr>
        <w:t>1.1</w:t>
      </w:r>
      <w:r>
        <w:rPr>
          <w:rFonts w:ascii="宋体" w:hAnsi="宋体"/>
          <w:b/>
          <w:bCs/>
          <w:color w:val="auto"/>
          <w:szCs w:val="21"/>
          <w:highlight w:val="none"/>
          <w:lang w:val="zh-CN"/>
        </w:rPr>
        <w:t xml:space="preserve"> </w:t>
      </w:r>
      <w:r>
        <w:rPr>
          <w:rFonts w:hint="eastAsia" w:ascii="宋体" w:hAnsi="宋体"/>
          <w:b/>
          <w:bCs/>
          <w:color w:val="auto"/>
          <w:szCs w:val="21"/>
          <w:highlight w:val="none"/>
          <w:lang w:val="zh-CN"/>
        </w:rPr>
        <w:t>合同组成部分</w:t>
      </w:r>
      <w:bookmarkEnd w:id="115"/>
      <w:bookmarkEnd w:id="116"/>
      <w:bookmarkEnd w:id="117"/>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1.1.1本合同及其补充合同、变更协议；</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1.1.2中标通知书；</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1.1.3投标文件（含澄清或者说明文件）；</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1.1.4招标文件（含澄清或者修改文件）；</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1.1.5其他相关采购文件。</w:t>
      </w:r>
    </w:p>
    <w:p>
      <w:pPr>
        <w:spacing w:line="360" w:lineRule="auto"/>
        <w:ind w:firstLine="437"/>
        <w:outlineLvl w:val="3"/>
        <w:rPr>
          <w:rFonts w:ascii="宋体" w:hAnsi="宋体"/>
          <w:b/>
          <w:bCs/>
          <w:color w:val="auto"/>
          <w:szCs w:val="21"/>
          <w:highlight w:val="none"/>
          <w:lang w:val="zh-CN"/>
        </w:rPr>
      </w:pPr>
      <w:bookmarkStart w:id="118" w:name="_Toc22185"/>
      <w:bookmarkStart w:id="119" w:name="_Toc18585"/>
      <w:bookmarkStart w:id="120" w:name="_Toc2918"/>
      <w:bookmarkStart w:id="121" w:name="_Toc6773"/>
      <w:bookmarkStart w:id="122" w:name="_Toc6311"/>
      <w:r>
        <w:rPr>
          <w:rFonts w:hint="eastAsia" w:ascii="宋体" w:hAnsi="宋体"/>
          <w:b/>
          <w:bCs/>
          <w:color w:val="auto"/>
          <w:szCs w:val="21"/>
          <w:highlight w:val="none"/>
          <w:lang w:val="zh-CN"/>
        </w:rPr>
        <w:t xml:space="preserve">1.2 </w:t>
      </w:r>
      <w:bookmarkEnd w:id="118"/>
      <w:bookmarkEnd w:id="119"/>
      <w:bookmarkEnd w:id="120"/>
      <w:bookmarkEnd w:id="121"/>
      <w:bookmarkEnd w:id="122"/>
      <w:r>
        <w:rPr>
          <w:rFonts w:hint="eastAsia" w:ascii="宋体" w:hAnsi="宋体"/>
          <w:b/>
          <w:bCs/>
          <w:color w:val="auto"/>
          <w:szCs w:val="21"/>
          <w:highlight w:val="none"/>
          <w:lang w:val="zh-CN"/>
        </w:rPr>
        <w:t>服务</w:t>
      </w:r>
    </w:p>
    <w:p>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1.2.1服务</w:t>
      </w:r>
      <w:r>
        <w:rPr>
          <w:rFonts w:ascii="宋体" w:hAnsi="宋体"/>
          <w:color w:val="auto"/>
          <w:szCs w:val="21"/>
          <w:highlight w:val="none"/>
        </w:rPr>
        <w:t>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1.2.2服务内容</w:t>
      </w:r>
      <w:r>
        <w:rPr>
          <w:rFonts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1.2.3服务质量：</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23" w:name="_Toc21551"/>
      <w:bookmarkStart w:id="124" w:name="_Toc21631"/>
      <w:bookmarkStart w:id="125" w:name="_Toc23292"/>
      <w:r>
        <w:rPr>
          <w:rFonts w:hint="eastAsia" w:ascii="宋体" w:hAnsi="宋体"/>
          <w:b/>
          <w:bCs/>
          <w:color w:val="auto"/>
          <w:szCs w:val="21"/>
          <w:highlight w:val="none"/>
          <w:lang w:val="zh-CN"/>
        </w:rPr>
        <w:t>1.</w:t>
      </w:r>
      <w:r>
        <w:rPr>
          <w:rFonts w:ascii="宋体" w:hAnsi="宋体"/>
          <w:b/>
          <w:bCs/>
          <w:color w:val="auto"/>
          <w:szCs w:val="21"/>
          <w:highlight w:val="none"/>
          <w:lang w:val="zh-CN"/>
        </w:rPr>
        <w:t xml:space="preserve">3 </w:t>
      </w:r>
      <w:r>
        <w:rPr>
          <w:rFonts w:hint="eastAsia" w:ascii="宋体" w:hAnsi="宋体"/>
          <w:b/>
          <w:bCs/>
          <w:color w:val="auto"/>
          <w:szCs w:val="21"/>
          <w:highlight w:val="none"/>
          <w:lang w:val="zh-CN"/>
        </w:rPr>
        <w:t>价款</w:t>
      </w:r>
      <w:bookmarkEnd w:id="123"/>
      <w:bookmarkEnd w:id="124"/>
      <w:bookmarkEnd w:id="125"/>
    </w:p>
    <w:p>
      <w:pPr>
        <w:spacing w:line="360" w:lineRule="auto"/>
        <w:ind w:firstLine="435"/>
        <w:rPr>
          <w:rFonts w:ascii="宋体" w:hAnsi="宋体"/>
          <w:color w:val="auto"/>
          <w:szCs w:val="21"/>
          <w:highlight w:val="none"/>
        </w:rPr>
      </w:pPr>
      <w:r>
        <w:rPr>
          <w:rFonts w:ascii="宋体" w:hAnsi="宋体"/>
          <w:color w:val="auto"/>
          <w:szCs w:val="21"/>
          <w:highlight w:val="none"/>
        </w:rPr>
        <w:t>本合同总价为</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ascii="宋体" w:hAnsi="宋体"/>
          <w:color w:val="auto"/>
          <w:szCs w:val="21"/>
          <w:highlight w:val="none"/>
        </w:rPr>
        <w:t>元</w:t>
      </w:r>
      <w:r>
        <w:rPr>
          <w:rFonts w:hint="eastAsia" w:ascii="宋体" w:hAnsi="宋体"/>
          <w:color w:val="auto"/>
          <w:szCs w:val="21"/>
          <w:highlight w:val="none"/>
        </w:rPr>
        <w:t>（大写：人民币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w:t>
      </w:r>
      <w:r>
        <w:rPr>
          <w:rFonts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26" w:name="_Toc10340"/>
      <w:bookmarkStart w:id="127" w:name="_Toc22618"/>
      <w:bookmarkStart w:id="128" w:name="_Toc1814"/>
      <w:r>
        <w:rPr>
          <w:rFonts w:hint="eastAsia" w:ascii="宋体" w:hAnsi="宋体"/>
          <w:b/>
          <w:bCs/>
          <w:color w:val="auto"/>
          <w:szCs w:val="21"/>
          <w:highlight w:val="none"/>
          <w:lang w:val="zh-CN"/>
        </w:rPr>
        <w:t>1.</w:t>
      </w:r>
      <w:r>
        <w:rPr>
          <w:rFonts w:ascii="宋体" w:hAnsi="宋体"/>
          <w:b/>
          <w:bCs/>
          <w:color w:val="auto"/>
          <w:szCs w:val="21"/>
          <w:highlight w:val="none"/>
          <w:lang w:val="zh-CN"/>
        </w:rPr>
        <w:t>4 付款方式和发票开具方式</w:t>
      </w:r>
      <w:bookmarkEnd w:id="126"/>
      <w:bookmarkEnd w:id="127"/>
      <w:bookmarkEnd w:id="128"/>
    </w:p>
    <w:p>
      <w:pPr>
        <w:pStyle w:val="100"/>
        <w:spacing w:before="0" w:beforeAutospacing="0" w:after="0" w:afterAutospacing="0" w:line="580" w:lineRule="exact"/>
        <w:ind w:firstLine="420" w:firstLineChars="200"/>
        <w:jc w:val="both"/>
        <w:rPr>
          <w:rFonts w:hint="eastAsia" w:cs="Times New Roman"/>
          <w:color w:val="auto"/>
          <w:sz w:val="21"/>
          <w:szCs w:val="21"/>
          <w:highlight w:val="none"/>
          <w:u w:val="single"/>
        </w:rPr>
      </w:pPr>
      <w:r>
        <w:rPr>
          <w:rFonts w:hint="eastAsia" w:cs="Times New Roman"/>
          <w:color w:val="auto"/>
          <w:sz w:val="21"/>
          <w:szCs w:val="21"/>
          <w:highlight w:val="none"/>
        </w:rPr>
        <w:t>1.4.1</w:t>
      </w:r>
      <w:r>
        <w:rPr>
          <w:rFonts w:cs="Times New Roman"/>
          <w:color w:val="auto"/>
          <w:sz w:val="21"/>
          <w:szCs w:val="21"/>
          <w:highlight w:val="none"/>
        </w:rPr>
        <w:t>付款方式：</w:t>
      </w:r>
      <w:r>
        <w:rPr>
          <w:rFonts w:hint="eastAsia" w:cs="Times New Roman"/>
          <w:b/>
          <w:bCs/>
          <w:color w:val="auto"/>
          <w:sz w:val="21"/>
          <w:szCs w:val="21"/>
          <w:highlight w:val="none"/>
          <w:u w:val="single"/>
          <w:lang w:val="en-US" w:eastAsia="zh-CN"/>
        </w:rPr>
        <w:t>根据考核结果按月支付服务费用，服务费用为中标总价/12-考核扣款金额。</w:t>
      </w:r>
    </w:p>
    <w:p>
      <w:pPr>
        <w:spacing w:line="360" w:lineRule="auto"/>
        <w:ind w:firstLine="435"/>
        <w:rPr>
          <w:rFonts w:ascii="宋体" w:hAnsi="宋体"/>
          <w:color w:val="auto"/>
          <w:szCs w:val="21"/>
          <w:highlight w:val="none"/>
        </w:rPr>
      </w:pPr>
      <w:r>
        <w:rPr>
          <w:rFonts w:hint="eastAsia" w:ascii="宋体" w:hAnsi="宋体"/>
          <w:color w:val="auto"/>
          <w:szCs w:val="21"/>
          <w:highlight w:val="none"/>
        </w:rPr>
        <w:t>1.4.2发票开具方式：</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29" w:name="_Toc19304"/>
      <w:bookmarkStart w:id="130" w:name="_Toc32071"/>
      <w:bookmarkStart w:id="131" w:name="_Toc2846"/>
      <w:r>
        <w:rPr>
          <w:rFonts w:hint="eastAsia" w:ascii="宋体" w:hAnsi="宋体"/>
          <w:b/>
          <w:bCs/>
          <w:color w:val="auto"/>
          <w:szCs w:val="21"/>
          <w:highlight w:val="none"/>
          <w:lang w:val="zh-CN"/>
        </w:rPr>
        <w:t>1.</w:t>
      </w:r>
      <w:r>
        <w:rPr>
          <w:rFonts w:ascii="宋体" w:hAnsi="宋体"/>
          <w:b/>
          <w:bCs/>
          <w:color w:val="auto"/>
          <w:szCs w:val="21"/>
          <w:highlight w:val="none"/>
          <w:lang w:val="zh-CN"/>
        </w:rPr>
        <w:t xml:space="preserve">5 </w:t>
      </w:r>
      <w:r>
        <w:rPr>
          <w:rFonts w:hint="eastAsia" w:ascii="宋体" w:hAnsi="宋体"/>
          <w:b/>
          <w:bCs/>
          <w:color w:val="auto"/>
          <w:szCs w:val="21"/>
          <w:highlight w:val="none"/>
          <w:lang w:val="zh-CN"/>
        </w:rPr>
        <w:t>服务</w:t>
      </w:r>
      <w:r>
        <w:rPr>
          <w:rFonts w:ascii="宋体" w:hAnsi="宋体"/>
          <w:b/>
          <w:bCs/>
          <w:color w:val="auto"/>
          <w:szCs w:val="21"/>
          <w:highlight w:val="none"/>
          <w:lang w:val="zh-CN"/>
        </w:rPr>
        <w:t>期限</w:t>
      </w:r>
      <w:r>
        <w:rPr>
          <w:rFonts w:hint="eastAsia" w:ascii="宋体" w:hAnsi="宋体"/>
          <w:b/>
          <w:bCs/>
          <w:color w:val="auto"/>
          <w:szCs w:val="21"/>
          <w:highlight w:val="none"/>
          <w:lang w:val="zh-CN"/>
        </w:rPr>
        <w:t>、地点和方式</w:t>
      </w:r>
      <w:bookmarkEnd w:id="129"/>
      <w:bookmarkEnd w:id="130"/>
      <w:bookmarkEnd w:id="131"/>
    </w:p>
    <w:p>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1.5.1服务期限</w:t>
      </w:r>
      <w:r>
        <w:rPr>
          <w:rFonts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1.5.2服务地点</w:t>
      </w:r>
      <w:r>
        <w:rPr>
          <w:rFonts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1.5.3服务方式：</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32" w:name="_Toc27250"/>
      <w:bookmarkStart w:id="133" w:name="_Toc19554"/>
      <w:bookmarkStart w:id="134" w:name="_Toc21423"/>
      <w:r>
        <w:rPr>
          <w:rFonts w:hint="eastAsia" w:ascii="宋体" w:hAnsi="宋体"/>
          <w:b/>
          <w:bCs/>
          <w:color w:val="auto"/>
          <w:szCs w:val="21"/>
          <w:highlight w:val="none"/>
          <w:lang w:val="zh-CN"/>
        </w:rPr>
        <w:t>1.6 违约责任</w:t>
      </w:r>
      <w:bookmarkEnd w:id="132"/>
      <w:bookmarkEnd w:id="133"/>
      <w:bookmarkEnd w:id="134"/>
    </w:p>
    <w:p>
      <w:pPr>
        <w:spacing w:line="360" w:lineRule="auto"/>
        <w:ind w:firstLine="435"/>
        <w:rPr>
          <w:rFonts w:ascii="宋体" w:hAnsi="宋体"/>
          <w:color w:val="auto"/>
          <w:szCs w:val="21"/>
          <w:highlight w:val="none"/>
        </w:rPr>
      </w:pPr>
      <w:r>
        <w:rPr>
          <w:rFonts w:hint="eastAsia" w:ascii="宋体" w:hAnsi="宋体"/>
          <w:color w:val="auto"/>
          <w:szCs w:val="21"/>
          <w:highlight w:val="none"/>
        </w:rPr>
        <w:t>1.6.1</w:t>
      </w:r>
      <w:r>
        <w:rPr>
          <w:rFonts w:ascii="宋体" w:hAnsi="宋体"/>
          <w:color w:val="auto"/>
          <w:szCs w:val="21"/>
          <w:highlight w:val="none"/>
        </w:rPr>
        <w:t>除不可抗力外，如果乙方没有按照本合同约定的期限</w:t>
      </w:r>
      <w:r>
        <w:rPr>
          <w:rFonts w:hint="eastAsia" w:ascii="宋体" w:hAnsi="宋体"/>
          <w:color w:val="auto"/>
          <w:szCs w:val="21"/>
          <w:highlight w:val="none"/>
        </w:rPr>
        <w:t>、</w:t>
      </w:r>
      <w:r>
        <w:rPr>
          <w:rFonts w:ascii="宋体" w:hAnsi="宋体"/>
          <w:color w:val="auto"/>
          <w:szCs w:val="21"/>
          <w:highlight w:val="none"/>
        </w:rPr>
        <w:t>地点和方式</w:t>
      </w:r>
      <w:r>
        <w:rPr>
          <w:rFonts w:hint="eastAsia" w:ascii="宋体" w:hAnsi="宋体"/>
          <w:color w:val="auto"/>
          <w:szCs w:val="21"/>
          <w:highlight w:val="none"/>
        </w:rPr>
        <w:t>履行</w:t>
      </w:r>
      <w:r>
        <w:rPr>
          <w:rFonts w:ascii="宋体" w:hAnsi="宋体"/>
          <w:color w:val="auto"/>
          <w:szCs w:val="21"/>
          <w:highlight w:val="none"/>
        </w:rPr>
        <w:t>，那么甲方可要求乙方支付违约金</w:t>
      </w:r>
      <w:r>
        <w:rPr>
          <w:rFonts w:hint="eastAsia" w:ascii="宋体" w:hAnsi="宋体"/>
          <w:color w:val="auto"/>
          <w:szCs w:val="21"/>
          <w:highlight w:val="none"/>
        </w:rPr>
        <w:t>，</w:t>
      </w:r>
      <w:r>
        <w:rPr>
          <w:rFonts w:ascii="宋体" w:hAnsi="宋体"/>
          <w:color w:val="auto"/>
          <w:szCs w:val="21"/>
          <w:highlight w:val="none"/>
        </w:rPr>
        <w:t>违约金按每迟延</w:t>
      </w:r>
      <w:r>
        <w:rPr>
          <w:rFonts w:hint="eastAsia" w:ascii="宋体" w:hAnsi="宋体"/>
          <w:color w:val="auto"/>
          <w:szCs w:val="21"/>
          <w:highlight w:val="none"/>
        </w:rPr>
        <w:t>履行</w:t>
      </w:r>
      <w:r>
        <w:rPr>
          <w:rFonts w:ascii="宋体" w:hAnsi="宋体"/>
          <w:color w:val="auto"/>
          <w:szCs w:val="21"/>
          <w:highlight w:val="none"/>
        </w:rPr>
        <w:t>一日的应提供而未</w:t>
      </w:r>
      <w:r>
        <w:rPr>
          <w:rFonts w:hint="eastAsia" w:ascii="宋体" w:hAnsi="宋体"/>
          <w:color w:val="auto"/>
          <w:szCs w:val="21"/>
          <w:highlight w:val="none"/>
        </w:rPr>
        <w:t>提供</w:t>
      </w:r>
      <w:r>
        <w:rPr>
          <w:rFonts w:ascii="宋体" w:hAnsi="宋体"/>
          <w:color w:val="auto"/>
          <w:szCs w:val="21"/>
          <w:highlight w:val="none"/>
        </w:rPr>
        <w:t>服务价格的</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ascii="宋体" w:hAnsi="宋体"/>
          <w:color w:val="auto"/>
          <w:szCs w:val="21"/>
          <w:highlight w:val="none"/>
        </w:rPr>
        <w:t>%计算</w:t>
      </w:r>
      <w:r>
        <w:rPr>
          <w:rFonts w:hint="eastAsia" w:ascii="宋体" w:hAnsi="宋体"/>
          <w:color w:val="auto"/>
          <w:szCs w:val="21"/>
          <w:highlight w:val="none"/>
        </w:rPr>
        <w:t>，</w:t>
      </w:r>
      <w:r>
        <w:rPr>
          <w:rFonts w:ascii="宋体" w:hAnsi="宋体"/>
          <w:color w:val="auto"/>
          <w:szCs w:val="21"/>
          <w:highlight w:val="none"/>
        </w:rPr>
        <w:t>最高限额为</w:t>
      </w:r>
      <w:r>
        <w:rPr>
          <w:rFonts w:hint="eastAsia" w:ascii="宋体" w:hAnsi="宋体"/>
          <w:color w:val="auto"/>
          <w:szCs w:val="21"/>
          <w:highlight w:val="none"/>
        </w:rPr>
        <w:t>本</w:t>
      </w:r>
      <w:r>
        <w:rPr>
          <w:rFonts w:ascii="宋体" w:hAnsi="宋体"/>
          <w:color w:val="auto"/>
          <w:szCs w:val="21"/>
          <w:highlight w:val="none"/>
        </w:rPr>
        <w:t>合同总价的</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w:t>
      </w:r>
      <w:r>
        <w:rPr>
          <w:rFonts w:ascii="宋体" w:hAnsi="宋体"/>
          <w:color w:val="auto"/>
          <w:szCs w:val="21"/>
          <w:highlight w:val="none"/>
        </w:rPr>
        <w:t>迟延</w:t>
      </w:r>
      <w:r>
        <w:rPr>
          <w:rFonts w:hint="eastAsia" w:ascii="宋体" w:hAnsi="宋体"/>
          <w:color w:val="auto"/>
          <w:szCs w:val="21"/>
          <w:highlight w:val="none"/>
        </w:rPr>
        <w:t>履行</w:t>
      </w:r>
      <w:r>
        <w:rPr>
          <w:rFonts w:ascii="宋体" w:hAnsi="宋体"/>
          <w:color w:val="auto"/>
          <w:szCs w:val="21"/>
          <w:highlight w:val="none"/>
        </w:rPr>
        <w:t>的违约金计算数额达到前述最高限额之日起</w:t>
      </w:r>
      <w:r>
        <w:rPr>
          <w:rFonts w:hint="eastAsia" w:ascii="宋体" w:hAnsi="宋体"/>
          <w:color w:val="auto"/>
          <w:szCs w:val="21"/>
          <w:highlight w:val="none"/>
        </w:rPr>
        <w:t>，</w:t>
      </w:r>
      <w:r>
        <w:rPr>
          <w:rFonts w:ascii="宋体" w:hAnsi="宋体"/>
          <w:color w:val="auto"/>
          <w:szCs w:val="21"/>
          <w:highlight w:val="none"/>
        </w:rPr>
        <w:t>甲方有权在要求乙方支付违约金的同时</w:t>
      </w:r>
      <w:r>
        <w:rPr>
          <w:rFonts w:hint="eastAsia" w:ascii="宋体" w:hAnsi="宋体"/>
          <w:color w:val="auto"/>
          <w:szCs w:val="21"/>
          <w:highlight w:val="none"/>
        </w:rPr>
        <w:t>，书面通知乙方</w:t>
      </w:r>
      <w:r>
        <w:rPr>
          <w:rFonts w:ascii="宋体" w:hAnsi="宋体"/>
          <w:color w:val="auto"/>
          <w:szCs w:val="21"/>
          <w:highlight w:val="none"/>
        </w:rPr>
        <w:t>解除本合同</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1.6.2</w:t>
      </w:r>
      <w:r>
        <w:rPr>
          <w:rFonts w:ascii="宋体" w:hAnsi="宋体"/>
          <w:color w:val="auto"/>
          <w:szCs w:val="21"/>
          <w:highlight w:val="none"/>
        </w:rPr>
        <w:t>除不可抗力外，如果甲方没有按照本合同约定的付款方式付款，那么乙方可要求甲方支付违约金</w:t>
      </w:r>
      <w:r>
        <w:rPr>
          <w:rFonts w:hint="eastAsia" w:ascii="宋体" w:hAnsi="宋体"/>
          <w:color w:val="auto"/>
          <w:szCs w:val="21"/>
          <w:highlight w:val="none"/>
        </w:rPr>
        <w:t>，</w:t>
      </w:r>
      <w:r>
        <w:rPr>
          <w:rFonts w:ascii="宋体" w:hAnsi="宋体"/>
          <w:color w:val="auto"/>
          <w:szCs w:val="21"/>
          <w:highlight w:val="none"/>
        </w:rPr>
        <w:t>违约金按每迟延</w:t>
      </w:r>
      <w:r>
        <w:rPr>
          <w:rFonts w:hint="eastAsia" w:ascii="宋体" w:hAnsi="宋体"/>
          <w:color w:val="auto"/>
          <w:szCs w:val="21"/>
          <w:highlight w:val="none"/>
        </w:rPr>
        <w:t>付款</w:t>
      </w:r>
      <w:r>
        <w:rPr>
          <w:rFonts w:ascii="宋体" w:hAnsi="宋体"/>
          <w:color w:val="auto"/>
          <w:szCs w:val="21"/>
          <w:highlight w:val="none"/>
        </w:rPr>
        <w:t>一日的应付而未付款的</w:t>
      </w:r>
      <w:r>
        <w:rPr>
          <w:rFonts w:hint="eastAsia" w:ascii="宋体" w:hAnsi="宋体"/>
          <w:color w:val="auto"/>
          <w:szCs w:val="21"/>
          <w:highlight w:val="none"/>
          <w:u w:val="single"/>
        </w:rPr>
        <w:t xml:space="preserve">  /  </w:t>
      </w:r>
      <w:r>
        <w:rPr>
          <w:rFonts w:ascii="宋体" w:hAnsi="宋体"/>
          <w:color w:val="auto"/>
          <w:szCs w:val="21"/>
          <w:highlight w:val="none"/>
        </w:rPr>
        <w:t>%计算</w:t>
      </w:r>
      <w:r>
        <w:rPr>
          <w:rFonts w:hint="eastAsia" w:ascii="宋体" w:hAnsi="宋体"/>
          <w:color w:val="auto"/>
          <w:szCs w:val="21"/>
          <w:highlight w:val="none"/>
        </w:rPr>
        <w:t>，</w:t>
      </w:r>
      <w:r>
        <w:rPr>
          <w:rFonts w:ascii="宋体" w:hAnsi="宋体"/>
          <w:color w:val="auto"/>
          <w:szCs w:val="21"/>
          <w:highlight w:val="none"/>
        </w:rPr>
        <w:t>最高限额为</w:t>
      </w:r>
      <w:r>
        <w:rPr>
          <w:rFonts w:hint="eastAsia" w:ascii="宋体" w:hAnsi="宋体"/>
          <w:color w:val="auto"/>
          <w:szCs w:val="21"/>
          <w:highlight w:val="none"/>
        </w:rPr>
        <w:t>本</w:t>
      </w:r>
      <w:r>
        <w:rPr>
          <w:rFonts w:ascii="宋体" w:hAnsi="宋体"/>
          <w:color w:val="auto"/>
          <w:szCs w:val="21"/>
          <w:highlight w:val="none"/>
        </w:rPr>
        <w:t>合同总价的</w:t>
      </w:r>
      <w:r>
        <w:rPr>
          <w:rFonts w:hint="eastAsia" w:ascii="宋体" w:hAnsi="宋体"/>
          <w:color w:val="auto"/>
          <w:szCs w:val="21"/>
          <w:highlight w:val="none"/>
          <w:u w:val="single"/>
        </w:rPr>
        <w:t xml:space="preserve"> / </w:t>
      </w:r>
      <w:r>
        <w:rPr>
          <w:rFonts w:ascii="宋体" w:hAnsi="宋体"/>
          <w:color w:val="auto"/>
          <w:szCs w:val="21"/>
          <w:highlight w:val="none"/>
        </w:rPr>
        <w:t>%</w:t>
      </w:r>
      <w:r>
        <w:rPr>
          <w:rFonts w:hint="eastAsia" w:ascii="宋体" w:hAnsi="宋体"/>
          <w:color w:val="auto"/>
          <w:szCs w:val="21"/>
          <w:highlight w:val="none"/>
        </w:rPr>
        <w:t>；</w:t>
      </w:r>
      <w:r>
        <w:rPr>
          <w:rFonts w:ascii="宋体" w:hAnsi="宋体"/>
          <w:color w:val="auto"/>
          <w:szCs w:val="21"/>
          <w:highlight w:val="none"/>
        </w:rPr>
        <w:t>迟延</w:t>
      </w:r>
      <w:r>
        <w:rPr>
          <w:rFonts w:hint="eastAsia" w:ascii="宋体" w:hAnsi="宋体"/>
          <w:color w:val="auto"/>
          <w:szCs w:val="21"/>
          <w:highlight w:val="none"/>
        </w:rPr>
        <w:t>付款</w:t>
      </w:r>
      <w:r>
        <w:rPr>
          <w:rFonts w:ascii="宋体" w:hAnsi="宋体"/>
          <w:color w:val="auto"/>
          <w:szCs w:val="21"/>
          <w:highlight w:val="none"/>
        </w:rPr>
        <w:t>的违约金计算数额达到前述最高限额之日起</w:t>
      </w:r>
      <w:r>
        <w:rPr>
          <w:rFonts w:hint="eastAsia" w:ascii="宋体" w:hAnsi="宋体"/>
          <w:color w:val="auto"/>
          <w:szCs w:val="21"/>
          <w:highlight w:val="none"/>
        </w:rPr>
        <w:t>，乙</w:t>
      </w:r>
      <w:r>
        <w:rPr>
          <w:rFonts w:ascii="宋体" w:hAnsi="宋体"/>
          <w:color w:val="auto"/>
          <w:szCs w:val="21"/>
          <w:highlight w:val="none"/>
        </w:rPr>
        <w:t>方有权在要求甲方支付违约金的同时</w:t>
      </w:r>
      <w:r>
        <w:rPr>
          <w:rFonts w:hint="eastAsia" w:ascii="宋体" w:hAnsi="宋体"/>
          <w:color w:val="auto"/>
          <w:szCs w:val="21"/>
          <w:highlight w:val="none"/>
        </w:rPr>
        <w:t>，书面通知甲方</w:t>
      </w:r>
      <w:r>
        <w:rPr>
          <w:rFonts w:ascii="宋体" w:hAnsi="宋体"/>
          <w:color w:val="auto"/>
          <w:szCs w:val="21"/>
          <w:highlight w:val="none"/>
        </w:rPr>
        <w:t>解除本合同</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1.6.6如果出现政府采购监督管理部门在处理投诉事项期间，书面通知甲方暂停采购活动的情形，或者询问或质疑事项可能影响中标结果的，导致甲方中止履行合同的情形，均不视为甲方违约。</w:t>
      </w:r>
    </w:p>
    <w:p>
      <w:pPr>
        <w:spacing w:line="360" w:lineRule="auto"/>
        <w:ind w:firstLine="437"/>
        <w:outlineLvl w:val="3"/>
        <w:rPr>
          <w:rFonts w:ascii="宋体" w:hAnsi="宋体"/>
          <w:b/>
          <w:bCs/>
          <w:color w:val="auto"/>
          <w:szCs w:val="21"/>
          <w:highlight w:val="none"/>
          <w:lang w:val="zh-CN"/>
        </w:rPr>
      </w:pPr>
      <w:bookmarkStart w:id="135" w:name="_Toc28375"/>
      <w:bookmarkStart w:id="136" w:name="_Toc16021"/>
      <w:bookmarkStart w:id="137" w:name="_Toc15583"/>
      <w:r>
        <w:rPr>
          <w:rFonts w:hint="eastAsia" w:ascii="宋体" w:hAnsi="宋体"/>
          <w:b/>
          <w:bCs/>
          <w:color w:val="auto"/>
          <w:szCs w:val="21"/>
          <w:highlight w:val="none"/>
          <w:lang w:val="zh-CN"/>
        </w:rPr>
        <w:t>1.7</w:t>
      </w:r>
      <w:r>
        <w:rPr>
          <w:rFonts w:ascii="宋体" w:hAnsi="宋体"/>
          <w:b/>
          <w:bCs/>
          <w:color w:val="auto"/>
          <w:szCs w:val="21"/>
          <w:highlight w:val="none"/>
          <w:lang w:val="zh-CN"/>
        </w:rPr>
        <w:t xml:space="preserve"> </w:t>
      </w:r>
      <w:r>
        <w:rPr>
          <w:rFonts w:hint="eastAsia" w:ascii="宋体" w:hAnsi="宋体"/>
          <w:b/>
          <w:bCs/>
          <w:color w:val="auto"/>
          <w:szCs w:val="21"/>
          <w:highlight w:val="none"/>
          <w:lang w:val="zh-CN"/>
        </w:rPr>
        <w:t>合同</w:t>
      </w:r>
      <w:r>
        <w:rPr>
          <w:rFonts w:ascii="宋体" w:hAnsi="宋体"/>
          <w:b/>
          <w:bCs/>
          <w:color w:val="auto"/>
          <w:szCs w:val="21"/>
          <w:highlight w:val="none"/>
          <w:lang w:val="zh-CN"/>
        </w:rPr>
        <w:t>争议的解决</w:t>
      </w:r>
      <w:bookmarkEnd w:id="135"/>
      <w:bookmarkEnd w:id="136"/>
      <w:bookmarkEnd w:id="137"/>
    </w:p>
    <w:p>
      <w:pPr>
        <w:spacing w:line="360" w:lineRule="auto"/>
        <w:ind w:firstLine="435"/>
        <w:rPr>
          <w:rFonts w:ascii="宋体" w:hAnsi="宋体"/>
          <w:color w:val="auto"/>
          <w:szCs w:val="21"/>
          <w:highlight w:val="none"/>
        </w:rPr>
      </w:pPr>
      <w:r>
        <w:rPr>
          <w:rFonts w:hint="eastAsia" w:ascii="宋体" w:hAnsi="宋体"/>
          <w:color w:val="auto"/>
          <w:szCs w:val="21"/>
          <w:highlight w:val="none"/>
        </w:rPr>
        <w:t>本合</w:t>
      </w:r>
      <w:r>
        <w:rPr>
          <w:rFonts w:ascii="宋体" w:hAnsi="宋体"/>
          <w:color w:val="auto"/>
          <w:szCs w:val="21"/>
          <w:highlight w:val="none"/>
        </w:rPr>
        <w:t>同履行过程中发生的任何争议，双方当事人均可</w:t>
      </w:r>
      <w:r>
        <w:rPr>
          <w:rFonts w:hint="eastAsia" w:ascii="宋体" w:hAnsi="宋体"/>
          <w:color w:val="auto"/>
          <w:szCs w:val="21"/>
          <w:highlight w:val="none"/>
        </w:rPr>
        <w:t>通过和解或者调解解决；不愿和解、调解或者和解、调解不成的，可以选择下列第</w:t>
      </w:r>
      <w:r>
        <w:rPr>
          <w:rFonts w:hint="eastAsia" w:ascii="宋体" w:hAnsi="宋体"/>
          <w:color w:val="auto"/>
          <w:szCs w:val="21"/>
          <w:highlight w:val="none"/>
          <w:u w:val="single"/>
        </w:rPr>
        <w:t xml:space="preserve">    </w:t>
      </w:r>
      <w:r>
        <w:rPr>
          <w:rFonts w:hint="eastAsia" w:ascii="宋体" w:hAnsi="宋体"/>
          <w:color w:val="auto"/>
          <w:szCs w:val="21"/>
          <w:highlight w:val="none"/>
        </w:rPr>
        <w:t>种方式解决：</w:t>
      </w:r>
    </w:p>
    <w:p>
      <w:pPr>
        <w:spacing w:line="360" w:lineRule="auto"/>
        <w:ind w:firstLine="435"/>
        <w:rPr>
          <w:rFonts w:ascii="宋体" w:hAnsi="宋体"/>
          <w:color w:val="auto"/>
          <w:szCs w:val="21"/>
          <w:highlight w:val="none"/>
        </w:rPr>
      </w:pPr>
      <w:r>
        <w:rPr>
          <w:rFonts w:hint="eastAsia" w:ascii="宋体" w:hAnsi="宋体"/>
          <w:color w:val="auto"/>
          <w:szCs w:val="21"/>
          <w:highlight w:val="none"/>
        </w:rPr>
        <w:t>1.7.1将争议提交滁州仲裁委员会依申请仲裁时其现行有效的仲裁规则裁决；</w:t>
      </w:r>
    </w:p>
    <w:p>
      <w:pPr>
        <w:spacing w:line="360" w:lineRule="auto"/>
        <w:ind w:firstLine="435"/>
        <w:rPr>
          <w:rFonts w:ascii="宋体" w:hAnsi="宋体"/>
          <w:color w:val="auto"/>
          <w:szCs w:val="21"/>
          <w:highlight w:val="none"/>
        </w:rPr>
      </w:pPr>
      <w:r>
        <w:rPr>
          <w:rFonts w:hint="eastAsia" w:ascii="宋体" w:hAnsi="宋体"/>
          <w:color w:val="auto"/>
          <w:szCs w:val="21"/>
          <w:highlight w:val="none"/>
        </w:rPr>
        <w:t>1.7.2向甲方（采购人）</w:t>
      </w:r>
      <w:r>
        <w:rPr>
          <w:rFonts w:hint="eastAsia" w:ascii="宋体" w:cs="宋体"/>
          <w:color w:val="auto"/>
          <w:szCs w:val="21"/>
          <w:highlight w:val="none"/>
          <w:u w:val="none" w:color="000000"/>
        </w:rPr>
        <w:t>所在地</w:t>
      </w:r>
      <w:r>
        <w:rPr>
          <w:rFonts w:hint="eastAsia" w:ascii="宋体" w:hAnsi="宋体"/>
          <w:color w:val="auto"/>
          <w:szCs w:val="21"/>
          <w:highlight w:val="none"/>
        </w:rPr>
        <w:t>人民法院起诉。</w:t>
      </w:r>
    </w:p>
    <w:p>
      <w:pPr>
        <w:spacing w:line="360" w:lineRule="auto"/>
        <w:ind w:firstLine="437"/>
        <w:outlineLvl w:val="3"/>
        <w:rPr>
          <w:rFonts w:ascii="宋体" w:hAnsi="宋体"/>
          <w:b/>
          <w:bCs/>
          <w:color w:val="auto"/>
          <w:szCs w:val="21"/>
          <w:highlight w:val="none"/>
          <w:lang w:val="zh-CN"/>
        </w:rPr>
      </w:pPr>
      <w:bookmarkStart w:id="138" w:name="_Toc7245"/>
      <w:bookmarkStart w:id="139" w:name="_Toc11173"/>
      <w:bookmarkStart w:id="140" w:name="_Toc15322"/>
      <w:r>
        <w:rPr>
          <w:rFonts w:hint="eastAsia" w:ascii="宋体" w:hAnsi="宋体"/>
          <w:b/>
          <w:bCs/>
          <w:color w:val="auto"/>
          <w:szCs w:val="21"/>
          <w:highlight w:val="none"/>
          <w:lang w:val="zh-CN"/>
        </w:rPr>
        <w:t>1.8</w:t>
      </w:r>
      <w:r>
        <w:rPr>
          <w:rFonts w:ascii="宋体" w:hAnsi="宋体"/>
          <w:b/>
          <w:bCs/>
          <w:color w:val="auto"/>
          <w:szCs w:val="21"/>
          <w:highlight w:val="none"/>
          <w:lang w:val="zh-CN"/>
        </w:rPr>
        <w:t xml:space="preserve"> 合同生效</w:t>
      </w:r>
      <w:bookmarkEnd w:id="138"/>
      <w:bookmarkEnd w:id="139"/>
      <w:bookmarkEnd w:id="140"/>
    </w:p>
    <w:p>
      <w:pPr>
        <w:spacing w:line="360" w:lineRule="auto"/>
        <w:ind w:firstLine="435"/>
        <w:rPr>
          <w:rFonts w:ascii="宋体" w:hAnsi="宋体"/>
          <w:color w:val="auto"/>
          <w:szCs w:val="21"/>
          <w:highlight w:val="none"/>
        </w:rPr>
      </w:pPr>
      <w:r>
        <w:rPr>
          <w:rFonts w:ascii="宋体" w:hAnsi="宋体"/>
          <w:color w:val="auto"/>
          <w:szCs w:val="21"/>
          <w:highlight w:val="none"/>
        </w:rPr>
        <w:t>本合同自</w:t>
      </w:r>
      <w:r>
        <w:rPr>
          <w:rFonts w:hint="eastAsia" w:ascii="宋体" w:hAnsi="宋体"/>
          <w:color w:val="auto"/>
          <w:szCs w:val="21"/>
          <w:highlight w:val="none"/>
        </w:rPr>
        <w:t>双方当事人盖章时</w:t>
      </w:r>
      <w:r>
        <w:rPr>
          <w:rFonts w:ascii="宋体" w:hAnsi="宋体"/>
          <w:color w:val="auto"/>
          <w:szCs w:val="21"/>
          <w:highlight w:val="none"/>
        </w:rPr>
        <w:t>生效。</w:t>
      </w:r>
    </w:p>
    <w:p>
      <w:pPr>
        <w:autoSpaceDE w:val="0"/>
        <w:autoSpaceDN w:val="0"/>
        <w:adjustRightInd w:val="0"/>
        <w:spacing w:line="560" w:lineRule="exact"/>
        <w:rPr>
          <w:rFonts w:ascii="宋体" w:hAnsi="宋体"/>
          <w:color w:val="auto"/>
          <w:szCs w:val="21"/>
          <w:highlight w:val="none"/>
          <w:lang w:val="zh-CN"/>
        </w:rPr>
      </w:pPr>
    </w:p>
    <w:p>
      <w:pPr>
        <w:autoSpaceDE w:val="0"/>
        <w:autoSpaceDN w:val="0"/>
        <w:adjustRightInd w:val="0"/>
        <w:spacing w:line="560" w:lineRule="exact"/>
        <w:rPr>
          <w:rFonts w:ascii="宋体" w:hAnsi="宋体"/>
          <w:color w:val="auto"/>
          <w:szCs w:val="21"/>
          <w:highlight w:val="none"/>
          <w:lang w:val="zh-CN"/>
        </w:rPr>
      </w:pPr>
    </w:p>
    <w:p>
      <w:pPr>
        <w:autoSpaceDE w:val="0"/>
        <w:autoSpaceDN w:val="0"/>
        <w:adjustRightInd w:val="0"/>
        <w:spacing w:line="560" w:lineRule="exact"/>
        <w:rPr>
          <w:rFonts w:ascii="宋体" w:hAnsi="宋体"/>
          <w:bCs/>
          <w:color w:val="auto"/>
          <w:szCs w:val="21"/>
          <w:highlight w:val="none"/>
          <w:lang w:val="zh-CN"/>
        </w:rPr>
      </w:pPr>
      <w:r>
        <w:rPr>
          <w:rFonts w:hint="eastAsia" w:ascii="宋体" w:hAnsi="宋体"/>
          <w:bCs/>
          <w:color w:val="auto"/>
          <w:szCs w:val="21"/>
          <w:highlight w:val="none"/>
          <w:lang w:val="zh-CN"/>
        </w:rPr>
        <w:t xml:space="preserve">甲 </w:t>
      </w:r>
      <w:r>
        <w:rPr>
          <w:rFonts w:ascii="宋体" w:hAnsi="宋体"/>
          <w:bCs/>
          <w:color w:val="auto"/>
          <w:szCs w:val="21"/>
          <w:highlight w:val="none"/>
          <w:lang w:val="zh-CN"/>
        </w:rPr>
        <w:t xml:space="preserve">   </w:t>
      </w:r>
      <w:r>
        <w:rPr>
          <w:rFonts w:hint="eastAsia" w:ascii="宋体" w:hAnsi="宋体"/>
          <w:bCs/>
          <w:color w:val="auto"/>
          <w:szCs w:val="21"/>
          <w:highlight w:val="none"/>
          <w:lang w:val="zh-CN"/>
        </w:rPr>
        <w:t>方：</w:t>
      </w:r>
      <w:r>
        <w:rPr>
          <w:rFonts w:hint="eastAsia" w:ascii="宋体" w:hAnsi="宋体"/>
          <w:bCs/>
          <w:color w:val="auto"/>
          <w:szCs w:val="21"/>
          <w:highlight w:val="none"/>
          <w:u w:val="single"/>
          <w:lang w:val="zh-CN"/>
        </w:rPr>
        <w:t xml:space="preserve">    （单位盖章）     </w:t>
      </w:r>
      <w:r>
        <w:rPr>
          <w:rFonts w:hint="eastAsia" w:ascii="宋体" w:hAnsi="宋体"/>
          <w:bCs/>
          <w:color w:val="auto"/>
          <w:szCs w:val="21"/>
          <w:highlight w:val="none"/>
          <w:lang w:val="zh-CN"/>
        </w:rPr>
        <w:t xml:space="preserve">          乙</w:t>
      </w:r>
      <w:r>
        <w:rPr>
          <w:rFonts w:hint="eastAsia" w:ascii="宋体" w:hAnsi="宋体"/>
          <w:bCs/>
          <w:color w:val="auto"/>
          <w:szCs w:val="21"/>
          <w:highlight w:val="none"/>
        </w:rPr>
        <w:t xml:space="preserve">    </w:t>
      </w:r>
      <w:r>
        <w:rPr>
          <w:rFonts w:hint="eastAsia" w:ascii="宋体" w:hAnsi="宋体"/>
          <w:bCs/>
          <w:color w:val="auto"/>
          <w:szCs w:val="21"/>
          <w:highlight w:val="none"/>
          <w:lang w:val="zh-CN"/>
        </w:rPr>
        <w:t>方：</w:t>
      </w:r>
      <w:r>
        <w:rPr>
          <w:rFonts w:hint="eastAsia" w:ascii="宋体" w:hAnsi="宋体"/>
          <w:bCs/>
          <w:color w:val="auto"/>
          <w:szCs w:val="21"/>
          <w:highlight w:val="none"/>
          <w:u w:val="single"/>
          <w:lang w:val="zh-CN"/>
        </w:rPr>
        <w:t xml:space="preserve">    （单位盖章）     </w:t>
      </w:r>
    </w:p>
    <w:p>
      <w:pPr>
        <w:autoSpaceDE w:val="0"/>
        <w:autoSpaceDN w:val="0"/>
        <w:adjustRightInd w:val="0"/>
        <w:spacing w:line="560" w:lineRule="exact"/>
        <w:rPr>
          <w:rFonts w:ascii="宋体" w:hAnsi="宋体"/>
          <w:color w:val="auto"/>
          <w:szCs w:val="21"/>
          <w:highlight w:val="none"/>
          <w:lang w:val="zh-CN"/>
        </w:rPr>
      </w:pPr>
      <w:r>
        <w:rPr>
          <w:rFonts w:hint="eastAsia" w:ascii="宋体" w:hAnsi="宋体"/>
          <w:color w:val="auto"/>
          <w:szCs w:val="21"/>
          <w:highlight w:val="none"/>
          <w:lang w:val="zh-CN"/>
        </w:rPr>
        <w:t xml:space="preserve">法定代表人                             </w:t>
      </w:r>
      <w:r>
        <w:rPr>
          <w:rFonts w:ascii="宋体" w:hAnsi="宋体"/>
          <w:color w:val="auto"/>
          <w:szCs w:val="21"/>
          <w:highlight w:val="none"/>
          <w:lang w:val="zh-CN"/>
        </w:rPr>
        <w:t xml:space="preserve">  </w:t>
      </w:r>
      <w:r>
        <w:rPr>
          <w:rFonts w:hint="eastAsia" w:ascii="宋体" w:hAnsi="宋体"/>
          <w:color w:val="auto"/>
          <w:szCs w:val="21"/>
          <w:highlight w:val="none"/>
          <w:lang w:val="zh-CN"/>
        </w:rPr>
        <w:t>法定代表人</w:t>
      </w:r>
    </w:p>
    <w:p>
      <w:pPr>
        <w:autoSpaceDE w:val="0"/>
        <w:autoSpaceDN w:val="0"/>
        <w:adjustRightInd w:val="0"/>
        <w:spacing w:line="560" w:lineRule="exact"/>
        <w:rPr>
          <w:rFonts w:ascii="宋体" w:hAnsi="宋体"/>
          <w:color w:val="auto"/>
          <w:szCs w:val="21"/>
          <w:highlight w:val="none"/>
          <w:lang w:val="zh-CN"/>
        </w:rPr>
      </w:pPr>
      <w:r>
        <w:rPr>
          <w:rFonts w:hint="eastAsia" w:ascii="宋体" w:hAnsi="宋体"/>
          <w:color w:val="auto"/>
          <w:szCs w:val="21"/>
          <w:highlight w:val="none"/>
          <w:lang w:val="zh-CN"/>
        </w:rPr>
        <w:t>或授权代表（签字）：                     或授权代表（签字）：</w:t>
      </w:r>
    </w:p>
    <w:p>
      <w:pPr>
        <w:widowControl/>
        <w:spacing w:line="560" w:lineRule="exact"/>
        <w:jc w:val="left"/>
        <w:rPr>
          <w:rFonts w:ascii="宋体" w:hAnsi="宋体"/>
          <w:bCs/>
          <w:color w:val="auto"/>
          <w:szCs w:val="21"/>
          <w:highlight w:val="none"/>
        </w:rPr>
      </w:pPr>
      <w:bookmarkStart w:id="141" w:name="_Toc331685783"/>
      <w:r>
        <w:rPr>
          <w:rFonts w:hint="eastAsia" w:ascii="宋体" w:hAnsi="宋体"/>
          <w:bCs/>
          <w:color w:val="auto"/>
          <w:szCs w:val="21"/>
          <w:highlight w:val="none"/>
        </w:rPr>
        <w:t>时间：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月</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               时间：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月</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widowControl/>
        <w:jc w:val="left"/>
        <w:rPr>
          <w:rFonts w:ascii="宋体" w:hAnsi="宋体"/>
          <w:b/>
          <w:color w:val="auto"/>
          <w:szCs w:val="21"/>
          <w:highlight w:val="none"/>
        </w:rPr>
      </w:pPr>
      <w:r>
        <w:rPr>
          <w:rFonts w:ascii="宋体" w:hAnsi="宋体"/>
          <w:b/>
          <w:color w:val="auto"/>
          <w:szCs w:val="21"/>
          <w:highlight w:val="none"/>
        </w:rPr>
        <w:br w:type="page"/>
      </w:r>
    </w:p>
    <w:p>
      <w:pPr>
        <w:spacing w:line="360" w:lineRule="auto"/>
        <w:jc w:val="center"/>
        <w:outlineLvl w:val="2"/>
        <w:rPr>
          <w:rFonts w:ascii="宋体" w:hAnsi="宋体"/>
          <w:b/>
          <w:color w:val="auto"/>
          <w:szCs w:val="21"/>
          <w:highlight w:val="none"/>
        </w:rPr>
      </w:pPr>
      <w:r>
        <w:rPr>
          <w:rFonts w:hint="eastAsia" w:ascii="宋体" w:hAnsi="宋体"/>
          <w:b/>
          <w:color w:val="auto"/>
          <w:szCs w:val="21"/>
          <w:highlight w:val="none"/>
        </w:rPr>
        <w:t>第二部分</w:t>
      </w:r>
      <w:r>
        <w:rPr>
          <w:rFonts w:ascii="宋体" w:hAnsi="宋体"/>
          <w:b/>
          <w:color w:val="auto"/>
          <w:szCs w:val="21"/>
          <w:highlight w:val="none"/>
        </w:rPr>
        <w:t xml:space="preserve"> </w:t>
      </w:r>
      <w:r>
        <w:rPr>
          <w:rFonts w:hint="eastAsia" w:ascii="宋体" w:hAnsi="宋体"/>
          <w:b/>
          <w:color w:val="auto"/>
          <w:szCs w:val="21"/>
          <w:highlight w:val="none"/>
        </w:rPr>
        <w:t>合同一般条款</w:t>
      </w:r>
      <w:bookmarkEnd w:id="141"/>
    </w:p>
    <w:p>
      <w:pPr>
        <w:spacing w:line="360" w:lineRule="auto"/>
        <w:ind w:firstLine="437"/>
        <w:outlineLvl w:val="3"/>
        <w:rPr>
          <w:rFonts w:ascii="宋体" w:hAnsi="宋体"/>
          <w:b/>
          <w:bCs/>
          <w:color w:val="auto"/>
          <w:szCs w:val="21"/>
          <w:highlight w:val="none"/>
          <w:lang w:val="zh-CN"/>
        </w:rPr>
      </w:pPr>
      <w:bookmarkStart w:id="142" w:name="_Ref467379214"/>
      <w:bookmarkStart w:id="143" w:name="_Ref467379205"/>
      <w:bookmarkStart w:id="144" w:name="_Toc28763"/>
      <w:bookmarkStart w:id="145" w:name="_Ref467379195"/>
      <w:bookmarkStart w:id="146" w:name="_Ref467379094"/>
      <w:bookmarkStart w:id="147" w:name="_Ref467378499"/>
      <w:bookmarkStart w:id="148" w:name="_Ref467378463"/>
      <w:bookmarkStart w:id="149" w:name="_Ref467379101"/>
      <w:bookmarkStart w:id="150" w:name="_Toc16917"/>
      <w:bookmarkStart w:id="151" w:name="_Toc279701240"/>
      <w:bookmarkStart w:id="152" w:name="_Ref467379109"/>
      <w:bookmarkStart w:id="153" w:name="_Ref467378404"/>
      <w:bookmarkStart w:id="154" w:name="_Toc259093669"/>
      <w:bookmarkStart w:id="155" w:name="_Ref467379225"/>
      <w:bookmarkStart w:id="156" w:name="_Toc19614"/>
      <w:bookmarkStart w:id="157" w:name="_Toc487900349"/>
      <w:r>
        <w:rPr>
          <w:rFonts w:hint="eastAsia" w:ascii="宋体" w:hAnsi="宋体"/>
          <w:b/>
          <w:bCs/>
          <w:color w:val="auto"/>
          <w:szCs w:val="21"/>
          <w:highlight w:val="none"/>
          <w:lang w:val="zh-CN"/>
        </w:rPr>
        <w:t>2.1</w:t>
      </w:r>
      <w:r>
        <w:rPr>
          <w:rFonts w:ascii="宋体" w:hAnsi="宋体"/>
          <w:b/>
          <w:bCs/>
          <w:color w:val="auto"/>
          <w:szCs w:val="21"/>
          <w:highlight w:val="none"/>
          <w:lang w:val="zh-CN"/>
        </w:rPr>
        <w:t xml:space="preserve"> 定义</w:t>
      </w:r>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pPr>
        <w:spacing w:line="360" w:lineRule="auto"/>
        <w:ind w:firstLine="435"/>
        <w:rPr>
          <w:rFonts w:ascii="宋体" w:hAnsi="宋体"/>
          <w:color w:val="auto"/>
          <w:szCs w:val="21"/>
          <w:highlight w:val="none"/>
        </w:rPr>
      </w:pPr>
      <w:r>
        <w:rPr>
          <w:rFonts w:ascii="宋体" w:hAnsi="宋体"/>
          <w:color w:val="auto"/>
          <w:szCs w:val="21"/>
          <w:highlight w:val="none"/>
        </w:rPr>
        <w:t>本合同中的下列</w:t>
      </w:r>
      <w:r>
        <w:rPr>
          <w:rFonts w:hint="eastAsia" w:ascii="宋体" w:hAnsi="宋体"/>
          <w:color w:val="auto"/>
          <w:szCs w:val="21"/>
          <w:highlight w:val="none"/>
        </w:rPr>
        <w:t>词</w:t>
      </w:r>
      <w:r>
        <w:rPr>
          <w:rFonts w:ascii="宋体" w:hAnsi="宋体"/>
          <w:color w:val="auto"/>
          <w:szCs w:val="21"/>
          <w:highlight w:val="none"/>
        </w:rPr>
        <w:t>语应</w:t>
      </w:r>
      <w:r>
        <w:rPr>
          <w:rFonts w:hint="eastAsia" w:ascii="宋体" w:hAnsi="宋体"/>
          <w:color w:val="auto"/>
          <w:szCs w:val="21"/>
          <w:highlight w:val="none"/>
        </w:rPr>
        <w:t>按以下内容进行</w:t>
      </w:r>
      <w:r>
        <w:rPr>
          <w:rFonts w:ascii="宋体" w:hAnsi="宋体"/>
          <w:color w:val="auto"/>
          <w:szCs w:val="21"/>
          <w:highlight w:val="none"/>
        </w:rPr>
        <w:t>解释：</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.1</w:t>
      </w:r>
      <w:r>
        <w:rPr>
          <w:rFonts w:ascii="宋体" w:hAnsi="宋体"/>
          <w:color w:val="auto"/>
          <w:szCs w:val="21"/>
          <w:highlight w:val="none"/>
        </w:rPr>
        <w:t>“合同”系指采购人和中标</w:t>
      </w:r>
      <w:r>
        <w:rPr>
          <w:rFonts w:hint="eastAsia" w:ascii="宋体" w:hAnsi="宋体"/>
          <w:color w:val="auto"/>
          <w:szCs w:val="21"/>
          <w:highlight w:val="none"/>
        </w:rPr>
        <w:t>人</w:t>
      </w:r>
      <w:r>
        <w:rPr>
          <w:rFonts w:ascii="宋体" w:hAnsi="宋体"/>
          <w:color w:val="auto"/>
          <w:szCs w:val="21"/>
          <w:highlight w:val="none"/>
        </w:rPr>
        <w:t>签订的载明双方当事人所达成的协议，并包括所有的附件、附录和构成合同的其他文件。</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1.2“合同价”系指根据合同约定，中标</w:t>
      </w:r>
      <w:r>
        <w:rPr>
          <w:rFonts w:hint="eastAsia" w:ascii="宋体" w:hAnsi="宋体"/>
          <w:color w:val="auto"/>
          <w:szCs w:val="21"/>
          <w:highlight w:val="none"/>
        </w:rPr>
        <w:t>人</w:t>
      </w:r>
      <w:r>
        <w:rPr>
          <w:rFonts w:ascii="宋体" w:hAnsi="宋体"/>
          <w:color w:val="auto"/>
          <w:szCs w:val="21"/>
          <w:highlight w:val="none"/>
        </w:rPr>
        <w:t>在完全履行合同义务后</w:t>
      </w:r>
      <w:r>
        <w:rPr>
          <w:rFonts w:hint="eastAsia" w:ascii="宋体" w:hAnsi="宋体"/>
          <w:color w:val="auto"/>
          <w:szCs w:val="21"/>
          <w:highlight w:val="none"/>
        </w:rPr>
        <w:t>，</w:t>
      </w:r>
      <w:r>
        <w:rPr>
          <w:rFonts w:ascii="宋体" w:hAnsi="宋体"/>
          <w:color w:val="auto"/>
          <w:szCs w:val="21"/>
          <w:highlight w:val="none"/>
        </w:rPr>
        <w:t>采购人应支付给中标人的价格。</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1.3“</w:t>
      </w:r>
      <w:r>
        <w:rPr>
          <w:rFonts w:hint="eastAsia" w:ascii="宋体" w:hAnsi="宋体"/>
          <w:color w:val="auto"/>
          <w:szCs w:val="21"/>
          <w:highlight w:val="none"/>
        </w:rPr>
        <w:t>服务</w:t>
      </w:r>
      <w:r>
        <w:rPr>
          <w:rFonts w:ascii="宋体" w:hAnsi="宋体"/>
          <w:color w:val="auto"/>
          <w:szCs w:val="21"/>
          <w:highlight w:val="none"/>
        </w:rPr>
        <w:t>”系指</w:t>
      </w:r>
      <w:r>
        <w:rPr>
          <w:rFonts w:hint="eastAsia" w:ascii="宋体" w:hAnsi="宋体"/>
          <w:color w:val="auto"/>
          <w:szCs w:val="21"/>
          <w:highlight w:val="none"/>
        </w:rPr>
        <w:t>中标人</w:t>
      </w:r>
      <w:r>
        <w:rPr>
          <w:rFonts w:ascii="宋体" w:hAnsi="宋体"/>
          <w:color w:val="auto"/>
          <w:szCs w:val="21"/>
          <w:highlight w:val="none"/>
        </w:rPr>
        <w:t>根据合同约定应向采购人</w:t>
      </w:r>
      <w:r>
        <w:rPr>
          <w:rFonts w:hint="eastAsia" w:ascii="宋体" w:hAnsi="宋体"/>
          <w:color w:val="auto"/>
          <w:szCs w:val="21"/>
          <w:highlight w:val="none"/>
        </w:rPr>
        <w:t>履行</w:t>
      </w:r>
      <w:r>
        <w:rPr>
          <w:rFonts w:ascii="宋体" w:hAnsi="宋体"/>
          <w:color w:val="auto"/>
          <w:szCs w:val="21"/>
          <w:highlight w:val="none"/>
        </w:rPr>
        <w:t>的</w:t>
      </w:r>
      <w:r>
        <w:rPr>
          <w:rFonts w:hint="eastAsia" w:ascii="宋体" w:hAnsi="宋体"/>
          <w:color w:val="auto"/>
          <w:szCs w:val="21"/>
          <w:highlight w:val="none"/>
        </w:rPr>
        <w:t>除货物和工程以外的其他政府采购对象，包括采购人自身需要的服务和向社会公众提供的公共服务。</w:t>
      </w:r>
    </w:p>
    <w:p>
      <w:pPr>
        <w:spacing w:line="360" w:lineRule="auto"/>
        <w:ind w:firstLine="435"/>
        <w:rPr>
          <w:rFonts w:ascii="宋体" w:hAnsi="宋体"/>
          <w:color w:val="auto"/>
          <w:szCs w:val="21"/>
          <w:highlight w:val="none"/>
        </w:rPr>
      </w:pPr>
      <w:bookmarkStart w:id="158" w:name="_Ref467378840"/>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4</w:t>
      </w:r>
      <w:r>
        <w:rPr>
          <w:rFonts w:ascii="宋体" w:hAnsi="宋体"/>
          <w:color w:val="auto"/>
          <w:szCs w:val="21"/>
          <w:highlight w:val="none"/>
        </w:rPr>
        <w:t>“</w:t>
      </w:r>
      <w:r>
        <w:rPr>
          <w:rFonts w:hint="eastAsia" w:ascii="宋体" w:hAnsi="宋体"/>
          <w:color w:val="auto"/>
          <w:szCs w:val="21"/>
          <w:highlight w:val="none"/>
        </w:rPr>
        <w:t>甲方</w:t>
      </w:r>
      <w:r>
        <w:rPr>
          <w:rFonts w:ascii="宋体" w:hAnsi="宋体"/>
          <w:color w:val="auto"/>
          <w:szCs w:val="21"/>
          <w:highlight w:val="none"/>
        </w:rPr>
        <w:t>”系指与</w:t>
      </w:r>
      <w:r>
        <w:rPr>
          <w:rFonts w:hint="eastAsia" w:ascii="宋体" w:hAnsi="宋体"/>
          <w:color w:val="auto"/>
          <w:szCs w:val="21"/>
          <w:highlight w:val="none"/>
        </w:rPr>
        <w:t>中标人</w:t>
      </w:r>
      <w:r>
        <w:rPr>
          <w:rFonts w:ascii="宋体" w:hAnsi="宋体"/>
          <w:color w:val="auto"/>
          <w:szCs w:val="21"/>
          <w:highlight w:val="none"/>
        </w:rPr>
        <w:t>签署合同的采购人</w:t>
      </w:r>
      <w:bookmarkEnd w:id="158"/>
      <w:r>
        <w:rPr>
          <w:rFonts w:hint="eastAsia" w:ascii="宋体" w:hAnsi="宋体"/>
          <w:color w:val="auto"/>
          <w:szCs w:val="21"/>
          <w:highlight w:val="none"/>
        </w:rPr>
        <w:t>；采购人委托采购代理机构代表其与乙方签订合同的，采购人的授权委托书作为合同附件。</w:t>
      </w:r>
    </w:p>
    <w:p>
      <w:pPr>
        <w:spacing w:line="360" w:lineRule="auto"/>
        <w:ind w:firstLine="435"/>
        <w:rPr>
          <w:rFonts w:ascii="宋体" w:hAnsi="宋体"/>
          <w:color w:val="auto"/>
          <w:szCs w:val="21"/>
          <w:highlight w:val="none"/>
        </w:rPr>
      </w:pPr>
      <w:bookmarkStart w:id="159" w:name="_Ref467379400"/>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5</w:t>
      </w:r>
      <w:r>
        <w:rPr>
          <w:rFonts w:ascii="宋体" w:hAnsi="宋体"/>
          <w:color w:val="auto"/>
          <w:szCs w:val="21"/>
          <w:highlight w:val="none"/>
        </w:rPr>
        <w:t>“乙方”系指根据合同约定</w:t>
      </w:r>
      <w:r>
        <w:rPr>
          <w:rFonts w:hint="eastAsia" w:ascii="宋体" w:hAnsi="宋体"/>
          <w:color w:val="auto"/>
          <w:szCs w:val="21"/>
          <w:highlight w:val="none"/>
        </w:rPr>
        <w:t>提供服务</w:t>
      </w:r>
      <w:r>
        <w:rPr>
          <w:rFonts w:ascii="宋体" w:hAnsi="宋体"/>
          <w:color w:val="auto"/>
          <w:szCs w:val="21"/>
          <w:highlight w:val="none"/>
        </w:rPr>
        <w:t>的中标人</w:t>
      </w:r>
      <w:bookmarkEnd w:id="159"/>
      <w:r>
        <w:rPr>
          <w:rFonts w:hint="eastAsia" w:ascii="宋体" w:hAnsi="宋体"/>
          <w:color w:val="auto"/>
          <w:szCs w:val="21"/>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35"/>
        <w:rPr>
          <w:rFonts w:ascii="宋体" w:hAnsi="宋体"/>
          <w:color w:val="auto"/>
          <w:szCs w:val="21"/>
          <w:highlight w:val="none"/>
        </w:rPr>
      </w:pPr>
      <w:bookmarkStart w:id="160" w:name="_Ref467379436"/>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6</w:t>
      </w:r>
      <w:r>
        <w:rPr>
          <w:rFonts w:ascii="宋体" w:hAnsi="宋体"/>
          <w:color w:val="auto"/>
          <w:szCs w:val="21"/>
          <w:highlight w:val="none"/>
        </w:rPr>
        <w:t>“现场”系指合同约定</w:t>
      </w:r>
      <w:r>
        <w:rPr>
          <w:rFonts w:hint="eastAsia" w:ascii="宋体" w:hAnsi="宋体"/>
          <w:color w:val="auto"/>
          <w:szCs w:val="21"/>
          <w:highlight w:val="none"/>
        </w:rPr>
        <w:t>提供服务</w:t>
      </w:r>
      <w:r>
        <w:rPr>
          <w:rFonts w:ascii="宋体" w:hAnsi="宋体"/>
          <w:color w:val="auto"/>
          <w:szCs w:val="21"/>
          <w:highlight w:val="none"/>
        </w:rPr>
        <w:t>的地点。</w:t>
      </w:r>
      <w:bookmarkEnd w:id="160"/>
    </w:p>
    <w:p>
      <w:pPr>
        <w:spacing w:line="360" w:lineRule="auto"/>
        <w:ind w:firstLine="437"/>
        <w:outlineLvl w:val="3"/>
        <w:rPr>
          <w:rFonts w:ascii="宋体" w:hAnsi="宋体"/>
          <w:b/>
          <w:bCs/>
          <w:color w:val="auto"/>
          <w:szCs w:val="21"/>
          <w:highlight w:val="none"/>
          <w:lang w:val="zh-CN"/>
        </w:rPr>
      </w:pPr>
      <w:bookmarkStart w:id="161" w:name="_Toc259093670"/>
      <w:bookmarkStart w:id="162" w:name="_Toc279701241"/>
      <w:bookmarkStart w:id="163" w:name="_Toc13336"/>
      <w:bookmarkStart w:id="164" w:name="_Toc27635"/>
      <w:bookmarkStart w:id="165" w:name="_Toc32504"/>
      <w:bookmarkStart w:id="166" w:name="_Toc487900350"/>
      <w:r>
        <w:rPr>
          <w:rFonts w:hint="eastAsia" w:ascii="宋体" w:hAnsi="宋体"/>
          <w:b/>
          <w:bCs/>
          <w:color w:val="auto"/>
          <w:szCs w:val="21"/>
          <w:highlight w:val="none"/>
          <w:lang w:val="zh-CN"/>
        </w:rPr>
        <w:t>2.</w:t>
      </w:r>
      <w:r>
        <w:rPr>
          <w:rFonts w:ascii="宋体" w:hAnsi="宋体"/>
          <w:b/>
          <w:bCs/>
          <w:color w:val="auto"/>
          <w:szCs w:val="21"/>
          <w:highlight w:val="none"/>
          <w:lang w:val="zh-CN"/>
        </w:rPr>
        <w:t>2 技术规范</w:t>
      </w:r>
      <w:bookmarkEnd w:id="161"/>
      <w:bookmarkEnd w:id="162"/>
      <w:bookmarkEnd w:id="163"/>
      <w:bookmarkEnd w:id="164"/>
      <w:bookmarkEnd w:id="165"/>
      <w:bookmarkEnd w:id="166"/>
    </w:p>
    <w:p>
      <w:pPr>
        <w:spacing w:line="360" w:lineRule="auto"/>
        <w:ind w:firstLine="435"/>
        <w:rPr>
          <w:rFonts w:ascii="宋体" w:hAnsi="宋体"/>
          <w:color w:val="auto"/>
          <w:szCs w:val="21"/>
          <w:highlight w:val="none"/>
        </w:rPr>
      </w:pPr>
      <w:r>
        <w:rPr>
          <w:rFonts w:ascii="宋体" w:hAnsi="宋体"/>
          <w:color w:val="auto"/>
          <w:szCs w:val="21"/>
          <w:highlight w:val="none"/>
        </w:rPr>
        <w:t>货物所应遵守的技术规范应与采购文件规定的技术规范和技术规范附件(如果有的话)及其技术规范偏差表(如果被甲方接受的话)相一致</w:t>
      </w:r>
      <w:r>
        <w:rPr>
          <w:rFonts w:hint="eastAsia" w:ascii="宋体" w:hAnsi="宋体"/>
          <w:color w:val="auto"/>
          <w:szCs w:val="21"/>
          <w:highlight w:val="none"/>
        </w:rPr>
        <w:t>；</w:t>
      </w:r>
      <w:r>
        <w:rPr>
          <w:rFonts w:ascii="宋体" w:hAnsi="宋体"/>
          <w:color w:val="auto"/>
          <w:szCs w:val="21"/>
          <w:highlight w:val="none"/>
        </w:rPr>
        <w:t>如果采购文件中没有技术规范的相应说明，那么应以国家有关部门最新颁布的相应标准</w:t>
      </w:r>
      <w:r>
        <w:rPr>
          <w:rFonts w:hint="eastAsia" w:ascii="宋体" w:hAnsi="宋体"/>
          <w:color w:val="auto"/>
          <w:szCs w:val="21"/>
          <w:highlight w:val="none"/>
        </w:rPr>
        <w:t>和</w:t>
      </w:r>
      <w:r>
        <w:rPr>
          <w:rFonts w:ascii="宋体" w:hAnsi="宋体"/>
          <w:color w:val="auto"/>
          <w:szCs w:val="21"/>
          <w:highlight w:val="none"/>
        </w:rPr>
        <w:t>规范为准。</w:t>
      </w:r>
    </w:p>
    <w:p>
      <w:pPr>
        <w:spacing w:line="360" w:lineRule="auto"/>
        <w:ind w:firstLine="437"/>
        <w:outlineLvl w:val="3"/>
        <w:rPr>
          <w:rFonts w:ascii="宋体" w:hAnsi="宋体"/>
          <w:b/>
          <w:bCs/>
          <w:color w:val="auto"/>
          <w:szCs w:val="21"/>
          <w:highlight w:val="none"/>
          <w:lang w:val="zh-CN"/>
        </w:rPr>
      </w:pPr>
      <w:bookmarkStart w:id="167" w:name="_Toc31634"/>
      <w:bookmarkStart w:id="168" w:name="_Toc487900351"/>
      <w:bookmarkStart w:id="169" w:name="_Toc27853"/>
      <w:bookmarkStart w:id="170" w:name="_Toc259093671"/>
      <w:bookmarkStart w:id="171" w:name="_Toc279701242"/>
      <w:bookmarkStart w:id="172" w:name="_Toc9829"/>
      <w:r>
        <w:rPr>
          <w:rFonts w:hint="eastAsia" w:ascii="宋体" w:hAnsi="宋体"/>
          <w:b/>
          <w:bCs/>
          <w:color w:val="auto"/>
          <w:szCs w:val="21"/>
          <w:highlight w:val="none"/>
          <w:lang w:val="zh-CN"/>
        </w:rPr>
        <w:t>2.</w:t>
      </w:r>
      <w:r>
        <w:rPr>
          <w:rFonts w:ascii="宋体" w:hAnsi="宋体"/>
          <w:b/>
          <w:bCs/>
          <w:color w:val="auto"/>
          <w:szCs w:val="21"/>
          <w:highlight w:val="none"/>
          <w:lang w:val="zh-CN"/>
        </w:rPr>
        <w:t>3 知识产权</w:t>
      </w:r>
      <w:bookmarkEnd w:id="167"/>
      <w:bookmarkEnd w:id="168"/>
      <w:bookmarkEnd w:id="169"/>
      <w:bookmarkEnd w:id="170"/>
      <w:bookmarkEnd w:id="171"/>
      <w:bookmarkEnd w:id="172"/>
    </w:p>
    <w:p>
      <w:pPr>
        <w:spacing w:line="360" w:lineRule="auto"/>
        <w:ind w:firstLine="435"/>
        <w:rPr>
          <w:rFonts w:ascii="宋体" w:hAnsi="宋体"/>
          <w:color w:val="auto"/>
          <w:szCs w:val="21"/>
          <w:highlight w:val="none"/>
        </w:rPr>
      </w:pPr>
      <w:r>
        <w:rPr>
          <w:rFonts w:hint="eastAsia" w:ascii="宋体" w:hAnsi="宋体"/>
          <w:color w:val="auto"/>
          <w:szCs w:val="21"/>
          <w:highlight w:val="none"/>
        </w:rPr>
        <w:t>2.3.1乙</w:t>
      </w:r>
      <w:r>
        <w:rPr>
          <w:rFonts w:ascii="宋体" w:hAnsi="宋体"/>
          <w:color w:val="auto"/>
          <w:szCs w:val="21"/>
          <w:highlight w:val="none"/>
        </w:rPr>
        <w:t>方应保证</w:t>
      </w:r>
      <w:r>
        <w:rPr>
          <w:rFonts w:hint="eastAsia" w:ascii="宋体" w:hAnsi="宋体"/>
          <w:color w:val="auto"/>
          <w:szCs w:val="21"/>
          <w:highlight w:val="none"/>
        </w:rPr>
        <w:t>其提供的服务</w:t>
      </w:r>
      <w:r>
        <w:rPr>
          <w:rFonts w:ascii="宋体" w:hAnsi="宋体"/>
          <w:color w:val="auto"/>
          <w:szCs w:val="21"/>
          <w:highlight w:val="none"/>
        </w:rPr>
        <w:t>不受任何第三方提出的侵犯其著作权、商标权、专利权等知识产权方面的起诉</w:t>
      </w:r>
      <w:r>
        <w:rPr>
          <w:rFonts w:hint="eastAsia" w:ascii="宋体" w:hAnsi="宋体"/>
          <w:color w:val="auto"/>
          <w:szCs w:val="21"/>
          <w:highlight w:val="none"/>
        </w:rPr>
        <w:t>；</w:t>
      </w:r>
      <w:r>
        <w:rPr>
          <w:rFonts w:ascii="宋体" w:hAnsi="宋体"/>
          <w:color w:val="auto"/>
          <w:szCs w:val="21"/>
          <w:highlight w:val="none"/>
        </w:rPr>
        <w:t>如果任何第三方提出侵权</w:t>
      </w:r>
      <w:r>
        <w:rPr>
          <w:rFonts w:hint="eastAsia" w:ascii="宋体" w:hAnsi="宋体"/>
          <w:color w:val="auto"/>
          <w:szCs w:val="21"/>
          <w:highlight w:val="none"/>
        </w:rPr>
        <w:t>指控</w:t>
      </w:r>
      <w:r>
        <w:rPr>
          <w:rFonts w:ascii="宋体" w:hAnsi="宋体"/>
          <w:color w:val="auto"/>
          <w:szCs w:val="21"/>
          <w:highlight w:val="none"/>
        </w:rPr>
        <w:t>，那么乙方须与该第三方交涉并承担由此发生的一切责任、费用和赔偿</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2.3.2具有知识产权的计算机软件等货物的知识产权归属，</w:t>
      </w:r>
      <w:r>
        <w:rPr>
          <w:rFonts w:ascii="宋体" w:hAnsi="宋体"/>
          <w:color w:val="auto"/>
          <w:szCs w:val="21"/>
          <w:highlight w:val="none"/>
        </w:rPr>
        <w:t>详见</w:t>
      </w:r>
      <w:r>
        <w:rPr>
          <w:rFonts w:ascii="宋体" w:hAnsi="宋体"/>
          <w:b/>
          <w:i/>
          <w:color w:val="auto"/>
          <w:szCs w:val="21"/>
          <w:highlight w:val="none"/>
          <w:u w:val="single"/>
        </w:rPr>
        <w:t>合同专用条款</w:t>
      </w:r>
      <w:r>
        <w:rPr>
          <w:rFonts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73" w:name="_Toc259093674"/>
      <w:bookmarkStart w:id="174" w:name="_Ref467379536"/>
      <w:bookmarkStart w:id="175" w:name="_Toc279701245"/>
      <w:bookmarkStart w:id="176" w:name="_Ref467378591"/>
      <w:bookmarkStart w:id="177" w:name="_Ref467378541"/>
      <w:bookmarkStart w:id="178" w:name="_Ref467379527"/>
      <w:bookmarkStart w:id="179" w:name="_Ref467379542"/>
      <w:bookmarkStart w:id="180" w:name="_Toc487900354"/>
      <w:bookmarkStart w:id="181" w:name="_Toc19074"/>
      <w:bookmarkStart w:id="182" w:name="_Toc26182"/>
      <w:bookmarkStart w:id="183" w:name="_Toc30272"/>
      <w:r>
        <w:rPr>
          <w:rFonts w:hint="eastAsia" w:ascii="宋体" w:hAnsi="宋体"/>
          <w:b/>
          <w:bCs/>
          <w:color w:val="auto"/>
          <w:szCs w:val="21"/>
          <w:highlight w:val="none"/>
          <w:lang w:val="zh-CN"/>
        </w:rPr>
        <w:t>2.</w:t>
      </w:r>
      <w:bookmarkEnd w:id="173"/>
      <w:bookmarkEnd w:id="174"/>
      <w:bookmarkEnd w:id="175"/>
      <w:bookmarkEnd w:id="176"/>
      <w:bookmarkEnd w:id="177"/>
      <w:bookmarkEnd w:id="178"/>
      <w:bookmarkEnd w:id="179"/>
      <w:bookmarkEnd w:id="180"/>
      <w:r>
        <w:rPr>
          <w:rFonts w:ascii="宋体" w:hAnsi="宋体"/>
          <w:b/>
          <w:bCs/>
          <w:color w:val="auto"/>
          <w:szCs w:val="21"/>
          <w:highlight w:val="none"/>
          <w:lang w:val="zh-CN"/>
        </w:rPr>
        <w:t xml:space="preserve">4 </w:t>
      </w:r>
      <w:r>
        <w:rPr>
          <w:rFonts w:hint="eastAsia" w:ascii="宋体" w:hAnsi="宋体"/>
          <w:b/>
          <w:bCs/>
          <w:color w:val="auto"/>
          <w:szCs w:val="21"/>
          <w:highlight w:val="none"/>
          <w:lang w:val="zh-CN"/>
        </w:rPr>
        <w:t>履约检查和问题反馈</w:t>
      </w:r>
      <w:bookmarkEnd w:id="181"/>
      <w:bookmarkEnd w:id="182"/>
      <w:bookmarkEnd w:id="183"/>
    </w:p>
    <w:p>
      <w:pPr>
        <w:spacing w:line="360" w:lineRule="auto"/>
        <w:ind w:firstLine="435"/>
        <w:rPr>
          <w:rFonts w:ascii="宋体" w:hAnsi="宋体"/>
          <w:color w:val="auto"/>
          <w:szCs w:val="21"/>
          <w:highlight w:val="none"/>
        </w:rPr>
      </w:pPr>
      <w:bookmarkStart w:id="184" w:name="_Toc186431854"/>
      <w:bookmarkStart w:id="185" w:name="_Ref467379807"/>
      <w:bookmarkStart w:id="186" w:name="_Ref467379793"/>
      <w:bookmarkStart w:id="187" w:name="_Toc279701247"/>
      <w:bookmarkStart w:id="188" w:name="_Toc259093676"/>
      <w:bookmarkStart w:id="189" w:name="_Toc487900357"/>
      <w:r>
        <w:rPr>
          <w:rFonts w:hint="eastAsia" w:ascii="宋体" w:hAnsi="宋体"/>
          <w:color w:val="auto"/>
          <w:szCs w:val="21"/>
          <w:highlight w:val="none"/>
        </w:rPr>
        <w:t>2.4</w:t>
      </w:r>
      <w:r>
        <w:rPr>
          <w:rFonts w:ascii="宋体" w:hAnsi="宋体"/>
          <w:color w:val="auto"/>
          <w:szCs w:val="21"/>
          <w:highlight w:val="none"/>
        </w:rPr>
        <w:t>.1甲方</w:t>
      </w:r>
      <w:r>
        <w:rPr>
          <w:rFonts w:hint="eastAsia" w:ascii="宋体" w:hAnsi="宋体"/>
          <w:color w:val="auto"/>
          <w:szCs w:val="21"/>
          <w:highlight w:val="none"/>
        </w:rPr>
        <w:t>有权</w:t>
      </w:r>
      <w:r>
        <w:rPr>
          <w:rFonts w:ascii="宋体" w:hAnsi="宋体"/>
          <w:color w:val="auto"/>
          <w:szCs w:val="21"/>
          <w:highlight w:val="none"/>
        </w:rPr>
        <w:t>在其认为必要时</w:t>
      </w:r>
      <w:r>
        <w:rPr>
          <w:rFonts w:hint="eastAsia" w:ascii="宋体" w:hAnsi="宋体"/>
          <w:color w:val="auto"/>
          <w:szCs w:val="21"/>
          <w:highlight w:val="none"/>
        </w:rPr>
        <w:t>，对乙方是否能够按照合同约定提供服务进行履约检查，以确保乙方所提供的服务能够依约满足甲方项目需求，但不得因履约检查妨碍乙方的正常工作，乙方应予积极配合；</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4</w:t>
      </w:r>
      <w:r>
        <w:rPr>
          <w:rFonts w:hint="eastAsia" w:ascii="宋体" w:hAnsi="宋体"/>
          <w:color w:val="auto"/>
          <w:szCs w:val="21"/>
          <w:highlight w:val="none"/>
        </w:rPr>
        <w:t>.2合同履行期间，甲方有权将履行过程中出现的问题反馈给乙方，双方当事人应以书面形式约定需要完善和改进的内容</w:t>
      </w:r>
      <w:bookmarkEnd w:id="184"/>
      <w:bookmarkStart w:id="190" w:name="_Toc186431855"/>
      <w:r>
        <w:rPr>
          <w:rFonts w:hint="eastAsia" w:ascii="宋体" w:hAnsi="宋体"/>
          <w:color w:val="auto"/>
          <w:szCs w:val="21"/>
          <w:highlight w:val="none"/>
        </w:rPr>
        <w:t>。</w:t>
      </w:r>
    </w:p>
    <w:bookmarkEnd w:id="190"/>
    <w:p>
      <w:pPr>
        <w:spacing w:line="360" w:lineRule="auto"/>
        <w:ind w:firstLine="437"/>
        <w:outlineLvl w:val="3"/>
        <w:rPr>
          <w:rFonts w:ascii="宋体" w:hAnsi="宋体"/>
          <w:b/>
          <w:bCs/>
          <w:color w:val="auto"/>
          <w:szCs w:val="21"/>
          <w:highlight w:val="none"/>
          <w:lang w:val="zh-CN"/>
        </w:rPr>
      </w:pPr>
      <w:bookmarkStart w:id="191" w:name="_Toc19219"/>
      <w:bookmarkStart w:id="192" w:name="_Toc28451"/>
      <w:bookmarkStart w:id="193" w:name="_Toc7836"/>
      <w:r>
        <w:rPr>
          <w:rFonts w:hint="eastAsia" w:ascii="宋体" w:hAnsi="宋体"/>
          <w:b/>
          <w:bCs/>
          <w:color w:val="auto"/>
          <w:szCs w:val="21"/>
          <w:highlight w:val="none"/>
          <w:lang w:val="zh-CN"/>
        </w:rPr>
        <w:t>2.</w:t>
      </w:r>
      <w:r>
        <w:rPr>
          <w:rFonts w:ascii="宋体" w:hAnsi="宋体"/>
          <w:b/>
          <w:bCs/>
          <w:color w:val="auto"/>
          <w:szCs w:val="21"/>
          <w:highlight w:val="none"/>
          <w:lang w:val="zh-CN"/>
        </w:rPr>
        <w:t>5</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结算方式和付款条件</w:t>
      </w:r>
      <w:bookmarkEnd w:id="185"/>
      <w:bookmarkEnd w:id="186"/>
      <w:bookmarkEnd w:id="187"/>
      <w:bookmarkEnd w:id="188"/>
      <w:bookmarkEnd w:id="189"/>
      <w:bookmarkEnd w:id="191"/>
      <w:bookmarkEnd w:id="192"/>
      <w:bookmarkEnd w:id="193"/>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本项目采用总价合同。</w:t>
      </w:r>
    </w:p>
    <w:p>
      <w:pPr>
        <w:spacing w:line="360" w:lineRule="auto"/>
        <w:ind w:firstLine="437"/>
        <w:outlineLvl w:val="3"/>
        <w:rPr>
          <w:rFonts w:ascii="宋体" w:hAnsi="宋体"/>
          <w:b/>
          <w:bCs/>
          <w:color w:val="auto"/>
          <w:szCs w:val="21"/>
          <w:highlight w:val="none"/>
          <w:lang w:val="zh-CN"/>
        </w:rPr>
      </w:pPr>
      <w:bookmarkStart w:id="194" w:name="_Toc487900358"/>
      <w:bookmarkStart w:id="195" w:name="_Toc259093677"/>
      <w:bookmarkStart w:id="196" w:name="_Ref467379852"/>
      <w:bookmarkStart w:id="197" w:name="_Toc279701248"/>
      <w:bookmarkStart w:id="198" w:name="_Ref467379863"/>
      <w:bookmarkStart w:id="199" w:name="_Ref467379923"/>
      <w:bookmarkStart w:id="200" w:name="_Toc3225"/>
      <w:bookmarkStart w:id="201" w:name="_Toc16110"/>
      <w:bookmarkStart w:id="202" w:name="_Toc774"/>
      <w:r>
        <w:rPr>
          <w:rFonts w:hint="eastAsia" w:ascii="宋体" w:hAnsi="宋体"/>
          <w:b/>
          <w:bCs/>
          <w:color w:val="auto"/>
          <w:szCs w:val="21"/>
          <w:highlight w:val="none"/>
          <w:lang w:val="zh-CN"/>
        </w:rPr>
        <w:t>2.</w:t>
      </w:r>
      <w:r>
        <w:rPr>
          <w:rFonts w:ascii="宋体" w:hAnsi="宋体"/>
          <w:b/>
          <w:bCs/>
          <w:color w:val="auto"/>
          <w:szCs w:val="21"/>
          <w:highlight w:val="none"/>
          <w:lang w:val="zh-CN"/>
        </w:rPr>
        <w:t>6</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技术资料</w:t>
      </w:r>
      <w:bookmarkEnd w:id="194"/>
      <w:bookmarkEnd w:id="195"/>
      <w:bookmarkEnd w:id="196"/>
      <w:bookmarkEnd w:id="197"/>
      <w:bookmarkEnd w:id="198"/>
      <w:bookmarkEnd w:id="199"/>
      <w:r>
        <w:rPr>
          <w:rFonts w:ascii="宋体" w:hAnsi="宋体"/>
          <w:b/>
          <w:bCs/>
          <w:color w:val="auto"/>
          <w:szCs w:val="21"/>
          <w:highlight w:val="none"/>
          <w:lang w:val="zh-CN"/>
        </w:rPr>
        <w:t>和保密义务</w:t>
      </w:r>
      <w:bookmarkEnd w:id="200"/>
      <w:bookmarkEnd w:id="201"/>
      <w:bookmarkEnd w:id="202"/>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6.1</w:t>
      </w:r>
      <w:r>
        <w:rPr>
          <w:rFonts w:hint="eastAsia" w:ascii="宋体" w:hAnsi="宋体"/>
          <w:color w:val="auto"/>
          <w:szCs w:val="21"/>
          <w:highlight w:val="none"/>
        </w:rPr>
        <w:t>乙方有权依据合同约定和项目需要，向甲方了解有关情况，调阅有关资料等，甲方应予积极配合；</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w:t>
      </w:r>
      <w:r>
        <w:rPr>
          <w:rFonts w:hint="eastAsia" w:ascii="宋体" w:hAnsi="宋体"/>
          <w:color w:val="auto"/>
          <w:szCs w:val="21"/>
          <w:highlight w:val="none"/>
        </w:rPr>
        <w:t>.2乙方有义务妥善保管和保护由甲方提供的前款信息和资料等；</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w:t>
      </w:r>
      <w:r>
        <w:rPr>
          <w:rFonts w:hint="eastAsia" w:ascii="宋体" w:hAnsi="宋体"/>
          <w:color w:val="auto"/>
          <w:szCs w:val="21"/>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宋体" w:hAnsi="宋体"/>
          <w:color w:val="auto"/>
          <w:szCs w:val="21"/>
          <w:highlight w:val="none"/>
        </w:rPr>
        <w:t>技术情报</w:t>
      </w:r>
      <w:r>
        <w:rPr>
          <w:rFonts w:hint="eastAsia" w:ascii="宋体" w:hAnsi="宋体"/>
          <w:color w:val="auto"/>
          <w:szCs w:val="21"/>
          <w:highlight w:val="none"/>
        </w:rPr>
        <w:t>、</w:t>
      </w:r>
      <w:r>
        <w:rPr>
          <w:rFonts w:ascii="宋体" w:hAnsi="宋体"/>
          <w:color w:val="auto"/>
          <w:szCs w:val="21"/>
          <w:highlight w:val="none"/>
        </w:rPr>
        <w:t>技术资料</w:t>
      </w:r>
      <w:r>
        <w:rPr>
          <w:rFonts w:hint="eastAsia" w:ascii="宋体" w:hAnsi="宋体"/>
          <w:color w:val="auto"/>
          <w:szCs w:val="21"/>
          <w:highlight w:val="none"/>
        </w:rPr>
        <w:t>、商业秘密和商业信息等，并采取一切合理和必要措施和方式防止任何第三方接触到对方当事人的上述保密信息和资料。</w:t>
      </w:r>
    </w:p>
    <w:p>
      <w:pPr>
        <w:spacing w:line="360" w:lineRule="auto"/>
        <w:ind w:firstLine="437"/>
        <w:outlineLvl w:val="3"/>
        <w:rPr>
          <w:rFonts w:ascii="宋体" w:hAnsi="宋体"/>
          <w:b/>
          <w:bCs/>
          <w:color w:val="auto"/>
          <w:szCs w:val="21"/>
          <w:highlight w:val="none"/>
          <w:lang w:val="zh-CN"/>
        </w:rPr>
      </w:pPr>
      <w:bookmarkStart w:id="203" w:name="_Toc7860"/>
      <w:r>
        <w:rPr>
          <w:rFonts w:ascii="宋体" w:hAnsi="宋体"/>
          <w:b/>
          <w:bCs/>
          <w:color w:val="auto"/>
          <w:szCs w:val="21"/>
          <w:highlight w:val="none"/>
          <w:lang w:val="zh-CN"/>
        </w:rPr>
        <w:t>2.7 质量保证</w:t>
      </w:r>
      <w:bookmarkEnd w:id="203"/>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7</w:t>
      </w:r>
      <w:r>
        <w:rPr>
          <w:rFonts w:hint="eastAsia" w:ascii="宋体" w:hAnsi="宋体"/>
          <w:color w:val="auto"/>
          <w:szCs w:val="21"/>
          <w:highlight w:val="none"/>
        </w:rPr>
        <w:t>.1乙方应建立和完善履行合同的内部质量保证体系，并提供相关内部规章制度给甲方，以便甲方进行监督检查；</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7</w:t>
      </w:r>
      <w:r>
        <w:rPr>
          <w:rFonts w:hint="eastAsia" w:ascii="宋体" w:hAnsi="宋体"/>
          <w:color w:val="auto"/>
          <w:szCs w:val="21"/>
          <w:highlight w:val="none"/>
        </w:rPr>
        <w:t>.2乙方应保证履行合同的人员数量和素质、软件和硬件设备的配置、场地、环境和设施等满足全面履行合同的要求，并应接受甲方的监督检查。</w:t>
      </w:r>
    </w:p>
    <w:p>
      <w:pPr>
        <w:spacing w:line="360" w:lineRule="auto"/>
        <w:ind w:firstLine="437"/>
        <w:outlineLvl w:val="3"/>
        <w:rPr>
          <w:rFonts w:ascii="宋体" w:hAnsi="宋体"/>
          <w:b/>
          <w:color w:val="auto"/>
          <w:szCs w:val="21"/>
          <w:highlight w:val="none"/>
        </w:rPr>
      </w:pPr>
      <w:bookmarkStart w:id="204" w:name="_Toc22267"/>
      <w:r>
        <w:rPr>
          <w:rFonts w:hint="eastAsia" w:ascii="宋体" w:hAnsi="宋体"/>
          <w:b/>
          <w:color w:val="auto"/>
          <w:szCs w:val="21"/>
          <w:highlight w:val="none"/>
        </w:rPr>
        <w:t>2.8 延迟履行</w:t>
      </w:r>
      <w:bookmarkEnd w:id="204"/>
    </w:p>
    <w:p>
      <w:pPr>
        <w:spacing w:line="360" w:lineRule="auto"/>
        <w:ind w:firstLine="435"/>
        <w:rPr>
          <w:rFonts w:ascii="宋体" w:hAnsi="宋体"/>
          <w:color w:val="auto"/>
          <w:szCs w:val="21"/>
          <w:highlight w:val="none"/>
        </w:rPr>
      </w:pPr>
      <w:r>
        <w:rPr>
          <w:rFonts w:ascii="宋体" w:hAnsi="宋体"/>
          <w:color w:val="auto"/>
          <w:szCs w:val="21"/>
          <w:highlight w:val="none"/>
        </w:rPr>
        <w:t>在合同履行过程中，如果乙方遇到不能按时</w:t>
      </w:r>
      <w:r>
        <w:rPr>
          <w:rFonts w:hint="eastAsia" w:ascii="宋体" w:hAnsi="宋体"/>
          <w:color w:val="auto"/>
          <w:szCs w:val="21"/>
          <w:highlight w:val="none"/>
        </w:rPr>
        <w:t>提供服务</w:t>
      </w:r>
      <w:r>
        <w:rPr>
          <w:rFonts w:ascii="宋体" w:hAnsi="宋体"/>
          <w:color w:val="auto"/>
          <w:szCs w:val="21"/>
          <w:highlight w:val="none"/>
        </w:rPr>
        <w:t>的情况，应及时以书面形式将不能按时</w:t>
      </w:r>
      <w:r>
        <w:rPr>
          <w:rFonts w:hint="eastAsia" w:ascii="宋体" w:hAnsi="宋体"/>
          <w:color w:val="auto"/>
          <w:szCs w:val="21"/>
          <w:highlight w:val="none"/>
        </w:rPr>
        <w:t>提供服务</w:t>
      </w:r>
      <w:r>
        <w:rPr>
          <w:rFonts w:ascii="宋体" w:hAnsi="宋体"/>
          <w:color w:val="auto"/>
          <w:szCs w:val="21"/>
          <w:highlight w:val="none"/>
        </w:rPr>
        <w:t>的理由、预期延误时间通知甲方</w:t>
      </w:r>
      <w:r>
        <w:rPr>
          <w:rFonts w:hint="eastAsia" w:ascii="宋体" w:hAnsi="宋体"/>
          <w:color w:val="auto"/>
          <w:szCs w:val="21"/>
          <w:highlight w:val="none"/>
        </w:rPr>
        <w:t>；甲</w:t>
      </w:r>
      <w:r>
        <w:rPr>
          <w:rFonts w:ascii="宋体" w:hAnsi="宋体"/>
          <w:color w:val="auto"/>
          <w:szCs w:val="21"/>
          <w:highlight w:val="none"/>
        </w:rPr>
        <w:t>方收到乙方通知后，认为其理由正当的，可以书面形式酌情同意乙方可以延长</w:t>
      </w:r>
      <w:r>
        <w:rPr>
          <w:rFonts w:hint="eastAsia" w:ascii="宋体" w:hAnsi="宋体"/>
          <w:color w:val="auto"/>
          <w:szCs w:val="21"/>
          <w:highlight w:val="none"/>
        </w:rPr>
        <w:t>履行</w:t>
      </w:r>
      <w:r>
        <w:rPr>
          <w:rFonts w:ascii="宋体" w:hAnsi="宋体"/>
          <w:color w:val="auto"/>
          <w:szCs w:val="21"/>
          <w:highlight w:val="none"/>
        </w:rPr>
        <w:t>的具体时间。</w:t>
      </w:r>
    </w:p>
    <w:p>
      <w:pPr>
        <w:spacing w:line="360" w:lineRule="auto"/>
        <w:ind w:firstLine="437"/>
        <w:outlineLvl w:val="3"/>
        <w:rPr>
          <w:rFonts w:ascii="宋体" w:hAnsi="宋体"/>
          <w:b/>
          <w:bCs/>
          <w:color w:val="auto"/>
          <w:szCs w:val="21"/>
          <w:highlight w:val="none"/>
          <w:lang w:val="zh-CN"/>
        </w:rPr>
      </w:pPr>
      <w:bookmarkStart w:id="205" w:name="_Toc7502"/>
      <w:bookmarkStart w:id="206" w:name="_Toc259093683"/>
      <w:bookmarkStart w:id="207" w:name="_Ref467378121"/>
      <w:bookmarkStart w:id="208" w:name="_Toc487900364"/>
      <w:bookmarkStart w:id="209" w:name="_Toc279701254"/>
      <w:r>
        <w:rPr>
          <w:rFonts w:ascii="宋体" w:hAnsi="宋体"/>
          <w:b/>
          <w:bCs/>
          <w:color w:val="auto"/>
          <w:szCs w:val="21"/>
          <w:highlight w:val="none"/>
          <w:lang w:val="zh-CN"/>
        </w:rPr>
        <w:t>2.9 合同变更</w:t>
      </w:r>
      <w:bookmarkEnd w:id="205"/>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9</w:t>
      </w:r>
      <w:r>
        <w:rPr>
          <w:rFonts w:hint="eastAsia" w:ascii="宋体" w:hAnsi="宋体"/>
          <w:color w:val="auto"/>
          <w:szCs w:val="21"/>
          <w:highlight w:val="none"/>
        </w:rPr>
        <w:t>.1双方当事人协商一致，可以签订书面补充合同的形式变更合同，但不得违背采购文件确定的事项；</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9</w:t>
      </w:r>
      <w:r>
        <w:rPr>
          <w:rFonts w:hint="eastAsia" w:ascii="宋体" w:hAnsi="宋体"/>
          <w:color w:val="auto"/>
          <w:szCs w:val="21"/>
          <w:highlight w:val="none"/>
        </w:rPr>
        <w:t>.2合同继续履行将损害国家利益和社会公共利益的，双方当事人应当以书面形式变更合同。有过错的一方应当承担赔偿责任，双方当事人都有过错的，各自承担相应的责任。</w:t>
      </w:r>
      <w:bookmarkStart w:id="210" w:name="_Toc259093688"/>
      <w:bookmarkStart w:id="211" w:name="_Toc279701259"/>
      <w:bookmarkStart w:id="212" w:name="_Toc487900369"/>
    </w:p>
    <w:p>
      <w:pPr>
        <w:spacing w:line="360" w:lineRule="auto"/>
        <w:ind w:firstLine="437"/>
        <w:outlineLvl w:val="3"/>
        <w:rPr>
          <w:rFonts w:ascii="宋体" w:hAnsi="宋体"/>
          <w:b/>
          <w:bCs/>
          <w:color w:val="auto"/>
          <w:szCs w:val="21"/>
          <w:highlight w:val="none"/>
          <w:lang w:val="zh-CN"/>
        </w:rPr>
      </w:pPr>
      <w:bookmarkStart w:id="213" w:name="_Toc15237"/>
      <w:bookmarkStart w:id="214" w:name="_Toc22955"/>
      <w:bookmarkStart w:id="215" w:name="_Toc10366"/>
      <w:r>
        <w:rPr>
          <w:rFonts w:hint="eastAsia" w:ascii="宋体" w:hAnsi="宋体"/>
          <w:b/>
          <w:bCs/>
          <w:color w:val="auto"/>
          <w:szCs w:val="21"/>
          <w:highlight w:val="none"/>
          <w:lang w:val="zh-CN"/>
        </w:rPr>
        <w:t>2.1</w:t>
      </w:r>
      <w:r>
        <w:rPr>
          <w:rFonts w:ascii="宋体" w:hAnsi="宋体"/>
          <w:b/>
          <w:bCs/>
          <w:color w:val="auto"/>
          <w:szCs w:val="21"/>
          <w:highlight w:val="none"/>
          <w:lang w:val="zh-CN"/>
        </w:rPr>
        <w:t>0</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合同转让</w:t>
      </w:r>
      <w:bookmarkEnd w:id="210"/>
      <w:bookmarkEnd w:id="211"/>
      <w:bookmarkEnd w:id="212"/>
      <w:r>
        <w:rPr>
          <w:rFonts w:ascii="宋体" w:hAnsi="宋体"/>
          <w:b/>
          <w:bCs/>
          <w:color w:val="auto"/>
          <w:szCs w:val="21"/>
          <w:highlight w:val="none"/>
          <w:lang w:val="zh-CN"/>
        </w:rPr>
        <w:t>和分包</w:t>
      </w:r>
      <w:bookmarkEnd w:id="213"/>
      <w:bookmarkEnd w:id="214"/>
      <w:bookmarkEnd w:id="215"/>
    </w:p>
    <w:p>
      <w:pPr>
        <w:spacing w:line="360" w:lineRule="auto"/>
        <w:ind w:firstLine="435"/>
        <w:rPr>
          <w:rFonts w:ascii="宋体" w:hAnsi="宋体"/>
          <w:color w:val="auto"/>
          <w:szCs w:val="21"/>
          <w:highlight w:val="none"/>
        </w:rPr>
      </w:pPr>
      <w:r>
        <w:rPr>
          <w:rFonts w:ascii="宋体" w:hAnsi="宋体"/>
          <w:color w:val="auto"/>
          <w:szCs w:val="21"/>
          <w:highlight w:val="none"/>
        </w:rPr>
        <w:t>合同的权利义务依法不</w:t>
      </w:r>
      <w:r>
        <w:rPr>
          <w:rFonts w:hint="eastAsia" w:ascii="宋体" w:hAnsi="宋体"/>
          <w:color w:val="auto"/>
          <w:szCs w:val="21"/>
          <w:highlight w:val="none"/>
        </w:rPr>
        <w:t>得</w:t>
      </w:r>
      <w:r>
        <w:rPr>
          <w:rFonts w:ascii="宋体" w:hAnsi="宋体"/>
          <w:color w:val="auto"/>
          <w:szCs w:val="21"/>
          <w:highlight w:val="none"/>
        </w:rPr>
        <w:t>转让</w:t>
      </w:r>
      <w:r>
        <w:rPr>
          <w:rFonts w:hint="eastAsia" w:ascii="宋体" w:hAnsi="宋体"/>
          <w:color w:val="auto"/>
          <w:szCs w:val="21"/>
          <w:highlight w:val="none"/>
        </w:rPr>
        <w:t>，</w:t>
      </w:r>
      <w:r>
        <w:rPr>
          <w:rFonts w:ascii="宋体" w:hAnsi="宋体"/>
          <w:color w:val="auto"/>
          <w:szCs w:val="21"/>
          <w:highlight w:val="none"/>
        </w:rPr>
        <w:t>但经甲方</w:t>
      </w:r>
      <w:r>
        <w:rPr>
          <w:rFonts w:hint="eastAsia" w:ascii="宋体" w:hAnsi="宋体"/>
          <w:color w:val="auto"/>
          <w:szCs w:val="21"/>
          <w:highlight w:val="none"/>
        </w:rPr>
        <w:t>同意，乙方可以依法采取分包方式履行合同，即：依法可以</w:t>
      </w:r>
      <w:r>
        <w:rPr>
          <w:rFonts w:ascii="宋体" w:hAnsi="宋体"/>
          <w:color w:val="auto"/>
          <w:szCs w:val="21"/>
          <w:highlight w:val="none"/>
        </w:rPr>
        <w:t>将合同项下的部分非主体、非关键性工作分包给他人完成</w:t>
      </w:r>
      <w:r>
        <w:rPr>
          <w:rFonts w:hint="eastAsia" w:ascii="宋体" w:hAnsi="宋体"/>
          <w:color w:val="auto"/>
          <w:szCs w:val="21"/>
          <w:highlight w:val="none"/>
        </w:rPr>
        <w:t>，</w:t>
      </w:r>
      <w:r>
        <w:rPr>
          <w:rFonts w:ascii="宋体" w:hAnsi="宋体"/>
          <w:color w:val="auto"/>
          <w:szCs w:val="21"/>
          <w:highlight w:val="none"/>
        </w:rPr>
        <w:t>接受分包的人应当具备相应的资格条件，并不得再次分包</w:t>
      </w:r>
      <w:r>
        <w:rPr>
          <w:rFonts w:hint="eastAsia" w:ascii="宋体" w:hAnsi="宋体"/>
          <w:color w:val="auto"/>
          <w:szCs w:val="21"/>
          <w:highlight w:val="none"/>
        </w:rPr>
        <w:t>，</w:t>
      </w:r>
      <w:r>
        <w:rPr>
          <w:rFonts w:ascii="宋体" w:hAnsi="宋体"/>
          <w:color w:val="auto"/>
          <w:szCs w:val="21"/>
          <w:highlight w:val="none"/>
        </w:rPr>
        <w:t>且乙方应就分包项目向甲方负责</w:t>
      </w:r>
      <w:r>
        <w:rPr>
          <w:rFonts w:hint="eastAsia" w:ascii="宋体" w:hAnsi="宋体"/>
          <w:color w:val="auto"/>
          <w:szCs w:val="21"/>
          <w:highlight w:val="none"/>
        </w:rPr>
        <w:t>，</w:t>
      </w:r>
      <w:r>
        <w:rPr>
          <w:rFonts w:ascii="宋体" w:hAnsi="宋体"/>
          <w:color w:val="auto"/>
          <w:szCs w:val="21"/>
          <w:highlight w:val="none"/>
        </w:rPr>
        <w:t>并</w:t>
      </w:r>
      <w:r>
        <w:rPr>
          <w:rFonts w:hint="eastAsia" w:ascii="宋体" w:hAnsi="宋体"/>
          <w:color w:val="auto"/>
          <w:szCs w:val="21"/>
          <w:highlight w:val="none"/>
        </w:rPr>
        <w:t>与分包供应商就分包项目向甲方承担连带责任。</w:t>
      </w:r>
    </w:p>
    <w:p>
      <w:pPr>
        <w:spacing w:line="360" w:lineRule="auto"/>
        <w:ind w:firstLine="437"/>
        <w:outlineLvl w:val="3"/>
        <w:rPr>
          <w:rFonts w:ascii="宋体" w:hAnsi="宋体"/>
          <w:b/>
          <w:bCs/>
          <w:color w:val="auto"/>
          <w:szCs w:val="21"/>
          <w:highlight w:val="none"/>
          <w:lang w:val="zh-CN"/>
        </w:rPr>
      </w:pPr>
      <w:bookmarkStart w:id="216" w:name="_Toc16508"/>
      <w:bookmarkStart w:id="217" w:name="_Toc13566"/>
      <w:bookmarkStart w:id="218" w:name="_Toc14066"/>
      <w:r>
        <w:rPr>
          <w:rFonts w:hint="eastAsia" w:ascii="宋体" w:hAnsi="宋体"/>
          <w:b/>
          <w:bCs/>
          <w:color w:val="auto"/>
          <w:szCs w:val="21"/>
          <w:highlight w:val="none"/>
          <w:lang w:val="zh-CN"/>
        </w:rPr>
        <w:t>2.1</w:t>
      </w:r>
      <w:r>
        <w:rPr>
          <w:rFonts w:ascii="宋体" w:hAnsi="宋体"/>
          <w:b/>
          <w:bCs/>
          <w:color w:val="auto"/>
          <w:szCs w:val="21"/>
          <w:highlight w:val="none"/>
          <w:lang w:val="zh-CN"/>
        </w:rPr>
        <w:t>1 不可抗力</w:t>
      </w:r>
      <w:bookmarkEnd w:id="216"/>
      <w:bookmarkEnd w:id="217"/>
      <w:bookmarkEnd w:id="218"/>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1.1如果任何一方遭遇法律规定的不可抗力，致使合同履行受阻时，履行合同的期限应予延长，延长的期限应相当于不可抗力所影响的时间</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.2因不可抗力致使不能实现合同目的的，当事人可以解除合同；</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.3因</w:t>
      </w:r>
      <w:r>
        <w:rPr>
          <w:rFonts w:ascii="宋体" w:hAnsi="宋体"/>
          <w:color w:val="auto"/>
          <w:szCs w:val="21"/>
          <w:highlight w:val="none"/>
        </w:rPr>
        <w:t>不可抗力致使合同有变更必要的，双方当事人应在</w:t>
      </w:r>
      <w:r>
        <w:rPr>
          <w:rFonts w:ascii="宋体" w:hAnsi="宋体"/>
          <w:b/>
          <w:i/>
          <w:color w:val="auto"/>
          <w:szCs w:val="21"/>
          <w:highlight w:val="none"/>
          <w:u w:val="single"/>
        </w:rPr>
        <w:t>合同专用条款</w:t>
      </w:r>
      <w:r>
        <w:rPr>
          <w:rFonts w:ascii="宋体" w:hAnsi="宋体"/>
          <w:color w:val="auto"/>
          <w:szCs w:val="21"/>
          <w:highlight w:val="none"/>
        </w:rPr>
        <w:t>约定时间内以书面形式变更合同</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4</w:t>
      </w:r>
      <w:r>
        <w:rPr>
          <w:rFonts w:ascii="宋体" w:hAnsi="宋体"/>
          <w:color w:val="auto"/>
          <w:szCs w:val="21"/>
          <w:highlight w:val="none"/>
        </w:rPr>
        <w:t>受</w:t>
      </w:r>
      <w:r>
        <w:rPr>
          <w:rFonts w:hint="eastAsia" w:ascii="宋体" w:hAnsi="宋体"/>
          <w:color w:val="auto"/>
          <w:szCs w:val="21"/>
          <w:highlight w:val="none"/>
        </w:rPr>
        <w:t>不可抗力</w:t>
      </w:r>
      <w:r>
        <w:rPr>
          <w:rFonts w:ascii="宋体" w:hAnsi="宋体"/>
          <w:color w:val="auto"/>
          <w:szCs w:val="21"/>
          <w:highlight w:val="none"/>
        </w:rPr>
        <w:t>影响的一方在不可抗力发生后</w:t>
      </w:r>
      <w:r>
        <w:rPr>
          <w:rFonts w:hint="eastAsia" w:ascii="宋体" w:hAnsi="宋体"/>
          <w:color w:val="auto"/>
          <w:szCs w:val="21"/>
          <w:highlight w:val="none"/>
        </w:rPr>
        <w:t>，</w:t>
      </w:r>
      <w:r>
        <w:rPr>
          <w:rFonts w:ascii="宋体" w:hAnsi="宋体"/>
          <w:color w:val="auto"/>
          <w:szCs w:val="21"/>
          <w:highlight w:val="none"/>
        </w:rPr>
        <w:t>应在</w:t>
      </w:r>
      <w:r>
        <w:rPr>
          <w:rFonts w:ascii="宋体" w:hAnsi="宋体"/>
          <w:b/>
          <w:i/>
          <w:color w:val="auto"/>
          <w:szCs w:val="21"/>
          <w:highlight w:val="none"/>
          <w:u w:val="single"/>
        </w:rPr>
        <w:t>合同专用条款</w:t>
      </w:r>
      <w:r>
        <w:rPr>
          <w:rFonts w:ascii="宋体" w:hAnsi="宋体"/>
          <w:color w:val="auto"/>
          <w:szCs w:val="21"/>
          <w:highlight w:val="none"/>
        </w:rPr>
        <w:t>约定时间内以书面形式通知</w:t>
      </w:r>
      <w:r>
        <w:rPr>
          <w:rFonts w:hint="eastAsia" w:ascii="宋体" w:hAnsi="宋体"/>
          <w:color w:val="auto"/>
          <w:szCs w:val="21"/>
          <w:highlight w:val="none"/>
        </w:rPr>
        <w:t>对</w:t>
      </w:r>
      <w:r>
        <w:rPr>
          <w:rFonts w:ascii="宋体" w:hAnsi="宋体"/>
          <w:color w:val="auto"/>
          <w:szCs w:val="21"/>
          <w:highlight w:val="none"/>
        </w:rPr>
        <w:t>方当事人，并在</w:t>
      </w:r>
      <w:r>
        <w:rPr>
          <w:rFonts w:ascii="宋体" w:hAnsi="宋体"/>
          <w:b/>
          <w:i/>
          <w:color w:val="auto"/>
          <w:szCs w:val="21"/>
          <w:highlight w:val="none"/>
          <w:u w:val="single"/>
        </w:rPr>
        <w:t>合同专用条款</w:t>
      </w:r>
      <w:r>
        <w:rPr>
          <w:rFonts w:ascii="宋体" w:hAnsi="宋体"/>
          <w:color w:val="auto"/>
          <w:szCs w:val="21"/>
          <w:highlight w:val="none"/>
        </w:rPr>
        <w:t>约定时间内，将有关部门出具的证明文件送达</w:t>
      </w:r>
      <w:r>
        <w:rPr>
          <w:rFonts w:hint="eastAsia" w:ascii="宋体" w:hAnsi="宋体"/>
          <w:color w:val="auto"/>
          <w:szCs w:val="21"/>
          <w:highlight w:val="none"/>
        </w:rPr>
        <w:t>对方当事人</w:t>
      </w:r>
      <w:r>
        <w:rPr>
          <w:rFonts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219" w:name="_Toc279701255"/>
      <w:bookmarkStart w:id="220" w:name="_Toc6969"/>
      <w:bookmarkStart w:id="221" w:name="_Toc487900365"/>
      <w:bookmarkStart w:id="222" w:name="_Toc689"/>
      <w:bookmarkStart w:id="223" w:name="_Toc30676"/>
      <w:bookmarkStart w:id="224" w:name="_Toc259093684"/>
      <w:r>
        <w:rPr>
          <w:rFonts w:hint="eastAsia" w:ascii="宋体" w:hAnsi="宋体"/>
          <w:b/>
          <w:bCs/>
          <w:color w:val="auto"/>
          <w:szCs w:val="21"/>
          <w:highlight w:val="none"/>
          <w:lang w:val="zh-CN"/>
        </w:rPr>
        <w:t>2.</w:t>
      </w:r>
      <w:r>
        <w:rPr>
          <w:rFonts w:ascii="宋体" w:hAnsi="宋体"/>
          <w:b/>
          <w:bCs/>
          <w:color w:val="auto"/>
          <w:szCs w:val="21"/>
          <w:highlight w:val="none"/>
          <w:lang w:val="zh-CN"/>
        </w:rPr>
        <w:t>12</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税费</w:t>
      </w:r>
      <w:bookmarkEnd w:id="219"/>
      <w:bookmarkEnd w:id="220"/>
      <w:bookmarkEnd w:id="221"/>
      <w:bookmarkEnd w:id="222"/>
      <w:bookmarkEnd w:id="223"/>
      <w:bookmarkEnd w:id="224"/>
    </w:p>
    <w:p>
      <w:pPr>
        <w:spacing w:line="360" w:lineRule="auto"/>
        <w:ind w:firstLine="435"/>
        <w:rPr>
          <w:rFonts w:ascii="宋体" w:hAnsi="宋体"/>
          <w:color w:val="auto"/>
          <w:szCs w:val="21"/>
          <w:highlight w:val="none"/>
        </w:rPr>
      </w:pPr>
      <w:r>
        <w:rPr>
          <w:rFonts w:ascii="宋体" w:hAnsi="宋体"/>
          <w:color w:val="auto"/>
          <w:szCs w:val="21"/>
          <w:highlight w:val="none"/>
        </w:rPr>
        <w:t>与合同有关的一切税费</w:t>
      </w:r>
      <w:r>
        <w:rPr>
          <w:rFonts w:hint="eastAsia" w:ascii="宋体" w:hAnsi="宋体"/>
          <w:color w:val="auto"/>
          <w:szCs w:val="21"/>
          <w:highlight w:val="none"/>
        </w:rPr>
        <w:t>，</w:t>
      </w:r>
      <w:r>
        <w:rPr>
          <w:rFonts w:ascii="宋体" w:hAnsi="宋体"/>
          <w:color w:val="auto"/>
          <w:szCs w:val="21"/>
          <w:highlight w:val="none"/>
        </w:rPr>
        <w:t>均按照中华人民共和国法律的相关规定</w:t>
      </w:r>
      <w:r>
        <w:rPr>
          <w:rFonts w:hint="eastAsia" w:ascii="宋体" w:hAnsi="宋体"/>
          <w:color w:val="auto"/>
          <w:szCs w:val="21"/>
          <w:highlight w:val="none"/>
        </w:rPr>
        <w:t>缴纳</w:t>
      </w:r>
      <w:r>
        <w:rPr>
          <w:rFonts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225" w:name="_Toc259093687"/>
      <w:bookmarkStart w:id="226" w:name="_Toc279701258"/>
      <w:bookmarkStart w:id="227" w:name="_Toc7102"/>
      <w:bookmarkStart w:id="228" w:name="_Toc487900368"/>
      <w:bookmarkStart w:id="229" w:name="_Toc8298"/>
      <w:bookmarkStart w:id="230" w:name="_Toc16959"/>
      <w:r>
        <w:rPr>
          <w:rFonts w:hint="eastAsia" w:ascii="宋体" w:hAnsi="宋体"/>
          <w:b/>
          <w:bCs/>
          <w:color w:val="auto"/>
          <w:szCs w:val="21"/>
          <w:highlight w:val="none"/>
          <w:lang w:val="zh-CN"/>
        </w:rPr>
        <w:t>2.</w:t>
      </w:r>
      <w:r>
        <w:rPr>
          <w:rFonts w:ascii="宋体" w:hAnsi="宋体"/>
          <w:b/>
          <w:bCs/>
          <w:color w:val="auto"/>
          <w:szCs w:val="21"/>
          <w:highlight w:val="none"/>
          <w:lang w:val="zh-CN"/>
        </w:rPr>
        <w:t>13</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乙方破产</w:t>
      </w:r>
      <w:bookmarkEnd w:id="225"/>
      <w:bookmarkEnd w:id="226"/>
      <w:bookmarkEnd w:id="227"/>
      <w:bookmarkEnd w:id="228"/>
      <w:bookmarkEnd w:id="229"/>
      <w:bookmarkEnd w:id="230"/>
    </w:p>
    <w:p>
      <w:pPr>
        <w:spacing w:line="360" w:lineRule="auto"/>
        <w:ind w:firstLine="435"/>
        <w:rPr>
          <w:rFonts w:ascii="宋体" w:hAnsi="宋体"/>
          <w:color w:val="auto"/>
          <w:szCs w:val="21"/>
          <w:highlight w:val="none"/>
        </w:rPr>
      </w:pPr>
      <w:r>
        <w:rPr>
          <w:rFonts w:ascii="宋体" w:hAnsi="宋体"/>
          <w:color w:val="auto"/>
          <w:szCs w:val="21"/>
          <w:highlight w:val="none"/>
        </w:rPr>
        <w:t>如果乙方破产导致合同无法履行时，甲方可以书面形式通知乙方终止合同且不给予乙方任何补偿和赔偿</w:t>
      </w:r>
      <w:r>
        <w:rPr>
          <w:rFonts w:hint="eastAsia" w:ascii="宋体" w:hAnsi="宋体"/>
          <w:color w:val="auto"/>
          <w:szCs w:val="21"/>
          <w:highlight w:val="none"/>
        </w:rPr>
        <w:t>，但合同的</w:t>
      </w:r>
      <w:r>
        <w:rPr>
          <w:rFonts w:ascii="宋体" w:hAnsi="宋体"/>
          <w:color w:val="auto"/>
          <w:szCs w:val="21"/>
          <w:highlight w:val="none"/>
        </w:rPr>
        <w:t>终止不损害或不影响甲方已经采取或将要采取的任何要求乙方支付违约金</w:t>
      </w:r>
      <w:r>
        <w:rPr>
          <w:rFonts w:hint="eastAsia" w:ascii="宋体" w:hAnsi="宋体"/>
          <w:color w:val="auto"/>
          <w:szCs w:val="21"/>
          <w:highlight w:val="none"/>
        </w:rPr>
        <w:t>、</w:t>
      </w:r>
      <w:r>
        <w:rPr>
          <w:rFonts w:ascii="宋体" w:hAnsi="宋体"/>
          <w:color w:val="auto"/>
          <w:szCs w:val="21"/>
          <w:highlight w:val="none"/>
        </w:rPr>
        <w:t>赔偿损失等的行动或补救措施的权利</w:t>
      </w:r>
      <w:r>
        <w:rPr>
          <w:rFonts w:hint="eastAsia" w:ascii="宋体" w:hAnsi="宋体"/>
          <w:color w:val="auto"/>
          <w:szCs w:val="21"/>
          <w:highlight w:val="none"/>
        </w:rPr>
        <w:t>。</w:t>
      </w:r>
    </w:p>
    <w:p>
      <w:pPr>
        <w:spacing w:line="360" w:lineRule="auto"/>
        <w:ind w:firstLine="437"/>
        <w:outlineLvl w:val="3"/>
        <w:rPr>
          <w:rFonts w:ascii="宋体" w:hAnsi="宋体"/>
          <w:b/>
          <w:color w:val="auto"/>
          <w:szCs w:val="21"/>
          <w:highlight w:val="none"/>
        </w:rPr>
      </w:pPr>
      <w:bookmarkStart w:id="231" w:name="_Toc6134"/>
      <w:bookmarkStart w:id="232" w:name="_Toc29333"/>
      <w:bookmarkStart w:id="233" w:name="_Toc15387"/>
      <w:r>
        <w:rPr>
          <w:rFonts w:hint="eastAsia" w:ascii="宋体" w:hAnsi="宋体"/>
          <w:b/>
          <w:bCs/>
          <w:color w:val="auto"/>
          <w:szCs w:val="21"/>
          <w:highlight w:val="none"/>
          <w:lang w:val="zh-CN"/>
        </w:rPr>
        <w:t>2.1</w:t>
      </w:r>
      <w:r>
        <w:rPr>
          <w:rFonts w:ascii="宋体" w:hAnsi="宋体"/>
          <w:b/>
          <w:bCs/>
          <w:color w:val="auto"/>
          <w:szCs w:val="21"/>
          <w:highlight w:val="none"/>
          <w:lang w:val="zh-CN"/>
        </w:rPr>
        <w:t>4</w:t>
      </w:r>
      <w:r>
        <w:rPr>
          <w:rFonts w:hint="eastAsia" w:ascii="宋体" w:hAnsi="宋体"/>
          <w:b/>
          <w:bCs/>
          <w:color w:val="auto"/>
          <w:szCs w:val="21"/>
          <w:highlight w:val="none"/>
          <w:lang w:val="zh-CN"/>
        </w:rPr>
        <w:t xml:space="preserve"> 合同中止、终止</w:t>
      </w:r>
      <w:bookmarkEnd w:id="231"/>
      <w:bookmarkEnd w:id="232"/>
      <w:bookmarkEnd w:id="233"/>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4</w:t>
      </w:r>
      <w:r>
        <w:rPr>
          <w:rFonts w:hint="eastAsia" w:ascii="宋体" w:hAnsi="宋体"/>
          <w:color w:val="auto"/>
          <w:szCs w:val="21"/>
          <w:highlight w:val="none"/>
        </w:rPr>
        <w:t>.1双方当事人不得擅自中止或者终止合同；</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4</w:t>
      </w:r>
      <w:r>
        <w:rPr>
          <w:rFonts w:hint="eastAsia" w:ascii="宋体" w:hAnsi="宋体"/>
          <w:color w:val="auto"/>
          <w:szCs w:val="21"/>
          <w:highlight w:val="none"/>
        </w:rPr>
        <w:t>.2合同继续履行将损害国家利益和社会公共利益的，双方当事人应当中止或者终止合同。有过错的一方应当承担赔偿责任，双方当事人都有过错的，各自承担相应的责任。</w:t>
      </w:r>
    </w:p>
    <w:p>
      <w:pPr>
        <w:spacing w:line="360" w:lineRule="auto"/>
        <w:ind w:firstLine="437"/>
        <w:outlineLvl w:val="3"/>
        <w:rPr>
          <w:rFonts w:ascii="宋体" w:hAnsi="宋体"/>
          <w:b/>
          <w:bCs/>
          <w:color w:val="auto"/>
          <w:szCs w:val="21"/>
          <w:highlight w:val="none"/>
          <w:lang w:val="zh-CN"/>
        </w:rPr>
      </w:pPr>
      <w:bookmarkStart w:id="234" w:name="_Toc14563"/>
      <w:bookmarkStart w:id="235" w:name="_Toc1125"/>
      <w:bookmarkStart w:id="236" w:name="_Toc6596"/>
      <w:r>
        <w:rPr>
          <w:rFonts w:hint="eastAsia" w:ascii="宋体" w:hAnsi="宋体"/>
          <w:b/>
          <w:bCs/>
          <w:color w:val="auto"/>
          <w:szCs w:val="21"/>
          <w:highlight w:val="none"/>
          <w:lang w:val="zh-CN"/>
        </w:rPr>
        <w:t>2.1</w:t>
      </w:r>
      <w:r>
        <w:rPr>
          <w:rFonts w:ascii="宋体" w:hAnsi="宋体"/>
          <w:b/>
          <w:bCs/>
          <w:color w:val="auto"/>
          <w:szCs w:val="21"/>
          <w:highlight w:val="none"/>
          <w:lang w:val="zh-CN"/>
        </w:rPr>
        <w:t>5</w:t>
      </w:r>
      <w:r>
        <w:rPr>
          <w:rFonts w:hint="eastAsia" w:ascii="宋体" w:hAnsi="宋体"/>
          <w:b/>
          <w:bCs/>
          <w:color w:val="auto"/>
          <w:szCs w:val="21"/>
          <w:highlight w:val="none"/>
          <w:lang w:val="zh-CN"/>
        </w:rPr>
        <w:t xml:space="preserve"> 检验和验收</w:t>
      </w:r>
      <w:bookmarkEnd w:id="234"/>
      <w:bookmarkEnd w:id="235"/>
      <w:bookmarkEnd w:id="236"/>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5</w:t>
      </w:r>
      <w:r>
        <w:rPr>
          <w:rFonts w:ascii="宋体" w:hAnsi="宋体"/>
          <w:color w:val="auto"/>
          <w:szCs w:val="21"/>
          <w:highlight w:val="none"/>
        </w:rPr>
        <w:t>.</w:t>
      </w:r>
      <w:r>
        <w:rPr>
          <w:rFonts w:hint="eastAsia" w:ascii="宋体" w:hAnsi="宋体"/>
          <w:color w:val="auto"/>
          <w:szCs w:val="21"/>
          <w:highlight w:val="none"/>
        </w:rPr>
        <w:t>1乙方按照</w:t>
      </w:r>
      <w:r>
        <w:rPr>
          <w:rFonts w:ascii="宋体" w:hAnsi="宋体"/>
          <w:b/>
          <w:i/>
          <w:color w:val="auto"/>
          <w:szCs w:val="21"/>
          <w:highlight w:val="none"/>
          <w:u w:val="single"/>
        </w:rPr>
        <w:t>合同专用条款</w:t>
      </w:r>
      <w:r>
        <w:rPr>
          <w:rFonts w:ascii="宋体" w:hAnsi="宋体"/>
          <w:color w:val="auto"/>
          <w:szCs w:val="21"/>
          <w:highlight w:val="none"/>
        </w:rPr>
        <w:t>的约定</w:t>
      </w:r>
      <w:r>
        <w:rPr>
          <w:rFonts w:hint="eastAsia" w:ascii="宋体" w:hAnsi="宋体"/>
          <w:color w:val="auto"/>
          <w:szCs w:val="21"/>
          <w:highlight w:val="none"/>
        </w:rPr>
        <w:t>，</w:t>
      </w:r>
      <w:r>
        <w:rPr>
          <w:rFonts w:ascii="宋体" w:hAnsi="宋体"/>
          <w:color w:val="auto"/>
          <w:szCs w:val="21"/>
          <w:highlight w:val="none"/>
        </w:rPr>
        <w:t>定期提交服务报告</w:t>
      </w:r>
      <w:r>
        <w:rPr>
          <w:rFonts w:hint="eastAsia" w:ascii="宋体" w:hAnsi="宋体"/>
          <w:color w:val="auto"/>
          <w:szCs w:val="21"/>
          <w:highlight w:val="none"/>
        </w:rPr>
        <w:t>，甲方按照</w:t>
      </w:r>
      <w:r>
        <w:rPr>
          <w:rFonts w:ascii="宋体" w:hAnsi="宋体"/>
          <w:b/>
          <w:i/>
          <w:color w:val="auto"/>
          <w:szCs w:val="21"/>
          <w:highlight w:val="none"/>
          <w:u w:val="single"/>
        </w:rPr>
        <w:t>合同专用条款</w:t>
      </w:r>
      <w:r>
        <w:rPr>
          <w:rFonts w:ascii="宋体" w:hAnsi="宋体"/>
          <w:color w:val="auto"/>
          <w:szCs w:val="21"/>
          <w:highlight w:val="none"/>
        </w:rPr>
        <w:t>的约定进行定期验收</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2.15.2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2.15.3检验和验收标准、程序等具体内容以及前述验收书的效力详见</w:t>
      </w:r>
      <w:r>
        <w:rPr>
          <w:rFonts w:ascii="宋体" w:hAnsi="宋体"/>
          <w:b/>
          <w:i/>
          <w:color w:val="auto"/>
          <w:szCs w:val="21"/>
          <w:highlight w:val="none"/>
          <w:u w:val="single"/>
        </w:rPr>
        <w:t>合同专用条款</w:t>
      </w:r>
      <w:r>
        <w:rPr>
          <w:rFonts w:hint="eastAsia" w:ascii="宋体" w:hAnsi="宋体"/>
          <w:i/>
          <w:color w:val="auto"/>
          <w:szCs w:val="21"/>
          <w:highlight w:val="none"/>
        </w:rPr>
        <w:t>。</w:t>
      </w:r>
    </w:p>
    <w:bookmarkEnd w:id="206"/>
    <w:bookmarkEnd w:id="207"/>
    <w:bookmarkEnd w:id="208"/>
    <w:bookmarkEnd w:id="209"/>
    <w:p>
      <w:pPr>
        <w:spacing w:line="360" w:lineRule="auto"/>
        <w:ind w:firstLine="437"/>
        <w:outlineLvl w:val="3"/>
        <w:rPr>
          <w:rFonts w:ascii="宋体" w:hAnsi="宋体"/>
          <w:b/>
          <w:bCs/>
          <w:color w:val="auto"/>
          <w:szCs w:val="21"/>
          <w:highlight w:val="none"/>
        </w:rPr>
      </w:pPr>
      <w:bookmarkStart w:id="237" w:name="_Toc487900373"/>
      <w:bookmarkStart w:id="238" w:name="_Toc10330"/>
      <w:bookmarkStart w:id="239" w:name="_Toc12773"/>
      <w:bookmarkStart w:id="240" w:name="_Toc279701263"/>
      <w:bookmarkStart w:id="241" w:name="_Toc259093692"/>
      <w:bookmarkStart w:id="242" w:name="_Toc18567"/>
      <w:r>
        <w:rPr>
          <w:rFonts w:hint="eastAsia" w:ascii="宋体" w:hAnsi="宋体"/>
          <w:b/>
          <w:bCs/>
          <w:color w:val="auto"/>
          <w:szCs w:val="21"/>
          <w:highlight w:val="none"/>
        </w:rPr>
        <w:t>2.</w:t>
      </w:r>
      <w:r>
        <w:rPr>
          <w:rFonts w:ascii="宋体" w:hAnsi="宋体"/>
          <w:b/>
          <w:bCs/>
          <w:color w:val="auto"/>
          <w:szCs w:val="21"/>
          <w:highlight w:val="none"/>
        </w:rPr>
        <w:t>16</w:t>
      </w:r>
      <w:r>
        <w:rPr>
          <w:rFonts w:hint="eastAsia" w:ascii="宋体" w:hAnsi="宋体"/>
          <w:b/>
          <w:bCs/>
          <w:color w:val="auto"/>
          <w:szCs w:val="21"/>
          <w:highlight w:val="none"/>
        </w:rPr>
        <w:t xml:space="preserve"> </w:t>
      </w:r>
      <w:r>
        <w:rPr>
          <w:rFonts w:hint="eastAsia" w:ascii="宋体" w:hAnsi="宋体"/>
          <w:b/>
          <w:bCs/>
          <w:color w:val="auto"/>
          <w:szCs w:val="21"/>
          <w:highlight w:val="none"/>
          <w:lang w:val="zh-CN"/>
        </w:rPr>
        <w:t>合同使用的文字和</w:t>
      </w:r>
      <w:r>
        <w:rPr>
          <w:rFonts w:ascii="宋体" w:hAnsi="宋体"/>
          <w:b/>
          <w:bCs/>
          <w:color w:val="auto"/>
          <w:szCs w:val="21"/>
          <w:highlight w:val="none"/>
          <w:lang w:val="zh-CN"/>
        </w:rPr>
        <w:t>适用的法律</w:t>
      </w:r>
      <w:bookmarkEnd w:id="237"/>
      <w:bookmarkEnd w:id="238"/>
      <w:bookmarkEnd w:id="239"/>
      <w:bookmarkEnd w:id="240"/>
      <w:bookmarkEnd w:id="241"/>
      <w:bookmarkEnd w:id="242"/>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16.1合同使用汉语</w:t>
      </w:r>
      <w:r>
        <w:rPr>
          <w:rFonts w:hint="eastAsia" w:ascii="宋体" w:hAnsi="宋体"/>
          <w:color w:val="auto"/>
          <w:szCs w:val="21"/>
          <w:highlight w:val="none"/>
        </w:rPr>
        <w:t>进行</w:t>
      </w:r>
      <w:r>
        <w:rPr>
          <w:rFonts w:ascii="宋体" w:hAnsi="宋体"/>
          <w:color w:val="auto"/>
          <w:szCs w:val="21"/>
          <w:highlight w:val="none"/>
        </w:rPr>
        <w:t>书</w:t>
      </w:r>
      <w:r>
        <w:rPr>
          <w:rFonts w:hint="eastAsia" w:ascii="宋体" w:hAnsi="宋体"/>
          <w:color w:val="auto"/>
          <w:szCs w:val="21"/>
          <w:highlight w:val="none"/>
        </w:rPr>
        <w:t>写、</w:t>
      </w:r>
      <w:r>
        <w:rPr>
          <w:rFonts w:ascii="宋体" w:hAnsi="宋体"/>
          <w:color w:val="auto"/>
          <w:szCs w:val="21"/>
          <w:highlight w:val="none"/>
        </w:rPr>
        <w:t>变更和解释</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16</w:t>
      </w:r>
      <w:r>
        <w:rPr>
          <w:rFonts w:hint="eastAsia" w:ascii="宋体" w:hAnsi="宋体"/>
          <w:color w:val="auto"/>
          <w:szCs w:val="21"/>
          <w:highlight w:val="none"/>
        </w:rPr>
        <w:t>.2合同适用</w:t>
      </w:r>
      <w:r>
        <w:rPr>
          <w:rFonts w:ascii="宋体" w:hAnsi="宋体"/>
          <w:color w:val="auto"/>
          <w:szCs w:val="21"/>
          <w:highlight w:val="none"/>
        </w:rPr>
        <w:t>中华人民共和国法律。</w:t>
      </w:r>
    </w:p>
    <w:p>
      <w:pPr>
        <w:spacing w:line="360" w:lineRule="auto"/>
        <w:ind w:firstLine="437"/>
        <w:outlineLvl w:val="3"/>
        <w:rPr>
          <w:rFonts w:ascii="宋体" w:hAnsi="宋体"/>
          <w:b/>
          <w:color w:val="auto"/>
          <w:szCs w:val="21"/>
          <w:highlight w:val="none"/>
        </w:rPr>
      </w:pPr>
      <w:bookmarkStart w:id="243" w:name="_Toc6885"/>
      <w:bookmarkStart w:id="244" w:name="_Toc14001"/>
      <w:bookmarkStart w:id="245" w:name="_Toc19890"/>
      <w:r>
        <w:rPr>
          <w:rFonts w:hint="eastAsia" w:ascii="宋体" w:hAnsi="宋体"/>
          <w:b/>
          <w:bCs/>
          <w:color w:val="auto"/>
          <w:szCs w:val="21"/>
          <w:highlight w:val="none"/>
          <w:lang w:val="zh-CN"/>
        </w:rPr>
        <w:t>2.</w:t>
      </w:r>
      <w:r>
        <w:rPr>
          <w:rFonts w:ascii="宋体" w:hAnsi="宋体"/>
          <w:b/>
          <w:bCs/>
          <w:color w:val="auto"/>
          <w:szCs w:val="21"/>
          <w:highlight w:val="none"/>
          <w:lang w:val="zh-CN"/>
        </w:rPr>
        <w:t>1</w:t>
      </w:r>
      <w:r>
        <w:rPr>
          <w:rFonts w:hint="eastAsia" w:ascii="宋体" w:hAnsi="宋体"/>
          <w:b/>
          <w:bCs/>
          <w:color w:val="auto"/>
          <w:szCs w:val="21"/>
          <w:highlight w:val="none"/>
        </w:rPr>
        <w:t>7</w:t>
      </w:r>
      <w:r>
        <w:rPr>
          <w:rFonts w:hint="eastAsia" w:ascii="宋体" w:hAnsi="宋体"/>
          <w:b/>
          <w:bCs/>
          <w:color w:val="auto"/>
          <w:szCs w:val="21"/>
          <w:highlight w:val="none"/>
          <w:lang w:val="zh-CN"/>
        </w:rPr>
        <w:t xml:space="preserve"> 合同份数</w:t>
      </w:r>
      <w:bookmarkEnd w:id="243"/>
      <w:bookmarkEnd w:id="244"/>
      <w:bookmarkEnd w:id="245"/>
    </w:p>
    <w:p>
      <w:pPr>
        <w:spacing w:line="360" w:lineRule="auto"/>
        <w:ind w:firstLine="435"/>
        <w:rPr>
          <w:rFonts w:ascii="宋体" w:hAnsi="宋体"/>
          <w:color w:val="auto"/>
          <w:szCs w:val="21"/>
          <w:highlight w:val="none"/>
        </w:rPr>
      </w:pPr>
      <w:r>
        <w:rPr>
          <w:rFonts w:ascii="宋体" w:hAnsi="宋体"/>
          <w:color w:val="auto"/>
          <w:szCs w:val="21"/>
          <w:highlight w:val="none"/>
        </w:rPr>
        <w:t>合同份数按</w:t>
      </w:r>
      <w:r>
        <w:rPr>
          <w:rFonts w:ascii="宋体" w:hAnsi="宋体"/>
          <w:b/>
          <w:i/>
          <w:color w:val="auto"/>
          <w:szCs w:val="21"/>
          <w:highlight w:val="none"/>
          <w:u w:val="single"/>
        </w:rPr>
        <w:t>合同专用条款</w:t>
      </w:r>
      <w:r>
        <w:rPr>
          <w:rFonts w:ascii="宋体" w:hAnsi="宋体"/>
          <w:color w:val="auto"/>
          <w:szCs w:val="21"/>
          <w:highlight w:val="none"/>
        </w:rPr>
        <w:t>规定</w:t>
      </w:r>
      <w:r>
        <w:rPr>
          <w:rFonts w:hint="eastAsia" w:ascii="宋体" w:hAnsi="宋体"/>
          <w:color w:val="auto"/>
          <w:szCs w:val="21"/>
          <w:highlight w:val="none"/>
        </w:rPr>
        <w:t>，</w:t>
      </w:r>
      <w:r>
        <w:rPr>
          <w:rFonts w:ascii="宋体" w:hAnsi="宋体"/>
          <w:color w:val="auto"/>
          <w:szCs w:val="21"/>
          <w:highlight w:val="none"/>
        </w:rPr>
        <w:t>每份均具有同等法律效力</w:t>
      </w:r>
      <w:r>
        <w:rPr>
          <w:rFonts w:hint="eastAsia" w:ascii="宋体" w:hAnsi="宋体"/>
          <w:color w:val="auto"/>
          <w:szCs w:val="21"/>
          <w:highlight w:val="none"/>
        </w:rPr>
        <w:t>。</w:t>
      </w:r>
    </w:p>
    <w:p>
      <w:pPr>
        <w:spacing w:line="360" w:lineRule="auto"/>
        <w:jc w:val="center"/>
        <w:outlineLvl w:val="2"/>
        <w:rPr>
          <w:rFonts w:hint="eastAsia" w:ascii="宋体" w:hAnsi="宋体"/>
          <w:b/>
          <w:color w:val="auto"/>
          <w:szCs w:val="21"/>
          <w:highlight w:val="none"/>
        </w:rPr>
      </w:pPr>
      <w:bookmarkStart w:id="246" w:name="_Toc331685784"/>
    </w:p>
    <w:p>
      <w:pPr>
        <w:spacing w:line="360" w:lineRule="auto"/>
        <w:jc w:val="center"/>
        <w:outlineLvl w:val="2"/>
        <w:rPr>
          <w:rFonts w:ascii="宋体" w:hAnsi="宋体"/>
          <w:b/>
          <w:color w:val="auto"/>
          <w:szCs w:val="21"/>
          <w:highlight w:val="none"/>
        </w:rPr>
      </w:pPr>
      <w:r>
        <w:rPr>
          <w:rFonts w:hint="eastAsia" w:ascii="宋体" w:hAnsi="宋体"/>
          <w:b/>
          <w:color w:val="auto"/>
          <w:szCs w:val="21"/>
          <w:highlight w:val="none"/>
        </w:rPr>
        <w:t>第三部分</w:t>
      </w:r>
      <w:r>
        <w:rPr>
          <w:rFonts w:ascii="宋体" w:hAnsi="宋体"/>
          <w:b/>
          <w:color w:val="auto"/>
          <w:szCs w:val="21"/>
          <w:highlight w:val="none"/>
        </w:rPr>
        <w:t xml:space="preserve"> </w:t>
      </w:r>
      <w:r>
        <w:rPr>
          <w:rFonts w:hint="eastAsia" w:ascii="宋体" w:hAnsi="宋体"/>
          <w:b/>
          <w:color w:val="auto"/>
          <w:szCs w:val="21"/>
          <w:highlight w:val="none"/>
        </w:rPr>
        <w:t>合同专用条款</w:t>
      </w:r>
    </w:p>
    <w:p>
      <w:pPr>
        <w:spacing w:line="360" w:lineRule="auto"/>
        <w:ind w:firstLine="435"/>
        <w:rPr>
          <w:rFonts w:ascii="宋体" w:hAnsi="宋体"/>
          <w:color w:val="auto"/>
          <w:szCs w:val="21"/>
          <w:highlight w:val="none"/>
        </w:rPr>
      </w:pPr>
      <w:r>
        <w:rPr>
          <w:rFonts w:hint="eastAsia" w:ascii="宋体" w:hAnsi="宋体"/>
          <w:color w:val="auto"/>
          <w:szCs w:val="21"/>
          <w:highlight w:val="none"/>
        </w:rPr>
        <w:t>本部分</w:t>
      </w:r>
      <w:r>
        <w:rPr>
          <w:rFonts w:ascii="宋体" w:hAnsi="宋体"/>
          <w:color w:val="auto"/>
          <w:szCs w:val="21"/>
          <w:highlight w:val="none"/>
        </w:rPr>
        <w:t>是对</w:t>
      </w:r>
      <w:r>
        <w:rPr>
          <w:rFonts w:hint="eastAsia" w:ascii="宋体" w:hAnsi="宋体"/>
          <w:color w:val="auto"/>
          <w:szCs w:val="21"/>
          <w:highlight w:val="none"/>
        </w:rPr>
        <w:t>前两</w:t>
      </w:r>
      <w:r>
        <w:rPr>
          <w:rFonts w:ascii="宋体" w:hAnsi="宋体"/>
          <w:color w:val="auto"/>
          <w:szCs w:val="21"/>
          <w:highlight w:val="none"/>
        </w:rPr>
        <w:t>部分的补充和修改</w:t>
      </w:r>
      <w:r>
        <w:rPr>
          <w:rFonts w:hint="eastAsia" w:ascii="宋体" w:hAnsi="宋体"/>
          <w:color w:val="auto"/>
          <w:szCs w:val="21"/>
          <w:highlight w:val="none"/>
        </w:rPr>
        <w:t>，</w:t>
      </w:r>
      <w:r>
        <w:rPr>
          <w:rFonts w:ascii="宋体" w:hAnsi="宋体"/>
          <w:color w:val="auto"/>
          <w:szCs w:val="21"/>
          <w:highlight w:val="none"/>
        </w:rPr>
        <w:t>如果</w:t>
      </w:r>
      <w:r>
        <w:rPr>
          <w:rFonts w:hint="eastAsia" w:ascii="宋体" w:hAnsi="宋体"/>
          <w:color w:val="auto"/>
          <w:szCs w:val="21"/>
          <w:highlight w:val="none"/>
        </w:rPr>
        <w:t>前两</w:t>
      </w:r>
      <w:r>
        <w:rPr>
          <w:rFonts w:ascii="宋体" w:hAnsi="宋体"/>
          <w:color w:val="auto"/>
          <w:szCs w:val="21"/>
          <w:highlight w:val="none"/>
        </w:rPr>
        <w:t>部分和本部分的约定不一致</w:t>
      </w:r>
      <w:r>
        <w:rPr>
          <w:rFonts w:hint="eastAsia" w:ascii="宋体" w:hAnsi="宋体"/>
          <w:color w:val="auto"/>
          <w:szCs w:val="21"/>
          <w:highlight w:val="none"/>
        </w:rPr>
        <w:t>，</w:t>
      </w:r>
      <w:r>
        <w:rPr>
          <w:rFonts w:ascii="宋体" w:hAnsi="宋体"/>
          <w:color w:val="auto"/>
          <w:szCs w:val="21"/>
          <w:highlight w:val="none"/>
        </w:rPr>
        <w:t>应以本部分的约定为准</w:t>
      </w:r>
      <w:r>
        <w:rPr>
          <w:rFonts w:hint="eastAsia" w:ascii="宋体" w:hAnsi="宋体"/>
          <w:color w:val="auto"/>
          <w:szCs w:val="21"/>
          <w:highlight w:val="none"/>
        </w:rPr>
        <w:t>。</w:t>
      </w:r>
      <w:r>
        <w:rPr>
          <w:rFonts w:ascii="宋体" w:hAnsi="宋体"/>
          <w:color w:val="auto"/>
          <w:szCs w:val="21"/>
          <w:highlight w:val="none"/>
        </w:rPr>
        <w:t>本部分的条款号应与</w:t>
      </w:r>
      <w:r>
        <w:rPr>
          <w:rFonts w:hint="eastAsia" w:ascii="宋体" w:hAnsi="宋体"/>
          <w:color w:val="auto"/>
          <w:szCs w:val="21"/>
          <w:highlight w:val="none"/>
        </w:rPr>
        <w:t>前两部分</w:t>
      </w:r>
      <w:r>
        <w:rPr>
          <w:rFonts w:ascii="宋体" w:hAnsi="宋体"/>
          <w:color w:val="auto"/>
          <w:szCs w:val="21"/>
          <w:highlight w:val="none"/>
        </w:rPr>
        <w:t>的条款号保持对应</w:t>
      </w:r>
      <w:r>
        <w:rPr>
          <w:rFonts w:hint="eastAsia" w:ascii="宋体" w:hAnsi="宋体"/>
          <w:color w:val="auto"/>
          <w:szCs w:val="21"/>
          <w:highlight w:val="none"/>
        </w:rPr>
        <w:t>；与前两部分</w:t>
      </w:r>
      <w:r>
        <w:rPr>
          <w:rFonts w:ascii="宋体" w:hAnsi="宋体"/>
          <w:color w:val="auto"/>
          <w:szCs w:val="21"/>
          <w:highlight w:val="none"/>
        </w:rPr>
        <w:t>无对应关系的内容可另行编制条款号</w:t>
      </w:r>
      <w:r>
        <w:rPr>
          <w:rFonts w:hint="eastAsia" w:ascii="宋体" w:hAnsi="宋体"/>
          <w:color w:val="auto"/>
          <w:szCs w:val="21"/>
          <w:highlight w:val="none"/>
        </w:rPr>
        <w:t>。</w:t>
      </w:r>
    </w:p>
    <w:tbl>
      <w:tblPr>
        <w:tblStyle w:val="3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793"/>
        <w:gridCol w:w="756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793" w:type="dxa"/>
            <w:tcBorders>
              <w:left w:val="single" w:color="auto" w:sz="4" w:space="0"/>
            </w:tcBorders>
            <w:noWrap w:val="0"/>
            <w:vAlign w:val="center"/>
          </w:tcPr>
          <w:p>
            <w:pPr>
              <w:jc w:val="center"/>
              <w:rPr>
                <w:rFonts w:ascii="宋体" w:hAnsi="宋体"/>
                <w:b/>
                <w:color w:val="auto"/>
                <w:szCs w:val="21"/>
                <w:highlight w:val="none"/>
              </w:rPr>
            </w:pPr>
            <w:r>
              <w:rPr>
                <w:rFonts w:ascii="宋体" w:hAnsi="宋体"/>
                <w:b/>
                <w:color w:val="auto"/>
                <w:szCs w:val="21"/>
                <w:highlight w:val="none"/>
              </w:rPr>
              <w:t>条款号</w:t>
            </w:r>
          </w:p>
        </w:tc>
        <w:tc>
          <w:tcPr>
            <w:tcW w:w="7569" w:type="dxa"/>
            <w:noWrap w:val="0"/>
            <w:vAlign w:val="center"/>
          </w:tcPr>
          <w:p>
            <w:pPr>
              <w:jc w:val="center"/>
              <w:rPr>
                <w:rFonts w:ascii="宋体" w:hAnsi="宋体"/>
                <w:b/>
                <w:color w:val="auto"/>
                <w:szCs w:val="21"/>
                <w:highlight w:val="none"/>
              </w:rPr>
            </w:pPr>
            <w:r>
              <w:rPr>
                <w:rFonts w:ascii="宋体" w:hAnsi="宋体"/>
                <w:b/>
                <w:color w:val="auto"/>
                <w:szCs w:val="21"/>
                <w:highlight w:val="none"/>
              </w:rPr>
              <w:t>约定内容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top w:val="single" w:color="auto" w:sz="6" w:space="0"/>
              <w:left w:val="single" w:color="auto" w:sz="4" w:space="0"/>
              <w:bottom w:val="single" w:color="auto" w:sz="6" w:space="0"/>
              <w:right w:val="single" w:color="auto" w:sz="6" w:space="0"/>
            </w:tcBorders>
            <w:noWrap w:val="0"/>
            <w:vAlign w:val="center"/>
          </w:tcPr>
          <w:p>
            <w:pPr>
              <w:spacing w:line="560" w:lineRule="exact"/>
              <w:rPr>
                <w:rFonts w:ascii="宋体" w:hAnsi="宋体"/>
                <w:color w:val="auto"/>
                <w:szCs w:val="21"/>
                <w:highlight w:val="none"/>
              </w:rPr>
            </w:pPr>
          </w:p>
        </w:tc>
        <w:tc>
          <w:tcPr>
            <w:tcW w:w="7569" w:type="dxa"/>
            <w:tcBorders>
              <w:top w:val="single" w:color="auto" w:sz="6" w:space="0"/>
              <w:left w:val="single" w:color="auto" w:sz="6" w:space="0"/>
              <w:bottom w:val="single" w:color="auto" w:sz="6" w:space="0"/>
              <w:right w:val="single" w:color="auto" w:sz="6" w:space="0"/>
            </w:tcBorders>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top w:val="single" w:color="auto" w:sz="6" w:space="0"/>
              <w:left w:val="single" w:color="auto" w:sz="4" w:space="0"/>
              <w:bottom w:val="single" w:color="auto" w:sz="6" w:space="0"/>
              <w:right w:val="single" w:color="auto" w:sz="6" w:space="0"/>
            </w:tcBorders>
            <w:noWrap w:val="0"/>
            <w:vAlign w:val="center"/>
          </w:tcPr>
          <w:p>
            <w:pPr>
              <w:spacing w:line="560" w:lineRule="exact"/>
              <w:rPr>
                <w:rFonts w:ascii="宋体" w:hAnsi="宋体"/>
                <w:color w:val="auto"/>
                <w:szCs w:val="21"/>
                <w:highlight w:val="none"/>
              </w:rPr>
            </w:pPr>
          </w:p>
        </w:tc>
        <w:tc>
          <w:tcPr>
            <w:tcW w:w="7569" w:type="dxa"/>
            <w:tcBorders>
              <w:top w:val="single" w:color="auto" w:sz="6" w:space="0"/>
              <w:left w:val="single" w:color="auto" w:sz="6" w:space="0"/>
              <w:bottom w:val="single" w:color="auto" w:sz="6" w:space="0"/>
              <w:right w:val="single" w:color="auto" w:sz="6" w:space="0"/>
            </w:tcBorders>
            <w:noWrap w:val="0"/>
            <w:vAlign w:val="center"/>
          </w:tcPr>
          <w:p>
            <w:pPr>
              <w:spacing w:line="560" w:lineRule="exact"/>
              <w:rPr>
                <w:rFonts w:ascii="宋体" w:hAnsi="宋体"/>
                <w:color w:val="auto"/>
                <w:szCs w:val="21"/>
                <w:highlight w:val="none"/>
              </w:rPr>
            </w:pPr>
          </w:p>
        </w:tc>
      </w:tr>
    </w:tbl>
    <w:p>
      <w:pPr>
        <w:rPr>
          <w:rFonts w:hint="eastAsia" w:ascii="宋体" w:hAnsi="宋体"/>
          <w:b/>
          <w:color w:val="auto"/>
          <w:szCs w:val="21"/>
          <w:highlight w:val="none"/>
        </w:rPr>
      </w:pPr>
    </w:p>
    <w:bookmarkEnd w:id="246"/>
    <w:p>
      <w:pPr>
        <w:numPr>
          <w:ilvl w:val="0"/>
          <w:numId w:val="0"/>
        </w:numPr>
        <w:spacing w:before="156" w:beforeLines="50" w:after="156" w:afterLines="50"/>
        <w:jc w:val="both"/>
        <w:outlineLvl w:val="0"/>
        <w:rPr>
          <w:rFonts w:hint="default" w:ascii="宋体"/>
          <w:b/>
          <w:color w:val="auto"/>
          <w:sz w:val="32"/>
          <w:szCs w:val="32"/>
          <w:highlight w:val="none"/>
          <w:lang w:val="en-US" w:eastAsia="zh-CN"/>
        </w:rPr>
      </w:pPr>
    </w:p>
    <w:p>
      <w:pPr>
        <w:rPr>
          <w:rFonts w:hint="eastAsia" w:ascii="宋体"/>
          <w:b/>
          <w:color w:val="auto"/>
          <w:sz w:val="32"/>
          <w:szCs w:val="32"/>
          <w:highlight w:val="none"/>
        </w:rPr>
      </w:pPr>
    </w:p>
    <w:p>
      <w:pPr>
        <w:rPr>
          <w:rFonts w:hint="eastAsia" w:ascii="宋体"/>
          <w:b/>
          <w:color w:val="auto"/>
          <w:sz w:val="32"/>
          <w:szCs w:val="32"/>
          <w:highlight w:val="none"/>
        </w:rPr>
      </w:pPr>
      <w:r>
        <w:rPr>
          <w:rFonts w:hint="eastAsia" w:ascii="宋体"/>
          <w:b/>
          <w:color w:val="auto"/>
          <w:sz w:val="32"/>
          <w:szCs w:val="32"/>
          <w:highlight w:val="none"/>
        </w:rPr>
        <w:br w:type="page"/>
      </w:r>
    </w:p>
    <w:p>
      <w:pPr>
        <w:spacing w:before="156" w:beforeLines="50" w:after="156" w:afterLines="50"/>
        <w:jc w:val="center"/>
        <w:outlineLvl w:val="0"/>
        <w:rPr>
          <w:rFonts w:hint="eastAsia" w:ascii="宋体"/>
          <w:b/>
          <w:color w:val="auto"/>
          <w:sz w:val="32"/>
          <w:szCs w:val="32"/>
          <w:highlight w:val="none"/>
        </w:rPr>
      </w:pPr>
    </w:p>
    <w:p>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第</w:t>
      </w:r>
      <w:r>
        <w:rPr>
          <w:rFonts w:hint="eastAsia" w:ascii="宋体"/>
          <w:b/>
          <w:color w:val="auto"/>
          <w:sz w:val="32"/>
          <w:szCs w:val="32"/>
          <w:highlight w:val="none"/>
          <w:lang w:val="en-US" w:eastAsia="zh-CN"/>
        </w:rPr>
        <w:t>六</w:t>
      </w:r>
      <w:r>
        <w:rPr>
          <w:rFonts w:hint="eastAsia" w:ascii="宋体"/>
          <w:b/>
          <w:color w:val="auto"/>
          <w:sz w:val="32"/>
          <w:szCs w:val="32"/>
          <w:highlight w:val="none"/>
        </w:rPr>
        <w:t>章  投标文件格式</w:t>
      </w:r>
    </w:p>
    <w:p>
      <w:pPr>
        <w:jc w:val="center"/>
        <w:rPr>
          <w:rFonts w:hint="eastAsia" w:eastAsia="黑体"/>
          <w:color w:val="auto"/>
          <w:sz w:val="20"/>
          <w:highlight w:val="none"/>
        </w:rPr>
      </w:pPr>
    </w:p>
    <w:p>
      <w:pPr>
        <w:rPr>
          <w:rFonts w:hint="eastAsia" w:eastAsia="黑体"/>
          <w:color w:val="auto"/>
          <w:sz w:val="20"/>
          <w:highlight w:val="none"/>
        </w:rPr>
      </w:pPr>
    </w:p>
    <w:p>
      <w:pPr>
        <w:rPr>
          <w:rFonts w:hint="eastAsia" w:eastAsia="黑体"/>
          <w:color w:val="auto"/>
          <w:sz w:val="20"/>
          <w:highlight w:val="none"/>
        </w:rPr>
      </w:pPr>
    </w:p>
    <w:p>
      <w:pPr>
        <w:rPr>
          <w:rFonts w:hint="eastAsia" w:eastAsia="黑体"/>
          <w:color w:val="auto"/>
          <w:sz w:val="20"/>
          <w:highlight w:val="none"/>
        </w:rPr>
      </w:pPr>
    </w:p>
    <w:p>
      <w:pPr>
        <w:jc w:val="center"/>
        <w:rPr>
          <w:rFonts w:hint="eastAsia" w:ascii="宋体"/>
          <w:b/>
          <w:color w:val="auto"/>
          <w:sz w:val="44"/>
          <w:szCs w:val="44"/>
          <w:highlight w:val="none"/>
        </w:rPr>
      </w:pPr>
      <w:bookmarkStart w:id="247" w:name="_Toc350698753"/>
      <w:bookmarkStart w:id="248" w:name="_Toc449028949"/>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247"/>
      <w:bookmarkEnd w:id="248"/>
    </w:p>
    <w:p>
      <w:pPr>
        <w:jc w:val="center"/>
        <w:rPr>
          <w:rFonts w:hint="eastAsia" w:eastAsia="黑体"/>
          <w:color w:val="auto"/>
          <w:sz w:val="44"/>
          <w:szCs w:val="44"/>
          <w:highlight w:val="none"/>
        </w:rPr>
      </w:pPr>
    </w:p>
    <w:p>
      <w:pPr>
        <w:jc w:val="center"/>
        <w:rPr>
          <w:rFonts w:hint="eastAsia" w:eastAsia="黑体"/>
          <w:color w:val="auto"/>
          <w:sz w:val="44"/>
          <w:szCs w:val="44"/>
          <w:highlight w:val="none"/>
        </w:rPr>
      </w:pPr>
    </w:p>
    <w:p>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jc w:val="center"/>
        <w:rPr>
          <w:rFonts w:hint="eastAsia" w:ascii="宋体"/>
          <w:color w:val="auto"/>
          <w:sz w:val="28"/>
          <w:szCs w:val="28"/>
          <w:highlight w:val="none"/>
          <w:u w:val="single"/>
        </w:rPr>
      </w:pPr>
      <w:r>
        <w:rPr>
          <w:rFonts w:hint="eastAsia" w:ascii="宋体"/>
          <w:color w:val="auto"/>
          <w:sz w:val="28"/>
          <w:szCs w:val="28"/>
          <w:highlight w:val="none"/>
          <w:lang w:val="en-US" w:eastAsia="zh-CN"/>
        </w:rPr>
        <w:t xml:space="preserve"> </w:t>
      </w: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pPr>
        <w:spacing w:line="720" w:lineRule="auto"/>
        <w:jc w:val="center"/>
        <w:rPr>
          <w:rFonts w:hint="eastAsia" w:ascii="宋体"/>
          <w:b/>
          <w:color w:val="auto"/>
          <w:sz w:val="36"/>
          <w:szCs w:val="36"/>
          <w:highlight w:val="none"/>
        </w:rPr>
      </w:pPr>
    </w:p>
    <w:p>
      <w:pPr>
        <w:spacing w:line="400" w:lineRule="exact"/>
        <w:ind w:firstLine="4130" w:firstLineChars="935"/>
        <w:rPr>
          <w:rFonts w:hint="eastAsia"/>
          <w:b/>
          <w:color w:val="auto"/>
          <w:sz w:val="44"/>
          <w:szCs w:val="44"/>
          <w:highlight w:val="none"/>
        </w:rPr>
      </w:pPr>
    </w:p>
    <w:p>
      <w:pPr>
        <w:spacing w:line="400" w:lineRule="exact"/>
        <w:ind w:firstLine="4130" w:firstLineChars="935"/>
        <w:rPr>
          <w:rFonts w:hint="eastAsia"/>
          <w:b/>
          <w:color w:val="auto"/>
          <w:sz w:val="44"/>
          <w:szCs w:val="44"/>
          <w:highlight w:val="none"/>
        </w:rPr>
      </w:pPr>
    </w:p>
    <w:p>
      <w:pPr>
        <w:spacing w:line="400" w:lineRule="exact"/>
        <w:ind w:firstLine="4130" w:firstLineChars="935"/>
        <w:rPr>
          <w:rFonts w:hint="eastAsia"/>
          <w:b/>
          <w:color w:val="auto"/>
          <w:sz w:val="44"/>
          <w:szCs w:val="44"/>
          <w:highlight w:val="none"/>
        </w:rPr>
      </w:pPr>
    </w:p>
    <w:p>
      <w:pPr>
        <w:jc w:val="center"/>
        <w:rPr>
          <w:rFonts w:hint="eastAsia"/>
          <w:b/>
          <w:color w:val="auto"/>
          <w:sz w:val="44"/>
          <w:szCs w:val="44"/>
          <w:highlight w:val="none"/>
        </w:rPr>
      </w:pPr>
      <w:r>
        <w:rPr>
          <w:rFonts w:hint="eastAsia"/>
          <w:b/>
          <w:color w:val="auto"/>
          <w:sz w:val="36"/>
          <w:szCs w:val="36"/>
          <w:highlight w:val="none"/>
        </w:rPr>
        <w:t>目   录</w:t>
      </w:r>
    </w:p>
    <w:p>
      <w:pPr>
        <w:spacing w:line="400" w:lineRule="exact"/>
        <w:ind w:firstLine="562" w:firstLineChars="200"/>
        <w:rPr>
          <w:rFonts w:hint="eastAsia"/>
          <w:b/>
          <w:color w:val="auto"/>
          <w:sz w:val="28"/>
          <w:szCs w:val="28"/>
          <w:highlight w:val="none"/>
        </w:rPr>
      </w:pPr>
    </w:p>
    <w:p>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有效的营业执照</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3</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pPr>
        <w:spacing w:line="500" w:lineRule="exact"/>
        <w:ind w:firstLine="420" w:firstLineChars="200"/>
        <w:jc w:val="left"/>
        <w:rPr>
          <w:rFonts w:hint="eastAsia" w:ascii="宋体" w:cs="Times New Roman"/>
          <w:color w:val="auto"/>
          <w:szCs w:val="21"/>
          <w:highlight w:val="none"/>
          <w:lang w:val="en-US"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4）服务承诺书</w:t>
      </w:r>
      <w:r>
        <w:rPr>
          <w:rFonts w:hint="eastAsia" w:ascii="宋体"/>
          <w:color w:val="auto"/>
          <w:szCs w:val="21"/>
          <w:highlight w:val="none"/>
        </w:rPr>
        <w:t>（格式见附件）；</w:t>
      </w:r>
    </w:p>
    <w:p>
      <w:pPr>
        <w:spacing w:line="440" w:lineRule="exact"/>
        <w:ind w:left="420"/>
        <w:rPr>
          <w:rFonts w:hint="eastAsia" w:ascii="宋体" w:eastAsia="宋体"/>
          <w:color w:val="auto"/>
          <w:szCs w:val="21"/>
          <w:highlight w:val="none"/>
        </w:rPr>
      </w:pPr>
      <w:r>
        <w:rPr>
          <w:rFonts w:hint="eastAsia" w:ascii="宋体" w:eastAsia="宋体"/>
          <w:color w:val="auto"/>
          <w:szCs w:val="21"/>
          <w:highlight w:val="none"/>
        </w:rPr>
        <w:t>（</w:t>
      </w:r>
      <w:r>
        <w:rPr>
          <w:rFonts w:hint="eastAsia" w:ascii="宋体"/>
          <w:color w:val="auto"/>
          <w:szCs w:val="21"/>
          <w:highlight w:val="none"/>
          <w:lang w:val="en-US" w:eastAsia="zh-CN"/>
        </w:rPr>
        <w:t>5</w:t>
      </w:r>
      <w:r>
        <w:rPr>
          <w:rFonts w:hint="eastAsia" w:ascii="宋体" w:eastAsia="宋体"/>
          <w:color w:val="auto"/>
          <w:szCs w:val="21"/>
          <w:highlight w:val="none"/>
        </w:rPr>
        <w:t>）开标一览表（格式见附件）；</w:t>
      </w:r>
    </w:p>
    <w:p>
      <w:pPr>
        <w:spacing w:line="440" w:lineRule="exact"/>
        <w:ind w:left="420"/>
        <w:rPr>
          <w:rFonts w:hint="eastAsia" w:ascii="宋体" w:eastAsia="宋体"/>
          <w:color w:val="auto"/>
          <w:szCs w:val="21"/>
          <w:highlight w:val="none"/>
        </w:rPr>
      </w:pPr>
      <w:r>
        <w:rPr>
          <w:rFonts w:hint="eastAsia" w:ascii="宋体" w:eastAsia="宋体"/>
          <w:color w:val="auto"/>
          <w:szCs w:val="21"/>
          <w:highlight w:val="none"/>
        </w:rPr>
        <w:t>（</w:t>
      </w:r>
      <w:r>
        <w:rPr>
          <w:rFonts w:hint="eastAsia" w:ascii="宋体"/>
          <w:color w:val="auto"/>
          <w:szCs w:val="21"/>
          <w:highlight w:val="none"/>
          <w:lang w:val="en-US" w:eastAsia="zh-CN"/>
        </w:rPr>
        <w:t>6</w:t>
      </w:r>
      <w:r>
        <w:rPr>
          <w:rFonts w:hint="eastAsia" w:ascii="宋体" w:eastAsia="宋体"/>
          <w:color w:val="auto"/>
          <w:szCs w:val="21"/>
          <w:highlight w:val="none"/>
        </w:rPr>
        <w:t>）投标函（格式见附件）；</w:t>
      </w:r>
    </w:p>
    <w:p>
      <w:pPr>
        <w:spacing w:line="440" w:lineRule="exact"/>
        <w:ind w:left="420"/>
        <w:rPr>
          <w:rFonts w:hint="default" w:ascii="宋体" w:eastAsia="宋体"/>
          <w:color w:val="auto"/>
          <w:szCs w:val="21"/>
          <w:highlight w:val="none"/>
          <w:lang w:val="en-US" w:eastAsia="zh-CN"/>
        </w:rPr>
        <w:sectPr>
          <w:pgSz w:w="11906" w:h="16838"/>
          <w:pgMar w:top="1440" w:right="1800" w:bottom="1440" w:left="1800" w:header="851" w:footer="992" w:gutter="0"/>
          <w:pgNumType w:fmt="numberInDash"/>
          <w:cols w:space="720" w:num="1"/>
          <w:docGrid w:type="lines" w:linePitch="312" w:charSpace="0"/>
        </w:sectPr>
      </w:pPr>
      <w:r>
        <w:rPr>
          <w:rFonts w:hint="eastAsia" w:ascii="宋体" w:eastAsia="宋体"/>
          <w:color w:val="auto"/>
          <w:szCs w:val="21"/>
          <w:highlight w:val="none"/>
          <w:lang w:eastAsia="zh-CN"/>
        </w:rPr>
        <w:t>（</w:t>
      </w:r>
      <w:r>
        <w:rPr>
          <w:rFonts w:hint="eastAsia" w:ascii="宋体"/>
          <w:color w:val="auto"/>
          <w:szCs w:val="21"/>
          <w:highlight w:val="none"/>
          <w:lang w:val="en-US" w:eastAsia="zh-CN"/>
        </w:rPr>
        <w:t>7</w:t>
      </w:r>
      <w:r>
        <w:rPr>
          <w:rFonts w:hint="eastAsia" w:ascii="宋体" w:eastAsia="宋体"/>
          <w:color w:val="auto"/>
          <w:szCs w:val="21"/>
          <w:highlight w:val="none"/>
          <w:lang w:val="en-US" w:eastAsia="zh-CN"/>
        </w:rPr>
        <w:t>）投标人认为需要提供的其他证明材料</w:t>
      </w:r>
    </w:p>
    <w:p>
      <w:pPr>
        <w:spacing w:line="360" w:lineRule="auto"/>
        <w:rPr>
          <w:rFonts w:hint="eastAsia"/>
          <w:b/>
          <w:color w:val="auto"/>
          <w:sz w:val="28"/>
          <w:szCs w:val="28"/>
          <w:highlight w:val="none"/>
        </w:rPr>
      </w:pPr>
      <w:r>
        <w:rPr>
          <w:rFonts w:hint="eastAsia"/>
          <w:b/>
          <w:color w:val="auto"/>
          <w:sz w:val="28"/>
          <w:szCs w:val="28"/>
          <w:highlight w:val="none"/>
        </w:rPr>
        <w:t>附件1</w:t>
      </w:r>
    </w:p>
    <w:p>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pPr>
        <w:pStyle w:val="119"/>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pPr>
        <w:spacing w:line="360" w:lineRule="exact"/>
        <w:ind w:firstLine="413" w:firstLineChars="147"/>
        <w:rPr>
          <w:rFonts w:hint="eastAsia"/>
          <w:b/>
          <w:color w:val="auto"/>
          <w:sz w:val="28"/>
          <w:szCs w:val="28"/>
          <w:highlight w:val="none"/>
          <w:u w:val="single"/>
        </w:rPr>
      </w:pPr>
    </w:p>
    <w:p>
      <w:pPr>
        <w:spacing w:line="360" w:lineRule="exact"/>
        <w:ind w:firstLine="413" w:firstLineChars="147"/>
        <w:rPr>
          <w:rFonts w:hint="eastAsia"/>
          <w:b/>
          <w:color w:val="auto"/>
          <w:sz w:val="28"/>
          <w:szCs w:val="28"/>
          <w:highlight w:val="none"/>
          <w:u w:val="single"/>
        </w:rPr>
      </w:pPr>
    </w:p>
    <w:p>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pPr>
        <w:spacing w:line="360" w:lineRule="auto"/>
        <w:jc w:val="center"/>
        <w:rPr>
          <w:rFonts w:hint="eastAsia"/>
          <w:b/>
          <w:color w:val="auto"/>
          <w:sz w:val="28"/>
          <w:szCs w:val="28"/>
          <w:highlight w:val="none"/>
        </w:rPr>
      </w:pPr>
      <w:bookmarkStart w:id="249" w:name="_Toc440443268"/>
      <w:bookmarkStart w:id="250" w:name="_Toc449028950"/>
      <w:r>
        <w:rPr>
          <w:rFonts w:hint="eastAsia"/>
          <w:b/>
          <w:color w:val="auto"/>
          <w:sz w:val="28"/>
          <w:szCs w:val="28"/>
          <w:highlight w:val="none"/>
        </w:rPr>
        <w:t>诚信投标承诺书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 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pPr>
        <w:spacing w:line="500" w:lineRule="exact"/>
        <w:ind w:firstLine="420" w:firstLineChars="200"/>
        <w:rPr>
          <w:rFonts w:hint="eastAsia" w:ascii="宋体" w:hAnsi="宋体"/>
          <w:color w:val="auto"/>
          <w:szCs w:val="21"/>
          <w:highlight w:val="none"/>
        </w:rPr>
      </w:pPr>
    </w:p>
    <w:p>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pPr>
        <w:spacing w:line="360" w:lineRule="auto"/>
        <w:jc w:val="center"/>
        <w:rPr>
          <w:rFonts w:hint="eastAsia"/>
          <w:b/>
          <w:color w:val="auto"/>
          <w:sz w:val="28"/>
          <w:szCs w:val="28"/>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rPr>
          <w:rFonts w:hint="eastAsia" w:ascii="宋体"/>
          <w:b/>
          <w:color w:val="auto"/>
          <w:sz w:val="44"/>
          <w:szCs w:val="44"/>
          <w:highlight w:val="none"/>
          <w:lang w:val="en-US" w:eastAsia="zh-CN"/>
        </w:rPr>
      </w:pPr>
      <w:r>
        <w:rPr>
          <w:rFonts w:hint="eastAsia" w:ascii="宋体"/>
          <w:b/>
          <w:color w:val="auto"/>
          <w:sz w:val="44"/>
          <w:szCs w:val="44"/>
          <w:highlight w:val="none"/>
          <w:lang w:val="en-US" w:eastAsia="zh-CN"/>
        </w:rPr>
        <w:br w:type="page"/>
      </w:r>
    </w:p>
    <w:p>
      <w:pPr>
        <w:spacing w:line="360" w:lineRule="exact"/>
        <w:rPr>
          <w:rFonts w:hint="eastAsia" w:ascii="宋体"/>
          <w:b/>
          <w:color w:val="auto"/>
          <w:sz w:val="30"/>
          <w:szCs w:val="30"/>
          <w:highlight w:val="none"/>
        </w:rPr>
      </w:pPr>
    </w:p>
    <w:bookmarkEnd w:id="249"/>
    <w:bookmarkEnd w:id="250"/>
    <w:p>
      <w:pPr>
        <w:spacing w:line="360" w:lineRule="auto"/>
        <w:rPr>
          <w:rFonts w:hint="eastAsia" w:eastAsia="宋体"/>
          <w:b/>
          <w:color w:val="auto"/>
          <w:sz w:val="28"/>
          <w:szCs w:val="28"/>
          <w:highlight w:val="none"/>
          <w:lang w:eastAsia="zh-CN"/>
        </w:rPr>
      </w:pPr>
      <w:r>
        <w:rPr>
          <w:rFonts w:hint="eastAsia"/>
          <w:b/>
          <w:color w:val="auto"/>
          <w:sz w:val="28"/>
          <w:szCs w:val="28"/>
          <w:highlight w:val="none"/>
        </w:rPr>
        <w:t>附件</w:t>
      </w:r>
      <w:r>
        <w:rPr>
          <w:rFonts w:hint="eastAsia"/>
          <w:b/>
          <w:color w:val="auto"/>
          <w:sz w:val="28"/>
          <w:szCs w:val="28"/>
          <w:highlight w:val="none"/>
          <w:lang w:val="en-US" w:eastAsia="zh-CN"/>
        </w:rPr>
        <w:t>3</w:t>
      </w:r>
    </w:p>
    <w:p>
      <w:pPr>
        <w:jc w:val="center"/>
        <w:rPr>
          <w:rFonts w:hint="eastAsia" w:ascii="宋体"/>
          <w:b/>
          <w:color w:val="auto"/>
          <w:sz w:val="30"/>
          <w:szCs w:val="30"/>
          <w:highlight w:val="none"/>
        </w:rPr>
      </w:pPr>
      <w:r>
        <w:rPr>
          <w:rFonts w:hint="eastAsia" w:ascii="宋体"/>
          <w:b/>
          <w:color w:val="auto"/>
          <w:sz w:val="30"/>
          <w:szCs w:val="30"/>
          <w:highlight w:val="none"/>
        </w:rPr>
        <w:t>服务承诺书</w:t>
      </w:r>
    </w:p>
    <w:p>
      <w:pPr>
        <w:ind w:firstLine="480" w:firstLineChars="200"/>
        <w:rPr>
          <w:rFonts w:hint="eastAsia" w:ascii="宋体"/>
          <w:color w:val="auto"/>
          <w:sz w:val="24"/>
          <w:highlight w:val="none"/>
        </w:rPr>
      </w:pPr>
    </w:p>
    <w:p>
      <w:pPr>
        <w:ind w:firstLine="480" w:firstLineChars="200"/>
        <w:rPr>
          <w:rFonts w:hint="eastAsia" w:ascii="宋体"/>
          <w:b/>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w:t>
      </w:r>
      <w:r>
        <w:rPr>
          <w:rFonts w:hint="eastAsia" w:ascii="宋体"/>
          <w:color w:val="auto"/>
          <w:sz w:val="24"/>
          <w:highlight w:val="none"/>
        </w:rPr>
        <w:t>：</w:t>
      </w:r>
    </w:p>
    <w:p>
      <w:pPr>
        <w:spacing w:line="800" w:lineRule="exact"/>
        <w:ind w:firstLine="480" w:firstLineChars="200"/>
        <w:rPr>
          <w:rFonts w:hint="eastAsia" w:ascii="宋体"/>
          <w:color w:val="auto"/>
          <w:sz w:val="24"/>
          <w:highlight w:val="none"/>
        </w:rPr>
      </w:pPr>
      <w:r>
        <w:rPr>
          <w:rFonts w:hint="eastAsia" w:ascii="宋体"/>
          <w:color w:val="auto"/>
          <w:sz w:val="24"/>
          <w:highlight w:val="none"/>
        </w:rPr>
        <w:t>本承诺声明：</w:t>
      </w:r>
      <w:r>
        <w:rPr>
          <w:rFonts w:hint="eastAsia" w:ascii="宋体"/>
          <w:color w:val="auto"/>
          <w:sz w:val="24"/>
          <w:highlight w:val="none"/>
          <w:u w:val="single"/>
        </w:rPr>
        <w:t xml:space="preserve">                   </w:t>
      </w:r>
      <w:r>
        <w:rPr>
          <w:rFonts w:hint="eastAsia" w:ascii="宋体"/>
          <w:color w:val="auto"/>
          <w:sz w:val="24"/>
          <w:highlight w:val="none"/>
        </w:rPr>
        <w:t>（投标人名称）对本招标文件的相关要求完全响应。若有幸中标将严格按照以上承诺进行服务。</w:t>
      </w:r>
    </w:p>
    <w:p>
      <w:pPr>
        <w:spacing w:line="800" w:lineRule="exact"/>
        <w:ind w:firstLine="480" w:firstLineChars="200"/>
        <w:rPr>
          <w:rFonts w:hint="eastAsia" w:ascii="宋体"/>
          <w:color w:val="auto"/>
          <w:sz w:val="24"/>
          <w:highlight w:val="none"/>
        </w:rPr>
      </w:pPr>
      <w:r>
        <w:rPr>
          <w:rFonts w:hint="eastAsia" w:ascii="宋体"/>
          <w:color w:val="auto"/>
          <w:sz w:val="24"/>
          <w:highlight w:val="none"/>
        </w:rPr>
        <w:t>特此声明。</w:t>
      </w:r>
    </w:p>
    <w:p>
      <w:pPr>
        <w:spacing w:line="600" w:lineRule="exact"/>
        <w:rPr>
          <w:rFonts w:hint="eastAsia" w:ascii="宋体"/>
          <w:color w:val="auto"/>
          <w:sz w:val="24"/>
          <w:highlight w:val="none"/>
        </w:rPr>
      </w:pPr>
      <w:r>
        <w:rPr>
          <w:rFonts w:hint="eastAsia" w:ascii="宋体"/>
          <w:color w:val="auto"/>
          <w:sz w:val="24"/>
          <w:highlight w:val="none"/>
        </w:rPr>
        <w:t> </w:t>
      </w:r>
    </w:p>
    <w:p>
      <w:pPr>
        <w:spacing w:line="480" w:lineRule="auto"/>
        <w:ind w:firstLine="480" w:firstLineChars="200"/>
        <w:rPr>
          <w:rFonts w:ascii="宋体" w:hAnsi="宋体"/>
          <w:color w:val="auto"/>
          <w:sz w:val="24"/>
          <w:szCs w:val="21"/>
          <w:highlight w:val="none"/>
        </w:rPr>
      </w:pPr>
      <w:r>
        <w:rPr>
          <w:rFonts w:hint="eastAsia" w:ascii="宋体"/>
          <w:color w:val="auto"/>
          <w:sz w:val="24"/>
          <w:highlight w:val="none"/>
        </w:rPr>
        <w:t xml:space="preserve">                </w:t>
      </w:r>
      <w:r>
        <w:rPr>
          <w:rFonts w:hint="eastAsia" w:ascii="宋体" w:hAnsi="宋体"/>
          <w:color w:val="auto"/>
          <w:sz w:val="24"/>
          <w:szCs w:val="21"/>
          <w:highlight w:val="none"/>
        </w:rPr>
        <w:t>投标人名称：</w:t>
      </w:r>
      <w:r>
        <w:rPr>
          <w:rFonts w:ascii="宋体" w:hAnsi="宋体"/>
          <w:color w:val="auto"/>
          <w:sz w:val="24"/>
          <w:szCs w:val="21"/>
          <w:highlight w:val="none"/>
          <w:u w:val="single"/>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（盖单位章）</w:t>
      </w:r>
    </w:p>
    <w:p>
      <w:pPr>
        <w:spacing w:line="480" w:lineRule="auto"/>
        <w:ind w:firstLine="480" w:firstLineChars="200"/>
        <w:jc w:val="right"/>
        <w:rPr>
          <w:rFonts w:ascii="宋体" w:hAnsi="宋体"/>
          <w:color w:val="auto"/>
          <w:sz w:val="24"/>
          <w:szCs w:val="21"/>
          <w:highlight w:val="none"/>
        </w:rPr>
      </w:pPr>
      <w:r>
        <w:rPr>
          <w:rFonts w:hint="eastAsia" w:ascii="宋体" w:hAnsi="宋体"/>
          <w:color w:val="auto"/>
          <w:sz w:val="24"/>
          <w:szCs w:val="21"/>
          <w:highlight w:val="none"/>
        </w:rPr>
        <w:t>法定代表人：</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w:t>
      </w:r>
      <w:r>
        <w:rPr>
          <w:rFonts w:hint="eastAsia" w:ascii="宋体" w:hAnsi="宋体"/>
          <w:color w:val="auto"/>
          <w:sz w:val="24"/>
          <w:szCs w:val="21"/>
          <w:highlight w:val="none"/>
          <w:lang w:val="en-US" w:eastAsia="zh-CN"/>
        </w:rPr>
        <w:t>签字或盖章</w:t>
      </w:r>
      <w:r>
        <w:rPr>
          <w:rFonts w:hint="eastAsia" w:ascii="宋体" w:hAnsi="宋体"/>
          <w:color w:val="auto"/>
          <w:sz w:val="24"/>
          <w:szCs w:val="21"/>
          <w:highlight w:val="none"/>
        </w:rPr>
        <w:t>)</w:t>
      </w:r>
    </w:p>
    <w:p>
      <w:pPr>
        <w:spacing w:line="480" w:lineRule="auto"/>
        <w:jc w:val="right"/>
        <w:rPr>
          <w:rFonts w:hint="eastAsia"/>
          <w:b/>
          <w:color w:val="auto"/>
          <w:sz w:val="36"/>
          <w:szCs w:val="28"/>
          <w:highlight w:val="none"/>
        </w:rPr>
      </w:pPr>
      <w:r>
        <w:rPr>
          <w:rFonts w:hint="eastAsia" w:ascii="宋体" w:hAnsi="宋体"/>
          <w:color w:val="auto"/>
          <w:sz w:val="24"/>
          <w:szCs w:val="21"/>
          <w:highlight w:val="none"/>
        </w:rPr>
        <w:t xml:space="preserve">                                  日    期：</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年</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月</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日</w:t>
      </w:r>
    </w:p>
    <w:p>
      <w:pPr>
        <w:pStyle w:val="16"/>
        <w:rPr>
          <w:color w:val="auto"/>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rPr>
          <w:b/>
          <w:color w:val="auto"/>
          <w:sz w:val="28"/>
          <w:szCs w:val="28"/>
          <w:highlight w:val="none"/>
        </w:rPr>
      </w:pPr>
    </w:p>
    <w:p>
      <w:pPr>
        <w:pStyle w:val="2"/>
        <w:rPr>
          <w:color w:val="auto"/>
        </w:rPr>
      </w:pPr>
    </w:p>
    <w:p>
      <w:pPr>
        <w:spacing w:line="400" w:lineRule="exact"/>
        <w:ind w:firstLine="562" w:firstLineChars="200"/>
        <w:rPr>
          <w:rFonts w:hint="eastAsia"/>
          <w:b/>
          <w:color w:val="auto"/>
          <w:sz w:val="28"/>
          <w:szCs w:val="28"/>
          <w:highlight w:val="none"/>
        </w:rPr>
      </w:pPr>
    </w:p>
    <w:p>
      <w:pPr>
        <w:spacing w:line="440" w:lineRule="exact"/>
        <w:ind w:left="420"/>
        <w:rPr>
          <w:rFonts w:hint="eastAsia" w:ascii="宋体" w:eastAsia="宋体"/>
          <w:color w:val="auto"/>
          <w:szCs w:val="21"/>
          <w:highlight w:val="none"/>
        </w:rPr>
      </w:pPr>
    </w:p>
    <w:p>
      <w:pPr>
        <w:spacing w:line="360" w:lineRule="exact"/>
        <w:ind w:firstLine="443" w:firstLineChars="147"/>
        <w:rPr>
          <w:rFonts w:hint="eastAsia" w:ascii="宋体" w:hAnsi="宋体"/>
          <w:b/>
          <w:color w:val="auto"/>
          <w:sz w:val="30"/>
          <w:szCs w:val="30"/>
          <w:highlight w:val="none"/>
        </w:rPr>
      </w:pPr>
    </w:p>
    <w:p>
      <w:pPr>
        <w:rPr>
          <w:rFonts w:hint="eastAsia" w:ascii="宋体" w:hAnsi="宋体"/>
          <w:b/>
          <w:color w:val="auto"/>
          <w:sz w:val="30"/>
          <w:szCs w:val="30"/>
          <w:highlight w:val="none"/>
        </w:rPr>
      </w:pPr>
      <w:r>
        <w:rPr>
          <w:rFonts w:hint="eastAsia" w:ascii="宋体" w:hAnsi="宋体"/>
          <w:b/>
          <w:color w:val="auto"/>
          <w:sz w:val="30"/>
          <w:szCs w:val="30"/>
          <w:highlight w:val="none"/>
        </w:rPr>
        <w:br w:type="page"/>
      </w:r>
    </w:p>
    <w:p>
      <w:pPr>
        <w:spacing w:line="360" w:lineRule="exact"/>
        <w:ind w:firstLine="443" w:firstLineChars="147"/>
        <w:rPr>
          <w:rFonts w:hint="eastAsia" w:ascii="宋体" w:hAnsi="宋体" w:eastAsia="宋体"/>
          <w:b/>
          <w:color w:val="auto"/>
          <w:sz w:val="30"/>
          <w:szCs w:val="30"/>
          <w:highlight w:val="none"/>
          <w:lang w:val="en-US"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4</w:t>
      </w:r>
    </w:p>
    <w:p>
      <w:pPr>
        <w:spacing w:line="360" w:lineRule="exact"/>
        <w:ind w:firstLine="472" w:firstLineChars="147"/>
        <w:jc w:val="center"/>
        <w:rPr>
          <w:rFonts w:hint="eastAsia" w:ascii="宋体"/>
          <w:b/>
          <w:color w:val="auto"/>
          <w:sz w:val="32"/>
          <w:szCs w:val="32"/>
          <w:highlight w:val="none"/>
        </w:rPr>
      </w:pPr>
    </w:p>
    <w:p>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开标一览表</w:t>
      </w:r>
    </w:p>
    <w:p>
      <w:pPr>
        <w:spacing w:line="360" w:lineRule="exact"/>
        <w:ind w:firstLine="354" w:firstLineChars="147"/>
        <w:rPr>
          <w:rFonts w:hint="eastAsia" w:ascii="宋体"/>
          <w:b/>
          <w:color w:val="auto"/>
          <w:sz w:val="24"/>
          <w:highlight w:val="none"/>
        </w:rPr>
      </w:pPr>
    </w:p>
    <w:p>
      <w:pPr>
        <w:spacing w:line="360" w:lineRule="exact"/>
        <w:ind w:firstLine="240" w:firstLineChars="100"/>
        <w:rPr>
          <w:rFonts w:hint="eastAsia" w:ascii="宋体"/>
          <w:color w:val="auto"/>
          <w:sz w:val="24"/>
          <w:highlight w:val="none"/>
        </w:rPr>
      </w:pPr>
      <w:r>
        <w:rPr>
          <w:rFonts w:hint="eastAsia" w:ascii="宋体"/>
          <w:color w:val="auto"/>
          <w:sz w:val="24"/>
          <w:highlight w:val="none"/>
        </w:rPr>
        <w:t>（注：开标一览表必须编入投标文件，唱标时，以投标文件中的开标一览表进行唱标）</w:t>
      </w:r>
    </w:p>
    <w:p>
      <w:pPr>
        <w:snapToGrid w:val="0"/>
        <w:spacing w:line="460" w:lineRule="exact"/>
        <w:ind w:left="2940" w:leftChars="1400" w:firstLine="720" w:firstLineChars="300"/>
        <w:rPr>
          <w:rFonts w:hint="eastAsia" w:ascii="宋体"/>
          <w:color w:val="auto"/>
          <w:sz w:val="24"/>
          <w:highlight w:val="none"/>
        </w:rPr>
      </w:pPr>
    </w:p>
    <w:tbl>
      <w:tblPr>
        <w:tblStyle w:val="3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trPr>
        <w:tc>
          <w:tcPr>
            <w:tcW w:w="1803" w:type="dxa"/>
            <w:tcBorders>
              <w:top w:val="single" w:color="auto" w:sz="12" w:space="0"/>
              <w:bottom w:val="single" w:color="auto" w:sz="12" w:space="0"/>
              <w:right w:val="single" w:color="auto" w:sz="12" w:space="0"/>
            </w:tcBorders>
            <w:noWrap w:val="0"/>
            <w:vAlign w:val="center"/>
          </w:tcPr>
          <w:p>
            <w:pPr>
              <w:spacing w:line="460" w:lineRule="exact"/>
              <w:jc w:val="center"/>
              <w:rPr>
                <w:rFonts w:hint="eastAsia" w:ascii="宋体"/>
                <w:color w:val="auto"/>
                <w:sz w:val="24"/>
                <w:highlight w:val="none"/>
              </w:rPr>
            </w:pPr>
            <w:r>
              <w:rPr>
                <w:rFonts w:hint="eastAsia" w:ascii="宋体"/>
                <w:color w:val="auto"/>
                <w:sz w:val="24"/>
                <w:highlight w:val="none"/>
              </w:rPr>
              <w:t>项目名称</w:t>
            </w:r>
          </w:p>
        </w:tc>
        <w:tc>
          <w:tcPr>
            <w:tcW w:w="6952" w:type="dxa"/>
            <w:tcBorders>
              <w:top w:val="single" w:color="auto" w:sz="12" w:space="0"/>
              <w:left w:val="single" w:color="auto" w:sz="12" w:space="0"/>
              <w:bottom w:val="single" w:color="auto" w:sz="12" w:space="0"/>
            </w:tcBorders>
            <w:noWrap w:val="0"/>
            <w:vAlign w:val="center"/>
          </w:tcPr>
          <w:p>
            <w:pPr>
              <w:spacing w:line="360" w:lineRule="auto"/>
              <w:jc w:val="left"/>
              <w:rPr>
                <w:rFonts w:hint="eastAsia"/>
                <w:color w:val="auto"/>
                <w:sz w:val="24"/>
                <w:highlight w:val="none"/>
              </w:rPr>
            </w:pPr>
            <w:r>
              <w:rPr>
                <w:rFonts w:hint="eastAsia"/>
                <w:color w:val="auto"/>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trPr>
        <w:tc>
          <w:tcPr>
            <w:tcW w:w="1803" w:type="dxa"/>
            <w:tcBorders>
              <w:top w:val="single" w:color="auto" w:sz="12" w:space="0"/>
              <w:right w:val="single" w:color="auto" w:sz="12" w:space="0"/>
            </w:tcBorders>
            <w:noWrap w:val="0"/>
            <w:vAlign w:val="center"/>
          </w:tcPr>
          <w:p>
            <w:pPr>
              <w:spacing w:line="460" w:lineRule="exact"/>
              <w:jc w:val="center"/>
              <w:rPr>
                <w:rFonts w:hint="eastAsia" w:ascii="宋体"/>
                <w:color w:val="auto"/>
                <w:sz w:val="24"/>
                <w:highlight w:val="none"/>
              </w:rPr>
            </w:pPr>
            <w:r>
              <w:rPr>
                <w:rFonts w:hint="eastAsia" w:ascii="宋体"/>
                <w:color w:val="auto"/>
                <w:sz w:val="24"/>
                <w:highlight w:val="none"/>
              </w:rPr>
              <w:t>项目编号</w:t>
            </w:r>
          </w:p>
        </w:tc>
        <w:tc>
          <w:tcPr>
            <w:tcW w:w="6952" w:type="dxa"/>
            <w:tcBorders>
              <w:top w:val="single" w:color="auto" w:sz="12" w:space="0"/>
              <w:left w:val="single" w:color="auto" w:sz="12" w:space="0"/>
            </w:tcBorders>
            <w:noWrap w:val="0"/>
            <w:vAlign w:val="center"/>
          </w:tcPr>
          <w:p>
            <w:pPr>
              <w:rPr>
                <w:rFonts w:hint="eastAsia" w:ascii="宋体"/>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trPr>
        <w:tc>
          <w:tcPr>
            <w:tcW w:w="1803" w:type="dxa"/>
            <w:tcBorders>
              <w:right w:val="single" w:color="auto" w:sz="12" w:space="0"/>
            </w:tcBorders>
            <w:noWrap w:val="0"/>
            <w:vAlign w:val="center"/>
          </w:tcPr>
          <w:p>
            <w:pPr>
              <w:spacing w:line="460" w:lineRule="exact"/>
              <w:ind w:firstLine="120" w:firstLineChars="50"/>
              <w:rPr>
                <w:rFonts w:hint="eastAsia" w:ascii="宋体"/>
                <w:color w:val="auto"/>
                <w:sz w:val="24"/>
                <w:highlight w:val="none"/>
              </w:rPr>
            </w:pPr>
            <w:r>
              <w:rPr>
                <w:rFonts w:hint="eastAsia" w:ascii="宋体"/>
                <w:color w:val="auto"/>
                <w:sz w:val="24"/>
                <w:highlight w:val="none"/>
              </w:rPr>
              <w:t>投标人名称</w:t>
            </w:r>
          </w:p>
        </w:tc>
        <w:tc>
          <w:tcPr>
            <w:tcW w:w="6952" w:type="dxa"/>
            <w:tcBorders>
              <w:left w:val="single" w:color="auto" w:sz="12" w:space="0"/>
            </w:tcBorders>
            <w:noWrap w:val="0"/>
            <w:vAlign w:val="top"/>
          </w:tcPr>
          <w:p>
            <w:pPr>
              <w:pStyle w:val="19"/>
              <w:spacing w:line="460" w:lineRule="exact"/>
              <w:ind w:left="86" w:leftChars="41"/>
              <w:rPr>
                <w:rFonts w:hint="eastAsia" w:ascii="宋体" w:eastAsia="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trPr>
        <w:tc>
          <w:tcPr>
            <w:tcW w:w="1803" w:type="dxa"/>
            <w:tcBorders>
              <w:right w:val="single" w:color="auto" w:sz="12" w:space="0"/>
            </w:tcBorders>
            <w:noWrap w:val="0"/>
            <w:vAlign w:val="center"/>
          </w:tcPr>
          <w:p>
            <w:pPr>
              <w:spacing w:line="360" w:lineRule="auto"/>
              <w:jc w:val="center"/>
              <w:rPr>
                <w:rFonts w:ascii="宋体"/>
                <w:color w:val="auto"/>
                <w:sz w:val="24"/>
                <w:highlight w:val="none"/>
              </w:rPr>
            </w:pPr>
            <w:r>
              <w:rPr>
                <w:rFonts w:hint="eastAsia" w:ascii="宋体"/>
                <w:color w:val="auto"/>
                <w:sz w:val="24"/>
                <w:highlight w:val="none"/>
              </w:rPr>
              <w:t>总投标价\</w:t>
            </w:r>
            <w:r>
              <w:rPr>
                <w:rFonts w:hint="eastAsia" w:ascii="宋体"/>
                <w:color w:val="auto"/>
                <w:sz w:val="24"/>
                <w:highlight w:val="none"/>
                <w:lang w:val="en-US" w:eastAsia="zh-CN"/>
              </w:rPr>
              <w:t>服务</w:t>
            </w:r>
            <w:r>
              <w:rPr>
                <w:rFonts w:hint="eastAsia" w:ascii="宋体"/>
                <w:color w:val="auto"/>
                <w:sz w:val="24"/>
                <w:highlight w:val="none"/>
              </w:rPr>
              <w:t>期</w:t>
            </w:r>
          </w:p>
        </w:tc>
        <w:tc>
          <w:tcPr>
            <w:tcW w:w="6952" w:type="dxa"/>
            <w:tcBorders>
              <w:lef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color w:val="auto"/>
                <w:sz w:val="24"/>
                <w:highlight w:val="none"/>
              </w:rPr>
            </w:pPr>
            <w:r>
              <w:rPr>
                <w:rFonts w:hint="eastAsia" w:ascii="宋体"/>
                <w:color w:val="auto"/>
                <w:sz w:val="24"/>
                <w:highlight w:val="none"/>
              </w:rPr>
              <w:t>投标报价 （大写）：</w:t>
            </w:r>
            <w:r>
              <w:rPr>
                <w:rFonts w:hint="eastAsia" w:ascii="宋体"/>
                <w:color w:val="auto"/>
                <w:sz w:val="24"/>
                <w:highlight w:val="none"/>
                <w:u w:val="single"/>
              </w:rPr>
              <w:t xml:space="preserve">                   </w:t>
            </w:r>
            <w:r>
              <w:rPr>
                <w:rFonts w:hint="eastAsia" w:ascii="宋体"/>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900" w:lineRule="exact"/>
              <w:ind w:firstLine="1200" w:firstLineChars="500"/>
              <w:textAlignment w:val="auto"/>
              <w:rPr>
                <w:rFonts w:hint="eastAsia" w:ascii="宋体"/>
                <w:color w:val="auto"/>
                <w:sz w:val="24"/>
                <w:highlight w:val="none"/>
              </w:rPr>
            </w:pPr>
            <w:r>
              <w:rPr>
                <w:rFonts w:hint="eastAsia" w:ascii="宋体"/>
                <w:color w:val="auto"/>
                <w:sz w:val="24"/>
                <w:highlight w:val="none"/>
              </w:rPr>
              <w:t>(小写) ：</w:t>
            </w:r>
            <w:r>
              <w:rPr>
                <w:rFonts w:hint="eastAsia" w:ascii="宋体"/>
                <w:color w:val="auto"/>
                <w:sz w:val="24"/>
                <w:highlight w:val="none"/>
                <w:u w:val="single"/>
              </w:rPr>
              <w:t xml:space="preserve">                   </w:t>
            </w:r>
            <w:r>
              <w:rPr>
                <w:rFonts w:hint="eastAsia" w:ascii="宋体"/>
                <w:color w:val="auto"/>
                <w:sz w:val="24"/>
                <w:highlight w:val="none"/>
              </w:rPr>
              <w:t>；</w:t>
            </w:r>
          </w:p>
          <w:p>
            <w:pPr>
              <w:pStyle w:val="2"/>
              <w:keepNext w:val="0"/>
              <w:keepLines w:val="0"/>
              <w:pageBreakBefore w:val="0"/>
              <w:widowControl w:val="0"/>
              <w:kinsoku/>
              <w:wordWrap/>
              <w:overflowPunct/>
              <w:topLinePunct w:val="0"/>
              <w:autoSpaceDE/>
              <w:autoSpaceDN/>
              <w:bidi w:val="0"/>
              <w:adjustRightInd/>
              <w:snapToGrid/>
              <w:spacing w:after="0" w:line="900" w:lineRule="exact"/>
              <w:ind w:left="0" w:leftChars="0" w:firstLine="0" w:firstLineChars="0"/>
              <w:textAlignment w:val="auto"/>
              <w:rPr>
                <w:rFonts w:hint="eastAsia" w:eastAsia="宋体"/>
                <w:color w:val="auto"/>
                <w:lang w:val="en-US" w:eastAsia="zh-CN"/>
              </w:rPr>
            </w:pPr>
            <w:r>
              <w:rPr>
                <w:rFonts w:hint="eastAsia" w:ascii="宋体"/>
                <w:color w:val="auto"/>
                <w:sz w:val="24"/>
                <w:highlight w:val="none"/>
                <w:lang w:val="en-US" w:eastAsia="zh-CN"/>
              </w:rPr>
              <w:t>其中：发票类型</w:t>
            </w:r>
            <w:r>
              <w:rPr>
                <w:rFonts w:hint="eastAsia" w:ascii="宋体"/>
                <w:color w:val="auto"/>
                <w:sz w:val="24"/>
                <w:highlight w:val="none"/>
                <w:u w:val="single"/>
                <w:lang w:val="en-US" w:eastAsia="zh-CN"/>
              </w:rPr>
              <w:t xml:space="preserve">：       </w:t>
            </w:r>
            <w:r>
              <w:rPr>
                <w:rFonts w:hint="eastAsia" w:ascii="宋体"/>
                <w:color w:val="auto"/>
                <w:sz w:val="24"/>
                <w:highlight w:val="none"/>
                <w:lang w:val="en-US" w:eastAsia="zh-CN"/>
              </w:rPr>
              <w:t>、发票税率：</w:t>
            </w:r>
            <w:r>
              <w:rPr>
                <w:rFonts w:hint="eastAsia" w:ascii="宋体"/>
                <w:color w:val="auto"/>
                <w:sz w:val="24"/>
                <w:highlight w:val="none"/>
                <w:u w:val="single"/>
                <w:lang w:val="en-US" w:eastAsia="zh-CN"/>
              </w:rPr>
              <w:t xml:space="preserve">    </w:t>
            </w:r>
            <w:r>
              <w:rPr>
                <w:rFonts w:hint="eastAsia" w:ascii="宋体"/>
                <w:color w:val="auto"/>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color w:val="auto"/>
                <w:sz w:val="24"/>
                <w:highlight w:val="none"/>
              </w:rPr>
            </w:pPr>
            <w:r>
              <w:rPr>
                <w:rFonts w:hint="eastAsia" w:ascii="宋体"/>
                <w:color w:val="auto"/>
                <w:sz w:val="24"/>
                <w:highlight w:val="none"/>
                <w:lang w:val="en-US" w:eastAsia="zh-CN"/>
              </w:rPr>
              <w:t>服务期</w:t>
            </w:r>
            <w:r>
              <w:rPr>
                <w:rFonts w:hint="eastAsia" w:ascii="宋体"/>
                <w:color w:val="auto"/>
                <w:sz w:val="24"/>
                <w:highlight w:val="none"/>
              </w:rPr>
              <w:t>：</w:t>
            </w:r>
            <w:r>
              <w:rPr>
                <w:rFonts w:hint="eastAsia" w:ascii="宋体"/>
                <w:color w:val="auto"/>
                <w:sz w:val="24"/>
                <w:highlight w:val="none"/>
                <w:lang w:val="en-US" w:eastAsia="zh-CN"/>
              </w:rPr>
              <w:t xml:space="preserve">一年 </w:t>
            </w:r>
          </w:p>
        </w:tc>
      </w:tr>
    </w:tbl>
    <w:p>
      <w:pPr>
        <w:snapToGrid w:val="0"/>
        <w:spacing w:line="460" w:lineRule="exact"/>
        <w:ind w:left="2940" w:leftChars="1400" w:firstLine="723" w:firstLineChars="300"/>
        <w:rPr>
          <w:rFonts w:hint="eastAsia" w:ascii="宋体"/>
          <w:b/>
          <w:color w:val="auto"/>
          <w:sz w:val="24"/>
          <w:highlight w:val="none"/>
        </w:rPr>
      </w:pPr>
    </w:p>
    <w:p>
      <w:pPr>
        <w:rPr>
          <w:rFonts w:hint="eastAsia" w:ascii="宋体"/>
          <w:color w:val="auto"/>
          <w:sz w:val="24"/>
          <w:highlight w:val="none"/>
        </w:rPr>
      </w:pPr>
      <w:r>
        <w:rPr>
          <w:rFonts w:hint="eastAsia" w:ascii="宋体"/>
          <w:color w:val="auto"/>
          <w:sz w:val="24"/>
          <w:highlight w:val="none"/>
        </w:rPr>
        <w:t>法定代表人（</w:t>
      </w:r>
      <w:r>
        <w:rPr>
          <w:rFonts w:hint="eastAsia" w:ascii="宋体"/>
          <w:color w:val="auto"/>
          <w:sz w:val="24"/>
          <w:highlight w:val="none"/>
          <w:lang w:val="en-US" w:eastAsia="zh-CN"/>
        </w:rPr>
        <w:t>盖章</w:t>
      </w:r>
      <w:r>
        <w:rPr>
          <w:rFonts w:hint="eastAsia" w:ascii="宋体"/>
          <w:color w:val="auto"/>
          <w:sz w:val="24"/>
          <w:highlight w:val="none"/>
        </w:rPr>
        <w:t>）：         投标人（盖单位章）：</w:t>
      </w:r>
    </w:p>
    <w:p>
      <w:pPr>
        <w:snapToGrid w:val="0"/>
        <w:spacing w:before="312" w:beforeLines="100" w:after="312" w:afterLines="100" w:line="360" w:lineRule="auto"/>
        <w:jc w:val="center"/>
        <w:rPr>
          <w:rFonts w:cs="Arial"/>
          <w:b/>
          <w:bCs/>
          <w:color w:val="auto"/>
          <w:sz w:val="30"/>
          <w:szCs w:val="30"/>
          <w:highlight w:val="none"/>
        </w:rPr>
        <w:sectPr>
          <w:headerReference r:id="rId9" w:type="default"/>
          <w:footerReference r:id="rId10" w:type="default"/>
          <w:pgSz w:w="11906" w:h="16838"/>
          <w:pgMar w:top="1440" w:right="1800" w:bottom="1440" w:left="1800" w:header="851" w:footer="992" w:gutter="0"/>
          <w:pgNumType w:fmt="numberInDash"/>
          <w:cols w:space="720" w:num="1"/>
          <w:docGrid w:type="lines" w:linePitch="312" w:charSpace="0"/>
        </w:sectPr>
      </w:pPr>
      <w:r>
        <w:rPr>
          <w:rFonts w:hint="eastAsia" w:ascii="宋体"/>
          <w:color w:val="auto"/>
          <w:sz w:val="24"/>
          <w:highlight w:val="none"/>
        </w:rPr>
        <w:t xml:space="preserve">                                      日  期：</w:t>
      </w:r>
      <w:r>
        <w:rPr>
          <w:rFonts w:hint="eastAsia" w:ascii="宋体" w:hAnsi="宋体"/>
          <w:color w:val="auto"/>
          <w:sz w:val="24"/>
          <w:highlight w:val="none"/>
          <w:u w:val="single"/>
        </w:rPr>
        <w:t xml:space="preserve">      </w:t>
      </w:r>
      <w:r>
        <w:rPr>
          <w:rFonts w:hint="eastAsia" w:ascii="宋体"/>
          <w:color w:val="auto"/>
          <w:sz w:val="24"/>
          <w:highlight w:val="none"/>
        </w:rPr>
        <w:t>年</w:t>
      </w:r>
      <w:r>
        <w:rPr>
          <w:rFonts w:hint="eastAsia" w:ascii="宋体" w:hAnsi="宋体"/>
          <w:color w:val="auto"/>
          <w:sz w:val="24"/>
          <w:highlight w:val="none"/>
          <w:u w:val="single"/>
        </w:rPr>
        <w:t xml:space="preserve">   </w:t>
      </w:r>
      <w:r>
        <w:rPr>
          <w:rFonts w:hint="eastAsia" w:ascii="宋体"/>
          <w:color w:val="auto"/>
          <w:sz w:val="24"/>
          <w:highlight w:val="none"/>
        </w:rPr>
        <w:t>月</w:t>
      </w:r>
      <w:r>
        <w:rPr>
          <w:rFonts w:hint="eastAsia" w:ascii="宋体" w:hAnsi="宋体"/>
          <w:color w:val="auto"/>
          <w:sz w:val="24"/>
          <w:highlight w:val="none"/>
          <w:u w:val="single"/>
        </w:rPr>
        <w:t xml:space="preserve">   </w:t>
      </w:r>
      <w:r>
        <w:rPr>
          <w:rFonts w:hint="eastAsia" w:ascii="宋体"/>
          <w:color w:val="auto"/>
          <w:sz w:val="24"/>
          <w:highlight w:val="none"/>
        </w:rPr>
        <w:t xml:space="preserve">日 </w:t>
      </w: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5</w:t>
      </w:r>
    </w:p>
    <w:p>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pPr>
        <w:spacing w:line="440" w:lineRule="exact"/>
        <w:rPr>
          <w:rFonts w:hint="eastAsia" w:ascii="宋体"/>
          <w:color w:val="auto"/>
          <w:sz w:val="24"/>
          <w:highlight w:val="none"/>
        </w:rPr>
      </w:pPr>
    </w:p>
    <w:p>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rPr>
        <w:t>（编号：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标包”的采购。我方授权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（项目编号）”项目的货物与服务，总投标价为人民币（大写）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小写）</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lang w:val="en-US" w:eastAsia="zh-CN"/>
        </w:rPr>
        <w:t>元，</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发票类型：</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、发票</w:t>
      </w:r>
      <w:r>
        <w:rPr>
          <w:rFonts w:hint="eastAsia" w:ascii="宋体" w:hAnsi="宋体" w:eastAsia="宋体" w:cs="宋体"/>
          <w:color w:val="auto"/>
          <w:sz w:val="24"/>
          <w:szCs w:val="24"/>
          <w:highlight w:val="none"/>
          <w:u w:val="none"/>
          <w:lang w:val="en-US" w:eastAsia="zh-CN"/>
        </w:rPr>
        <w:t>税率：</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highlight w:val="none"/>
          <w:lang w:val="en-US" w:eastAsia="zh-CN"/>
        </w:rPr>
        <w:t xml:space="preserve">  </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pPr>
        <w:spacing w:line="440" w:lineRule="exact"/>
        <w:rPr>
          <w:rFonts w:hint="eastAsia" w:ascii="宋体"/>
          <w:color w:val="auto"/>
          <w:sz w:val="24"/>
          <w:highlight w:val="none"/>
        </w:rPr>
      </w:pPr>
      <w:r>
        <w:rPr>
          <w:rFonts w:hint="eastAsia" w:ascii="宋体"/>
          <w:color w:val="auto"/>
          <w:sz w:val="24"/>
          <w:highlight w:val="none"/>
        </w:rPr>
        <w:t> </w:t>
      </w:r>
    </w:p>
    <w:p>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pPr>
        <w:spacing w:line="440" w:lineRule="exact"/>
        <w:jc w:val="right"/>
        <w:rPr>
          <w:rFonts w:hint="eastAsia" w:ascii="宋体"/>
          <w:color w:val="auto"/>
          <w:sz w:val="24"/>
          <w:highlight w:val="none"/>
        </w:rPr>
      </w:pPr>
    </w:p>
    <w:p>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pPr>
        <w:spacing w:line="360" w:lineRule="exact"/>
        <w:rPr>
          <w:rFonts w:hint="eastAsia" w:ascii="宋体"/>
          <w:b/>
          <w:color w:val="auto"/>
          <w:sz w:val="28"/>
          <w:szCs w:val="28"/>
          <w:highlight w:val="none"/>
        </w:rPr>
      </w:pPr>
    </w:p>
    <w:p>
      <w:pPr>
        <w:spacing w:line="440" w:lineRule="exact"/>
        <w:jc w:val="center"/>
        <w:outlineLvl w:val="0"/>
        <w:rPr>
          <w:rFonts w:hint="eastAsia" w:ascii="宋体"/>
          <w:b/>
          <w:color w:val="auto"/>
          <w:sz w:val="32"/>
          <w:szCs w:val="32"/>
          <w:highlight w:val="none"/>
        </w:rPr>
      </w:pPr>
      <w:r>
        <w:rPr>
          <w:rFonts w:hint="eastAsia" w:ascii="宋体"/>
          <w:b/>
          <w:color w:val="auto"/>
          <w:sz w:val="32"/>
          <w:szCs w:val="32"/>
          <w:highlight w:val="none"/>
        </w:rPr>
        <w:br w:type="page"/>
      </w:r>
      <w:bookmarkEnd w:id="65"/>
      <w:bookmarkEnd w:id="66"/>
      <w:bookmarkStart w:id="251" w:name="_Toc449028957"/>
      <w:bookmarkStart w:id="252" w:name="_Toc58430333"/>
      <w:r>
        <w:rPr>
          <w:rFonts w:hint="eastAsia" w:ascii="宋体"/>
          <w:b/>
          <w:color w:val="auto"/>
          <w:sz w:val="32"/>
          <w:szCs w:val="32"/>
          <w:highlight w:val="none"/>
          <w:lang w:val="en-US" w:eastAsia="zh-CN"/>
        </w:rPr>
        <w:t>招标人</w:t>
      </w:r>
      <w:r>
        <w:rPr>
          <w:rFonts w:hint="eastAsia" w:ascii="宋体"/>
          <w:b/>
          <w:color w:val="auto"/>
          <w:sz w:val="32"/>
          <w:szCs w:val="32"/>
          <w:highlight w:val="none"/>
        </w:rPr>
        <w:t>、</w:t>
      </w: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代理机构对本招标文件的确认</w:t>
      </w:r>
      <w:bookmarkEnd w:id="251"/>
      <w:bookmarkEnd w:id="252"/>
    </w:p>
    <w:p>
      <w:pPr>
        <w:spacing w:line="440" w:lineRule="exact"/>
        <w:rPr>
          <w:rFonts w:hint="eastAsia" w:ascii="宋体"/>
          <w:color w:val="auto"/>
          <w:sz w:val="24"/>
          <w:highlight w:val="none"/>
          <w:u w:val="single"/>
        </w:rPr>
      </w:pPr>
    </w:p>
    <w:tbl>
      <w:tblPr>
        <w:tblStyle w:val="34"/>
        <w:tblW w:w="0" w:type="auto"/>
        <w:jc w:val="center"/>
        <w:tblLayout w:type="fixed"/>
        <w:tblCellMar>
          <w:top w:w="0" w:type="dxa"/>
          <w:left w:w="108" w:type="dxa"/>
          <w:bottom w:w="0" w:type="dxa"/>
          <w:right w:w="108" w:type="dxa"/>
        </w:tblCellMar>
      </w:tblPr>
      <w:tblGrid>
        <w:gridCol w:w="9374"/>
      </w:tblGrid>
      <w:tr>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560" w:firstLineChars="200"/>
              <w:rPr>
                <w:rFonts w:hint="eastAsia" w:ascii="宋体" w:cs="宋体"/>
                <w:color w:val="auto"/>
                <w:sz w:val="28"/>
                <w:szCs w:val="28"/>
                <w:highlight w:val="none"/>
              </w:rPr>
            </w:pPr>
          </w:p>
          <w:p>
            <w:pPr>
              <w:spacing w:line="360" w:lineRule="auto"/>
              <w:ind w:firstLine="560" w:firstLineChars="200"/>
              <w:rPr>
                <w:rFonts w:hint="eastAsia" w:ascii="宋体" w:hAnsi="宋体" w:cs="宋体"/>
                <w:color w:val="auto"/>
                <w:sz w:val="28"/>
                <w:szCs w:val="28"/>
                <w:highlight w:val="none"/>
              </w:rPr>
            </w:pPr>
            <w:r>
              <w:rPr>
                <w:rFonts w:hint="eastAsia" w:ascii="宋体" w:cs="宋体"/>
                <w:color w:val="auto"/>
                <w:sz w:val="28"/>
                <w:szCs w:val="28"/>
                <w:highlight w:val="none"/>
              </w:rPr>
              <w:t>我单位对</w:t>
            </w:r>
            <w:r>
              <w:rPr>
                <w:rFonts w:hint="eastAsia" w:ascii="宋体" w:cs="宋体"/>
                <w:color w:val="auto"/>
                <w:sz w:val="28"/>
                <w:szCs w:val="28"/>
                <w:highlight w:val="none"/>
                <w:u w:val="single"/>
                <w:lang w:val="en-US" w:eastAsia="zh-CN"/>
              </w:rPr>
              <w:t>滁州市城泊车辆服务有限公司公共停车场保洁服务项目（二次）</w:t>
            </w:r>
            <w:bookmarkStart w:id="253" w:name="_GoBack"/>
            <w:bookmarkEnd w:id="253"/>
            <w:r>
              <w:rPr>
                <w:rFonts w:hint="eastAsia" w:ascii="宋体" w:cs="宋体"/>
                <w:color w:val="auto"/>
                <w:sz w:val="28"/>
                <w:szCs w:val="28"/>
                <w:highlight w:val="none"/>
              </w:rPr>
              <w:t>的招标文件进行确认。</w:t>
            </w:r>
          </w:p>
          <w:p>
            <w:pPr>
              <w:spacing w:line="360" w:lineRule="auto"/>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招标单位：</w:t>
            </w:r>
            <w:r>
              <w:rPr>
                <w:rFonts w:hint="eastAsia" w:ascii="宋体" w:hAnsi="宋体" w:cs="宋体"/>
                <w:color w:val="auto"/>
                <w:sz w:val="28"/>
                <w:szCs w:val="28"/>
                <w:highlight w:val="none"/>
                <w:lang w:eastAsia="zh-CN"/>
              </w:rPr>
              <w:t>滁州市城泊车辆服务有限公司</w:t>
            </w:r>
          </w:p>
          <w:p>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委托代理人：</w:t>
            </w:r>
            <w:r>
              <w:rPr>
                <w:rFonts w:hint="eastAsia" w:ascii="宋体" w:hAnsi="宋体" w:cs="宋体"/>
                <w:color w:val="auto"/>
                <w:sz w:val="28"/>
                <w:szCs w:val="28"/>
                <w:highlight w:val="none"/>
                <w:lang w:val="en-US" w:eastAsia="zh-CN"/>
              </w:rPr>
              <w:t>丁玲</w:t>
            </w:r>
          </w:p>
          <w:p>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联系电话：</w:t>
            </w:r>
            <w:r>
              <w:rPr>
                <w:rFonts w:hint="eastAsia" w:ascii="宋体" w:hAnsi="宋体" w:cs="宋体"/>
                <w:color w:val="auto"/>
                <w:sz w:val="28"/>
                <w:szCs w:val="28"/>
                <w:highlight w:val="none"/>
                <w:lang w:val="en-US" w:eastAsia="zh-CN"/>
              </w:rPr>
              <w:t>15215500991</w:t>
            </w:r>
          </w:p>
          <w:p>
            <w:pPr>
              <w:spacing w:line="540" w:lineRule="exact"/>
              <w:ind w:firstLine="7140" w:firstLineChars="2550"/>
              <w:rPr>
                <w:rFonts w:hint="eastAsia" w:ascii="宋体" w:cs="宋体"/>
                <w:color w:val="auto"/>
                <w:sz w:val="28"/>
                <w:szCs w:val="28"/>
                <w:highlight w:val="none"/>
              </w:rPr>
            </w:pPr>
          </w:p>
          <w:p>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202</w:t>
            </w:r>
            <w:r>
              <w:rPr>
                <w:rFonts w:hint="eastAsia" w:ascii="宋体" w:cs="宋体"/>
                <w:color w:val="auto"/>
                <w:sz w:val="28"/>
                <w:szCs w:val="28"/>
                <w:highlight w:val="none"/>
                <w:lang w:val="en-US" w:eastAsia="zh-CN"/>
              </w:rPr>
              <w:t>4</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1</w:t>
            </w:r>
            <w:r>
              <w:rPr>
                <w:rFonts w:hint="eastAsia" w:ascii="宋体" w:cs="宋体"/>
                <w:color w:val="auto"/>
                <w:sz w:val="28"/>
                <w:szCs w:val="28"/>
                <w:highlight w:val="none"/>
              </w:rPr>
              <w:t>月</w:t>
            </w:r>
          </w:p>
        </w:tc>
      </w:tr>
      <w:tr>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宋体" w:cs="宋体"/>
                <w:color w:val="auto"/>
                <w:sz w:val="28"/>
                <w:szCs w:val="28"/>
                <w:highlight w:val="none"/>
              </w:rPr>
            </w:pPr>
          </w:p>
          <w:p>
            <w:pPr>
              <w:spacing w:line="520" w:lineRule="exact"/>
              <w:ind w:firstLine="560" w:firstLineChars="200"/>
              <w:rPr>
                <w:rFonts w:hint="eastAsia" w:ascii="宋体" w:eastAsia="宋体" w:cs="宋体"/>
                <w:color w:val="auto"/>
                <w:sz w:val="28"/>
                <w:szCs w:val="28"/>
                <w:highlight w:val="none"/>
                <w:lang w:eastAsia="zh-CN"/>
              </w:rPr>
            </w:pPr>
            <w:r>
              <w:rPr>
                <w:rFonts w:hint="eastAsia" w:ascii="宋体" w:cs="宋体"/>
                <w:color w:val="auto"/>
                <w:sz w:val="28"/>
                <w:szCs w:val="28"/>
                <w:highlight w:val="none"/>
              </w:rPr>
              <w:t>招标代理机构：</w:t>
            </w:r>
            <w:r>
              <w:rPr>
                <w:rFonts w:hint="eastAsia" w:ascii="宋体" w:cs="宋体"/>
                <w:color w:val="auto"/>
                <w:sz w:val="28"/>
                <w:szCs w:val="28"/>
                <w:highlight w:val="none"/>
                <w:lang w:eastAsia="zh-CN"/>
              </w:rPr>
              <w:t>滁州市城投工程咨询管理有限公司</w:t>
            </w:r>
          </w:p>
          <w:p>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经办人：杨韦</w:t>
            </w:r>
          </w:p>
          <w:p>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电  话：0550-3519590、18005501210</w:t>
            </w:r>
          </w:p>
          <w:p>
            <w:pPr>
              <w:spacing w:line="520" w:lineRule="exact"/>
              <w:ind w:firstLine="6300" w:firstLineChars="2250"/>
              <w:rPr>
                <w:rFonts w:hint="eastAsia" w:ascii="宋体" w:cs="宋体"/>
                <w:color w:val="auto"/>
                <w:sz w:val="28"/>
                <w:szCs w:val="28"/>
                <w:highlight w:val="none"/>
              </w:rPr>
            </w:pPr>
          </w:p>
          <w:p>
            <w:pPr>
              <w:pStyle w:val="2"/>
              <w:rPr>
                <w:rFonts w:hint="eastAsia"/>
                <w:color w:val="auto"/>
                <w:highlight w:val="none"/>
              </w:rPr>
            </w:pPr>
          </w:p>
          <w:p>
            <w:pPr>
              <w:spacing w:line="520" w:lineRule="exact"/>
              <w:ind w:firstLine="6580" w:firstLineChars="2350"/>
              <w:rPr>
                <w:rFonts w:hint="eastAsia" w:ascii="宋体" w:cs="宋体"/>
                <w:color w:val="auto"/>
                <w:sz w:val="28"/>
                <w:szCs w:val="28"/>
                <w:highlight w:val="none"/>
              </w:rPr>
            </w:pPr>
          </w:p>
          <w:p>
            <w:pPr>
              <w:spacing w:line="52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202</w:t>
            </w:r>
            <w:r>
              <w:rPr>
                <w:rFonts w:hint="eastAsia" w:ascii="宋体" w:cs="宋体"/>
                <w:color w:val="auto"/>
                <w:sz w:val="28"/>
                <w:szCs w:val="28"/>
                <w:highlight w:val="none"/>
                <w:lang w:val="en-US" w:eastAsia="zh-CN"/>
              </w:rPr>
              <w:t>4</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1</w:t>
            </w:r>
            <w:r>
              <w:rPr>
                <w:rFonts w:hint="eastAsia" w:ascii="宋体" w:cs="宋体"/>
                <w:color w:val="auto"/>
                <w:sz w:val="28"/>
                <w:szCs w:val="28"/>
                <w:highlight w:val="none"/>
              </w:rPr>
              <w:t>月</w:t>
            </w:r>
          </w:p>
        </w:tc>
      </w:tr>
      <w:bookmarkEnd w:id="0"/>
    </w:tbl>
    <w:p>
      <w:pPr>
        <w:rPr>
          <w:color w:val="auto"/>
          <w:highlight w:val="none"/>
        </w:rPr>
      </w:pPr>
    </w:p>
    <w:sectPr>
      <w:headerReference r:id="rId11" w:type="default"/>
      <w:footerReference r:id="rId12"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DokChampa">
    <w:altName w:val="Leelawadee UI"/>
    <w:panose1 w:val="020B0604020202020204"/>
    <w:charset w:val="00"/>
    <w:family w:val="swiss"/>
    <w:pitch w:val="default"/>
    <w:sig w:usb0="00000000" w:usb1="00000000" w:usb2="00000000" w:usb3="00000000" w:csb0="4001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Leelawadee UI">
    <w:panose1 w:val="020B0502040204020203"/>
    <w:charset w:val="00"/>
    <w:family w:val="auto"/>
    <w:pitch w:val="default"/>
    <w:sig w:usb0="83000003" w:usb1="00000000" w:usb2="00010000" w:usb3="00000001" w:csb0="000101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tabs>
        <w:tab w:val="clear" w:pos="4153"/>
        <w:tab w:val="clear" w:pos="8306"/>
      </w:tabs>
      <w:rPr>
        <w:rStyle w:val="38"/>
      </w:rPr>
    </w:pPr>
    <w:r>
      <w:fldChar w:fldCharType="begin"/>
    </w:r>
    <w:r>
      <w:rPr>
        <w:rStyle w:val="38"/>
      </w:rPr>
      <w:instrText xml:space="preserve">PAGE  </w:instrText>
    </w:r>
    <w:r>
      <w:fldChar w:fldCharType="separate"/>
    </w:r>
    <w:r>
      <w:t xml:space="preserve"> </w:t>
    </w:r>
    <w:r>
      <w:fldChar w:fldCharType="end"/>
    </w:r>
  </w:p>
  <w:p>
    <w:pPr>
      <w:pStyle w:val="2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tabs>
        <w:tab w:val="clear" w:pos="4153"/>
        <w:tab w:val="clear" w:pos="8306"/>
      </w:tabs>
      <w:rPr>
        <w:rStyle w:val="38"/>
        <w:rFonts w:hint="eastAsia"/>
      </w:rPr>
    </w:pPr>
  </w:p>
  <w:p>
    <w:pPr>
      <w:pStyle w:val="23"/>
      <w:tabs>
        <w:tab w:val="clear" w:pos="4153"/>
        <w:tab w:val="clear" w:pos="8306"/>
      </w:tabs>
      <w:rPr>
        <w:rFonts w:hint="eastAsia"/>
        <w:szCs w:val="21"/>
      </w:rPr>
    </w:pPr>
  </w:p>
  <w:p>
    <w:pPr>
      <w:pStyle w:val="23"/>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&#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AZKvhZ0QEAAKMDAAAOAAAAAAAAAAEAIAAAACIB&#10;AABkcnMvZTJvRG9jLnhtbFBLBQYAAAAABgAGAFkBAABlBQAAAAA=&#10;">
              <v:fill on="f" focussize="0,0"/>
              <v:stroke on="f" weight="1.2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6"/>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1"/>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2"/>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99"/>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7">
    <w:nsid w:val="6F1D7D26"/>
    <w:multiLevelType w:val="multilevel"/>
    <w:tmpl w:val="6F1D7D26"/>
    <w:lvl w:ilvl="0" w:tentative="0">
      <w:start w:val="1"/>
      <w:numFmt w:val="decimal"/>
      <w:pStyle w:val="26"/>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7"/>
  </w:num>
  <w:num w:numId="4">
    <w:abstractNumId w:val="3"/>
  </w:num>
  <w:num w:numId="5">
    <w:abstractNumId w:val="4"/>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5MGI3YTdkMjVkZTZjM2ZjZTQ5YjMxYTJjZjRlOWE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07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317BAC"/>
    <w:rsid w:val="0156352C"/>
    <w:rsid w:val="0160078A"/>
    <w:rsid w:val="016025FC"/>
    <w:rsid w:val="01727AD4"/>
    <w:rsid w:val="018C519F"/>
    <w:rsid w:val="01910A08"/>
    <w:rsid w:val="01A56261"/>
    <w:rsid w:val="01CE57B8"/>
    <w:rsid w:val="01E00D2D"/>
    <w:rsid w:val="01F30A1B"/>
    <w:rsid w:val="02136A35"/>
    <w:rsid w:val="02263E9A"/>
    <w:rsid w:val="02276CDB"/>
    <w:rsid w:val="02602E58"/>
    <w:rsid w:val="026A14A8"/>
    <w:rsid w:val="0284108D"/>
    <w:rsid w:val="02846ED2"/>
    <w:rsid w:val="029F0F02"/>
    <w:rsid w:val="02AB3F80"/>
    <w:rsid w:val="02F92D08"/>
    <w:rsid w:val="02FF011F"/>
    <w:rsid w:val="0306625F"/>
    <w:rsid w:val="0314369E"/>
    <w:rsid w:val="032B6C3A"/>
    <w:rsid w:val="03433F84"/>
    <w:rsid w:val="034D4E02"/>
    <w:rsid w:val="03636F78"/>
    <w:rsid w:val="038E49F0"/>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E7569"/>
    <w:rsid w:val="069717B9"/>
    <w:rsid w:val="06D0451E"/>
    <w:rsid w:val="06DA6FC6"/>
    <w:rsid w:val="06EB6E0C"/>
    <w:rsid w:val="06F34B4B"/>
    <w:rsid w:val="06FF299A"/>
    <w:rsid w:val="070A729C"/>
    <w:rsid w:val="07342561"/>
    <w:rsid w:val="073C599D"/>
    <w:rsid w:val="073E5575"/>
    <w:rsid w:val="074128B0"/>
    <w:rsid w:val="074A10F8"/>
    <w:rsid w:val="074D3623"/>
    <w:rsid w:val="0761194E"/>
    <w:rsid w:val="076432D3"/>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78647D"/>
    <w:rsid w:val="08924472"/>
    <w:rsid w:val="08A62997"/>
    <w:rsid w:val="08A969C4"/>
    <w:rsid w:val="08AF6108"/>
    <w:rsid w:val="08B001C4"/>
    <w:rsid w:val="08D00FFA"/>
    <w:rsid w:val="08EF5F46"/>
    <w:rsid w:val="090441B5"/>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271088"/>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BD3A66"/>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110D22"/>
    <w:rsid w:val="0E554C8F"/>
    <w:rsid w:val="0E5A2C39"/>
    <w:rsid w:val="0E736B11"/>
    <w:rsid w:val="0E7F3562"/>
    <w:rsid w:val="0E8E126E"/>
    <w:rsid w:val="0EBD2885"/>
    <w:rsid w:val="0EC34B2B"/>
    <w:rsid w:val="0ECA6B2D"/>
    <w:rsid w:val="0ECB5D10"/>
    <w:rsid w:val="0ECC1E18"/>
    <w:rsid w:val="0EE11257"/>
    <w:rsid w:val="0EE35EF2"/>
    <w:rsid w:val="0EEE7499"/>
    <w:rsid w:val="0EFA5849"/>
    <w:rsid w:val="0F16254C"/>
    <w:rsid w:val="0F1E6594"/>
    <w:rsid w:val="0F295746"/>
    <w:rsid w:val="0F2B6888"/>
    <w:rsid w:val="0F4F5F19"/>
    <w:rsid w:val="0F547B71"/>
    <w:rsid w:val="0F590199"/>
    <w:rsid w:val="0F7936CC"/>
    <w:rsid w:val="0F882744"/>
    <w:rsid w:val="0F8F3081"/>
    <w:rsid w:val="0FA5195F"/>
    <w:rsid w:val="0FAD4701"/>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2FB3F33"/>
    <w:rsid w:val="130D010A"/>
    <w:rsid w:val="130E5DFE"/>
    <w:rsid w:val="1318492B"/>
    <w:rsid w:val="13195D86"/>
    <w:rsid w:val="133415D2"/>
    <w:rsid w:val="13390EFF"/>
    <w:rsid w:val="134659BB"/>
    <w:rsid w:val="13534D6F"/>
    <w:rsid w:val="135D699C"/>
    <w:rsid w:val="1362355A"/>
    <w:rsid w:val="136B46BF"/>
    <w:rsid w:val="13860D94"/>
    <w:rsid w:val="138A779A"/>
    <w:rsid w:val="138D2BCA"/>
    <w:rsid w:val="139879D4"/>
    <w:rsid w:val="13A12FBB"/>
    <w:rsid w:val="13C44C6D"/>
    <w:rsid w:val="13EB044B"/>
    <w:rsid w:val="13F53078"/>
    <w:rsid w:val="13FD017F"/>
    <w:rsid w:val="1400703C"/>
    <w:rsid w:val="14024E31"/>
    <w:rsid w:val="142F0857"/>
    <w:rsid w:val="1436652A"/>
    <w:rsid w:val="1437543F"/>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63688"/>
    <w:rsid w:val="151E65FF"/>
    <w:rsid w:val="15336151"/>
    <w:rsid w:val="156275CE"/>
    <w:rsid w:val="157952EA"/>
    <w:rsid w:val="157B75AD"/>
    <w:rsid w:val="15876E40"/>
    <w:rsid w:val="158C2DC7"/>
    <w:rsid w:val="15A718D7"/>
    <w:rsid w:val="15BF64B6"/>
    <w:rsid w:val="15D975F0"/>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E86EC4"/>
    <w:rsid w:val="16F21AF1"/>
    <w:rsid w:val="16F45869"/>
    <w:rsid w:val="17025136"/>
    <w:rsid w:val="17080CB3"/>
    <w:rsid w:val="17104E33"/>
    <w:rsid w:val="172779EC"/>
    <w:rsid w:val="172C5003"/>
    <w:rsid w:val="17435B9A"/>
    <w:rsid w:val="17481711"/>
    <w:rsid w:val="17530278"/>
    <w:rsid w:val="1770488D"/>
    <w:rsid w:val="177251DB"/>
    <w:rsid w:val="179F403B"/>
    <w:rsid w:val="17B46DA6"/>
    <w:rsid w:val="17E07B23"/>
    <w:rsid w:val="17F04282"/>
    <w:rsid w:val="181D21AB"/>
    <w:rsid w:val="18241EFA"/>
    <w:rsid w:val="182551D2"/>
    <w:rsid w:val="18302625"/>
    <w:rsid w:val="183C5221"/>
    <w:rsid w:val="184B770B"/>
    <w:rsid w:val="188056B2"/>
    <w:rsid w:val="1887731B"/>
    <w:rsid w:val="18A312F5"/>
    <w:rsid w:val="18A71570"/>
    <w:rsid w:val="18AF5EEB"/>
    <w:rsid w:val="18B06992"/>
    <w:rsid w:val="18BF29A5"/>
    <w:rsid w:val="18C43019"/>
    <w:rsid w:val="18D95C4B"/>
    <w:rsid w:val="18E33521"/>
    <w:rsid w:val="18EB67F8"/>
    <w:rsid w:val="18FA4C8D"/>
    <w:rsid w:val="18FF7748"/>
    <w:rsid w:val="19133920"/>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9F789A"/>
    <w:rsid w:val="1AA37850"/>
    <w:rsid w:val="1AA650CC"/>
    <w:rsid w:val="1AA864FA"/>
    <w:rsid w:val="1AB97B24"/>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3330B"/>
    <w:rsid w:val="1D0C2883"/>
    <w:rsid w:val="1D3B1144"/>
    <w:rsid w:val="1D44297A"/>
    <w:rsid w:val="1D4E4561"/>
    <w:rsid w:val="1D703128"/>
    <w:rsid w:val="1D7C5FBA"/>
    <w:rsid w:val="1D81336E"/>
    <w:rsid w:val="1D8B67FB"/>
    <w:rsid w:val="1D9F19C4"/>
    <w:rsid w:val="1DA575B0"/>
    <w:rsid w:val="1DAF24EA"/>
    <w:rsid w:val="1DB375C5"/>
    <w:rsid w:val="1DB46449"/>
    <w:rsid w:val="1DBC69B5"/>
    <w:rsid w:val="1DC332DD"/>
    <w:rsid w:val="1DDB0E18"/>
    <w:rsid w:val="1DE80C95"/>
    <w:rsid w:val="1DEF6D8A"/>
    <w:rsid w:val="1E061E25"/>
    <w:rsid w:val="1E226345"/>
    <w:rsid w:val="1E37428D"/>
    <w:rsid w:val="1E3A6C06"/>
    <w:rsid w:val="1E424E8A"/>
    <w:rsid w:val="1E6C5E06"/>
    <w:rsid w:val="1E736290"/>
    <w:rsid w:val="1E8C6387"/>
    <w:rsid w:val="1E9A6CF6"/>
    <w:rsid w:val="1EAA4A5F"/>
    <w:rsid w:val="1EB06519"/>
    <w:rsid w:val="1EB458DE"/>
    <w:rsid w:val="1EC00497"/>
    <w:rsid w:val="1EDA5344"/>
    <w:rsid w:val="1EE613D0"/>
    <w:rsid w:val="1EF1268E"/>
    <w:rsid w:val="1EF21855"/>
    <w:rsid w:val="1EF501D6"/>
    <w:rsid w:val="1F1830CB"/>
    <w:rsid w:val="1F1D4CEA"/>
    <w:rsid w:val="1F3431EF"/>
    <w:rsid w:val="1F412ACD"/>
    <w:rsid w:val="1F896D6A"/>
    <w:rsid w:val="1FA51C58"/>
    <w:rsid w:val="1FA7649E"/>
    <w:rsid w:val="1FBE7B22"/>
    <w:rsid w:val="1FCD4EA9"/>
    <w:rsid w:val="20061562"/>
    <w:rsid w:val="200A7EAB"/>
    <w:rsid w:val="2017317A"/>
    <w:rsid w:val="201D0468"/>
    <w:rsid w:val="202857A9"/>
    <w:rsid w:val="202D76F6"/>
    <w:rsid w:val="203D7B26"/>
    <w:rsid w:val="20B10327"/>
    <w:rsid w:val="20B15A28"/>
    <w:rsid w:val="20C655D1"/>
    <w:rsid w:val="20C77B4A"/>
    <w:rsid w:val="20C92795"/>
    <w:rsid w:val="20D65FDF"/>
    <w:rsid w:val="20DB0CE4"/>
    <w:rsid w:val="20E961FA"/>
    <w:rsid w:val="211A14D6"/>
    <w:rsid w:val="211F34E2"/>
    <w:rsid w:val="2132735C"/>
    <w:rsid w:val="21564CC5"/>
    <w:rsid w:val="21725E20"/>
    <w:rsid w:val="217F21D3"/>
    <w:rsid w:val="21894835"/>
    <w:rsid w:val="219F6403"/>
    <w:rsid w:val="21A148C9"/>
    <w:rsid w:val="21A84B20"/>
    <w:rsid w:val="21A97250"/>
    <w:rsid w:val="21D06ED2"/>
    <w:rsid w:val="21D547D9"/>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C40371"/>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B7744"/>
    <w:rsid w:val="2651082C"/>
    <w:rsid w:val="267E7EE2"/>
    <w:rsid w:val="26A804CA"/>
    <w:rsid w:val="26C66AA9"/>
    <w:rsid w:val="26DD1E76"/>
    <w:rsid w:val="26F64CE5"/>
    <w:rsid w:val="26F87EF2"/>
    <w:rsid w:val="271703C5"/>
    <w:rsid w:val="27351CB2"/>
    <w:rsid w:val="27361586"/>
    <w:rsid w:val="275163C0"/>
    <w:rsid w:val="277D1B2D"/>
    <w:rsid w:val="27835FFC"/>
    <w:rsid w:val="2794279E"/>
    <w:rsid w:val="279E7050"/>
    <w:rsid w:val="27A466B8"/>
    <w:rsid w:val="27AF6D80"/>
    <w:rsid w:val="27B0198F"/>
    <w:rsid w:val="27B92AB7"/>
    <w:rsid w:val="27D43FB1"/>
    <w:rsid w:val="27DE552A"/>
    <w:rsid w:val="27E022D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B259E"/>
    <w:rsid w:val="291D0C4F"/>
    <w:rsid w:val="2924258A"/>
    <w:rsid w:val="29274E04"/>
    <w:rsid w:val="293F46A3"/>
    <w:rsid w:val="296D1EE4"/>
    <w:rsid w:val="29944EB8"/>
    <w:rsid w:val="299C4433"/>
    <w:rsid w:val="29DB4666"/>
    <w:rsid w:val="29E4351B"/>
    <w:rsid w:val="29E736D3"/>
    <w:rsid w:val="29EC0622"/>
    <w:rsid w:val="29FB1FE8"/>
    <w:rsid w:val="29FE68AE"/>
    <w:rsid w:val="2A031B89"/>
    <w:rsid w:val="2A070C32"/>
    <w:rsid w:val="2A0B0AA8"/>
    <w:rsid w:val="2A1F6D8E"/>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1322F"/>
    <w:rsid w:val="2B9A7696"/>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EF46B1"/>
    <w:rsid w:val="2CF220D0"/>
    <w:rsid w:val="2D032370"/>
    <w:rsid w:val="2D056154"/>
    <w:rsid w:val="2D094BEA"/>
    <w:rsid w:val="2D2A52C6"/>
    <w:rsid w:val="2D4D7629"/>
    <w:rsid w:val="2D880661"/>
    <w:rsid w:val="2D8F1DD6"/>
    <w:rsid w:val="2D915A33"/>
    <w:rsid w:val="2D954534"/>
    <w:rsid w:val="2D9800A5"/>
    <w:rsid w:val="2DC3712A"/>
    <w:rsid w:val="2DE171DF"/>
    <w:rsid w:val="2DEF1551"/>
    <w:rsid w:val="2E0200C9"/>
    <w:rsid w:val="2E3C6ABB"/>
    <w:rsid w:val="2E4345B4"/>
    <w:rsid w:val="2E5A3DAC"/>
    <w:rsid w:val="2E5D53FD"/>
    <w:rsid w:val="2E61599C"/>
    <w:rsid w:val="2E6332CF"/>
    <w:rsid w:val="2EA63495"/>
    <w:rsid w:val="2EBA0298"/>
    <w:rsid w:val="2EBF09B3"/>
    <w:rsid w:val="2ED22F7C"/>
    <w:rsid w:val="2ED73784"/>
    <w:rsid w:val="2EDF3673"/>
    <w:rsid w:val="2EE213C2"/>
    <w:rsid w:val="2EFC30B5"/>
    <w:rsid w:val="2F486989"/>
    <w:rsid w:val="2F653004"/>
    <w:rsid w:val="2F684953"/>
    <w:rsid w:val="2F8135BA"/>
    <w:rsid w:val="2F8D622E"/>
    <w:rsid w:val="2F9037FD"/>
    <w:rsid w:val="2F917CA1"/>
    <w:rsid w:val="2F982E42"/>
    <w:rsid w:val="2FCB7EDC"/>
    <w:rsid w:val="2FD951A4"/>
    <w:rsid w:val="2FE60F0B"/>
    <w:rsid w:val="2FFE3400"/>
    <w:rsid w:val="301B0290"/>
    <w:rsid w:val="303C4D07"/>
    <w:rsid w:val="306461F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54D73"/>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A37FA3"/>
    <w:rsid w:val="33B73A4E"/>
    <w:rsid w:val="33B946F2"/>
    <w:rsid w:val="33B95A18"/>
    <w:rsid w:val="33D4718D"/>
    <w:rsid w:val="33DC0716"/>
    <w:rsid w:val="33E54418"/>
    <w:rsid w:val="33F07509"/>
    <w:rsid w:val="33F627C9"/>
    <w:rsid w:val="341A5E10"/>
    <w:rsid w:val="34272982"/>
    <w:rsid w:val="342804A8"/>
    <w:rsid w:val="343C7EFD"/>
    <w:rsid w:val="34472085"/>
    <w:rsid w:val="34572B3B"/>
    <w:rsid w:val="346D0033"/>
    <w:rsid w:val="3474193F"/>
    <w:rsid w:val="347A4AA6"/>
    <w:rsid w:val="347C3D10"/>
    <w:rsid w:val="34BA5036"/>
    <w:rsid w:val="34BC5AFA"/>
    <w:rsid w:val="34C91AA1"/>
    <w:rsid w:val="34D337DA"/>
    <w:rsid w:val="34D6600F"/>
    <w:rsid w:val="34EE34A0"/>
    <w:rsid w:val="34FA7F15"/>
    <w:rsid w:val="34FB24F0"/>
    <w:rsid w:val="352930DB"/>
    <w:rsid w:val="353B59DD"/>
    <w:rsid w:val="35534E88"/>
    <w:rsid w:val="35633752"/>
    <w:rsid w:val="3569521C"/>
    <w:rsid w:val="35823489"/>
    <w:rsid w:val="35897E8C"/>
    <w:rsid w:val="35953A4C"/>
    <w:rsid w:val="35A66D4C"/>
    <w:rsid w:val="35B5404A"/>
    <w:rsid w:val="35CA6E6E"/>
    <w:rsid w:val="35F950CF"/>
    <w:rsid w:val="35FA1CB2"/>
    <w:rsid w:val="36050AA1"/>
    <w:rsid w:val="361E1B63"/>
    <w:rsid w:val="361E6D32"/>
    <w:rsid w:val="36301896"/>
    <w:rsid w:val="36320657"/>
    <w:rsid w:val="36321AB2"/>
    <w:rsid w:val="36673AC2"/>
    <w:rsid w:val="3683401A"/>
    <w:rsid w:val="369D7707"/>
    <w:rsid w:val="36AB2FBA"/>
    <w:rsid w:val="36C3270A"/>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615DAA"/>
    <w:rsid w:val="3B944458"/>
    <w:rsid w:val="3B954675"/>
    <w:rsid w:val="3B9823B7"/>
    <w:rsid w:val="3BAF7463"/>
    <w:rsid w:val="3BB271C7"/>
    <w:rsid w:val="3BB557AB"/>
    <w:rsid w:val="3BBF5B96"/>
    <w:rsid w:val="3BC744EA"/>
    <w:rsid w:val="3BCE135D"/>
    <w:rsid w:val="3BD60968"/>
    <w:rsid w:val="3C4414D2"/>
    <w:rsid w:val="3C595B04"/>
    <w:rsid w:val="3C5C17D2"/>
    <w:rsid w:val="3C5F42F8"/>
    <w:rsid w:val="3C6C0F9B"/>
    <w:rsid w:val="3C7301F1"/>
    <w:rsid w:val="3C7356FA"/>
    <w:rsid w:val="3C860462"/>
    <w:rsid w:val="3CA1704A"/>
    <w:rsid w:val="3CD4741F"/>
    <w:rsid w:val="3CFB3A43"/>
    <w:rsid w:val="3CFB661F"/>
    <w:rsid w:val="3D0B626C"/>
    <w:rsid w:val="3D0F4D1C"/>
    <w:rsid w:val="3D167A38"/>
    <w:rsid w:val="3D487A50"/>
    <w:rsid w:val="3D5139EC"/>
    <w:rsid w:val="3D7A6218"/>
    <w:rsid w:val="3D8552FA"/>
    <w:rsid w:val="3D8C367A"/>
    <w:rsid w:val="3DB039E8"/>
    <w:rsid w:val="3DCF2188"/>
    <w:rsid w:val="3DD1570D"/>
    <w:rsid w:val="3DDE7492"/>
    <w:rsid w:val="3DF2026B"/>
    <w:rsid w:val="3DF80EEB"/>
    <w:rsid w:val="3DFA1107"/>
    <w:rsid w:val="3DFF04CC"/>
    <w:rsid w:val="3E0E6961"/>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7E18C4"/>
    <w:rsid w:val="3F821E5A"/>
    <w:rsid w:val="3F826617"/>
    <w:rsid w:val="3F882148"/>
    <w:rsid w:val="3FAD5B09"/>
    <w:rsid w:val="3FAF5707"/>
    <w:rsid w:val="3FD61700"/>
    <w:rsid w:val="3FD85683"/>
    <w:rsid w:val="3FF130F6"/>
    <w:rsid w:val="3FFA5B87"/>
    <w:rsid w:val="3FFF6096"/>
    <w:rsid w:val="40044B90"/>
    <w:rsid w:val="40153FD6"/>
    <w:rsid w:val="402042D4"/>
    <w:rsid w:val="40273D0A"/>
    <w:rsid w:val="40310071"/>
    <w:rsid w:val="4045485F"/>
    <w:rsid w:val="4081166C"/>
    <w:rsid w:val="40A01D3A"/>
    <w:rsid w:val="40C652D1"/>
    <w:rsid w:val="40C92CD2"/>
    <w:rsid w:val="40EE1315"/>
    <w:rsid w:val="410B7187"/>
    <w:rsid w:val="411249BA"/>
    <w:rsid w:val="41166258"/>
    <w:rsid w:val="414172BF"/>
    <w:rsid w:val="416A190F"/>
    <w:rsid w:val="416E7E42"/>
    <w:rsid w:val="416F3BBA"/>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C26869"/>
    <w:rsid w:val="42DD6902"/>
    <w:rsid w:val="42ED02B3"/>
    <w:rsid w:val="42FE6FA4"/>
    <w:rsid w:val="43040332"/>
    <w:rsid w:val="430F518E"/>
    <w:rsid w:val="43152860"/>
    <w:rsid w:val="431762B8"/>
    <w:rsid w:val="431A4176"/>
    <w:rsid w:val="431B17D2"/>
    <w:rsid w:val="434A043B"/>
    <w:rsid w:val="43560B8E"/>
    <w:rsid w:val="43607C5E"/>
    <w:rsid w:val="43772A58"/>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92AFA"/>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675331"/>
    <w:rsid w:val="458021A9"/>
    <w:rsid w:val="45834749"/>
    <w:rsid w:val="458D7ACD"/>
    <w:rsid w:val="45AB63C3"/>
    <w:rsid w:val="45D73ADC"/>
    <w:rsid w:val="45D93CF8"/>
    <w:rsid w:val="45F20395"/>
    <w:rsid w:val="45FE72BB"/>
    <w:rsid w:val="45FE7CC8"/>
    <w:rsid w:val="46053A9B"/>
    <w:rsid w:val="460A3EB2"/>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5D3DAD"/>
    <w:rsid w:val="47705F96"/>
    <w:rsid w:val="479C5383"/>
    <w:rsid w:val="479F646B"/>
    <w:rsid w:val="47A56FB4"/>
    <w:rsid w:val="47AD7CF1"/>
    <w:rsid w:val="47B9547A"/>
    <w:rsid w:val="47D67F88"/>
    <w:rsid w:val="4803505C"/>
    <w:rsid w:val="480831B5"/>
    <w:rsid w:val="480D66CD"/>
    <w:rsid w:val="480F105A"/>
    <w:rsid w:val="48194880"/>
    <w:rsid w:val="482849BA"/>
    <w:rsid w:val="483D056E"/>
    <w:rsid w:val="483F2BC9"/>
    <w:rsid w:val="485A1120"/>
    <w:rsid w:val="48A7549C"/>
    <w:rsid w:val="48B545A9"/>
    <w:rsid w:val="48BA15B1"/>
    <w:rsid w:val="48D273AC"/>
    <w:rsid w:val="48D76D49"/>
    <w:rsid w:val="48E97759"/>
    <w:rsid w:val="491F1E48"/>
    <w:rsid w:val="492139EC"/>
    <w:rsid w:val="49337978"/>
    <w:rsid w:val="495D26EB"/>
    <w:rsid w:val="49600707"/>
    <w:rsid w:val="49656EDC"/>
    <w:rsid w:val="49793828"/>
    <w:rsid w:val="4987138C"/>
    <w:rsid w:val="49883A6B"/>
    <w:rsid w:val="49B91793"/>
    <w:rsid w:val="49C37596"/>
    <w:rsid w:val="49CD147E"/>
    <w:rsid w:val="49CF169A"/>
    <w:rsid w:val="49D348F2"/>
    <w:rsid w:val="49E204D8"/>
    <w:rsid w:val="49FA66B9"/>
    <w:rsid w:val="4A0D3F70"/>
    <w:rsid w:val="4A103FF4"/>
    <w:rsid w:val="4A1277D9"/>
    <w:rsid w:val="4A2F213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D6DCE"/>
    <w:rsid w:val="4C752052"/>
    <w:rsid w:val="4C7D3694"/>
    <w:rsid w:val="4C9F27AB"/>
    <w:rsid w:val="4CBD4A44"/>
    <w:rsid w:val="4CD40D75"/>
    <w:rsid w:val="4CDE3815"/>
    <w:rsid w:val="4CED2983"/>
    <w:rsid w:val="4D0D2958"/>
    <w:rsid w:val="4D145493"/>
    <w:rsid w:val="4D2D4855"/>
    <w:rsid w:val="4D393332"/>
    <w:rsid w:val="4D3B01A7"/>
    <w:rsid w:val="4D4746C5"/>
    <w:rsid w:val="4D4D1254"/>
    <w:rsid w:val="4D5A74CD"/>
    <w:rsid w:val="4D6759FB"/>
    <w:rsid w:val="4D6E3517"/>
    <w:rsid w:val="4DB14B03"/>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35942"/>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046E2"/>
    <w:rsid w:val="5038679F"/>
    <w:rsid w:val="50463D38"/>
    <w:rsid w:val="5047222E"/>
    <w:rsid w:val="50670571"/>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B8492E"/>
    <w:rsid w:val="52CD201A"/>
    <w:rsid w:val="52DB316A"/>
    <w:rsid w:val="52DF5523"/>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30AC6"/>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60501F2"/>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8156DE"/>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701E0"/>
    <w:rsid w:val="5BB926FC"/>
    <w:rsid w:val="5BF54320"/>
    <w:rsid w:val="5C1633F6"/>
    <w:rsid w:val="5C246971"/>
    <w:rsid w:val="5C4867F4"/>
    <w:rsid w:val="5C6737F1"/>
    <w:rsid w:val="5C9C18B0"/>
    <w:rsid w:val="5C9E7970"/>
    <w:rsid w:val="5CBD1826"/>
    <w:rsid w:val="5CC37F37"/>
    <w:rsid w:val="5CE943C9"/>
    <w:rsid w:val="5CF96FBB"/>
    <w:rsid w:val="5CFD1C22"/>
    <w:rsid w:val="5D044DFB"/>
    <w:rsid w:val="5D2A3C5C"/>
    <w:rsid w:val="5D2E4206"/>
    <w:rsid w:val="5D6F2B20"/>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6002D2"/>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E4B89"/>
    <w:rsid w:val="63352116"/>
    <w:rsid w:val="63377DE5"/>
    <w:rsid w:val="633C769A"/>
    <w:rsid w:val="63452A53"/>
    <w:rsid w:val="63485127"/>
    <w:rsid w:val="635B58F5"/>
    <w:rsid w:val="637531A0"/>
    <w:rsid w:val="63966FB4"/>
    <w:rsid w:val="63973036"/>
    <w:rsid w:val="639B6291"/>
    <w:rsid w:val="639C2D33"/>
    <w:rsid w:val="63A105E6"/>
    <w:rsid w:val="63AD6150"/>
    <w:rsid w:val="63C96D02"/>
    <w:rsid w:val="63D36046"/>
    <w:rsid w:val="63D6255C"/>
    <w:rsid w:val="63E61F5F"/>
    <w:rsid w:val="63F00811"/>
    <w:rsid w:val="63F657AA"/>
    <w:rsid w:val="64065861"/>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602534E"/>
    <w:rsid w:val="66065FEC"/>
    <w:rsid w:val="660A5F17"/>
    <w:rsid w:val="66332DC3"/>
    <w:rsid w:val="6639006E"/>
    <w:rsid w:val="663C7C5F"/>
    <w:rsid w:val="663F7785"/>
    <w:rsid w:val="664804B3"/>
    <w:rsid w:val="665E7BD6"/>
    <w:rsid w:val="66632EA0"/>
    <w:rsid w:val="66633E9A"/>
    <w:rsid w:val="66651C8A"/>
    <w:rsid w:val="66656C51"/>
    <w:rsid w:val="66664CDC"/>
    <w:rsid w:val="668D3AA7"/>
    <w:rsid w:val="668D6304"/>
    <w:rsid w:val="669C6028"/>
    <w:rsid w:val="669F0689"/>
    <w:rsid w:val="66A87A0F"/>
    <w:rsid w:val="66B20509"/>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B20C8"/>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36F9E"/>
    <w:rsid w:val="6B311795"/>
    <w:rsid w:val="6B4D0219"/>
    <w:rsid w:val="6BA17867"/>
    <w:rsid w:val="6BA8544F"/>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A94419"/>
    <w:rsid w:val="6DB3108B"/>
    <w:rsid w:val="6DBD5004"/>
    <w:rsid w:val="6DC63E68"/>
    <w:rsid w:val="6DCF4F15"/>
    <w:rsid w:val="6DD447A6"/>
    <w:rsid w:val="6DEF4626"/>
    <w:rsid w:val="6E066FBB"/>
    <w:rsid w:val="6E1152C9"/>
    <w:rsid w:val="6E4678CD"/>
    <w:rsid w:val="6E531FEA"/>
    <w:rsid w:val="6E5C6B75"/>
    <w:rsid w:val="6E6D037E"/>
    <w:rsid w:val="6E95214E"/>
    <w:rsid w:val="6E9B7282"/>
    <w:rsid w:val="6EA3225C"/>
    <w:rsid w:val="6EA84CF4"/>
    <w:rsid w:val="6EAC10F7"/>
    <w:rsid w:val="6EB135A6"/>
    <w:rsid w:val="6EBF1FE4"/>
    <w:rsid w:val="6EC5163F"/>
    <w:rsid w:val="6F003A11"/>
    <w:rsid w:val="6F0A08FB"/>
    <w:rsid w:val="6F153111"/>
    <w:rsid w:val="6F3B3D99"/>
    <w:rsid w:val="6F415A91"/>
    <w:rsid w:val="6F5479EB"/>
    <w:rsid w:val="6F5558BD"/>
    <w:rsid w:val="6F5C177F"/>
    <w:rsid w:val="6F5E47A3"/>
    <w:rsid w:val="6F622446"/>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F13E2"/>
    <w:rsid w:val="70335C2F"/>
    <w:rsid w:val="704C1556"/>
    <w:rsid w:val="705D5373"/>
    <w:rsid w:val="707D50FC"/>
    <w:rsid w:val="707E0FD5"/>
    <w:rsid w:val="70867402"/>
    <w:rsid w:val="70A95654"/>
    <w:rsid w:val="70C312D3"/>
    <w:rsid w:val="70D43718"/>
    <w:rsid w:val="70F73101"/>
    <w:rsid w:val="7116172E"/>
    <w:rsid w:val="71241D10"/>
    <w:rsid w:val="712437CA"/>
    <w:rsid w:val="712D0854"/>
    <w:rsid w:val="713B389B"/>
    <w:rsid w:val="7142463B"/>
    <w:rsid w:val="71910D2E"/>
    <w:rsid w:val="71A010A2"/>
    <w:rsid w:val="71AC2056"/>
    <w:rsid w:val="71C1345D"/>
    <w:rsid w:val="71CB2462"/>
    <w:rsid w:val="71D445CE"/>
    <w:rsid w:val="71DA38CD"/>
    <w:rsid w:val="71E25B41"/>
    <w:rsid w:val="71F650B9"/>
    <w:rsid w:val="71FB277D"/>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5B4F58"/>
    <w:rsid w:val="748527D2"/>
    <w:rsid w:val="74921493"/>
    <w:rsid w:val="74A509B1"/>
    <w:rsid w:val="74B01B4A"/>
    <w:rsid w:val="74CA3328"/>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A9503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36589"/>
    <w:rsid w:val="78261305"/>
    <w:rsid w:val="784974F5"/>
    <w:rsid w:val="784B19A6"/>
    <w:rsid w:val="78540E39"/>
    <w:rsid w:val="78681083"/>
    <w:rsid w:val="788B24B1"/>
    <w:rsid w:val="789079E5"/>
    <w:rsid w:val="7891016B"/>
    <w:rsid w:val="789B0816"/>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110428"/>
    <w:rsid w:val="7B113011"/>
    <w:rsid w:val="7B205002"/>
    <w:rsid w:val="7B220D7A"/>
    <w:rsid w:val="7B2F5349"/>
    <w:rsid w:val="7B5666FB"/>
    <w:rsid w:val="7B5C232E"/>
    <w:rsid w:val="7B5E12BB"/>
    <w:rsid w:val="7B637C47"/>
    <w:rsid w:val="7BA43E85"/>
    <w:rsid w:val="7BAB6FC2"/>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9C44FE"/>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3"/>
    <w:autoRedefine/>
    <w:qFormat/>
    <w:uiPriority w:val="0"/>
    <w:pPr>
      <w:keepNext/>
      <w:keepLines/>
      <w:spacing w:before="340" w:after="330" w:line="578" w:lineRule="auto"/>
      <w:outlineLvl w:val="0"/>
    </w:pPr>
    <w:rPr>
      <w:b/>
      <w:bCs/>
      <w:kern w:val="44"/>
      <w:sz w:val="44"/>
      <w:szCs w:val="44"/>
    </w:rPr>
  </w:style>
  <w:style w:type="paragraph" w:styleId="7">
    <w:name w:val="heading 2"/>
    <w:basedOn w:val="1"/>
    <w:next w:val="1"/>
    <w:autoRedefine/>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autoRedefine/>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4"/>
    <w:autoRedefine/>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5"/>
    <w:autoRedefine/>
    <w:qFormat/>
    <w:uiPriority w:val="0"/>
    <w:pPr>
      <w:keepNext/>
      <w:keepLines/>
      <w:spacing w:before="280" w:after="290" w:line="376" w:lineRule="auto"/>
      <w:outlineLvl w:val="4"/>
    </w:pPr>
    <w:rPr>
      <w:b/>
      <w:bCs/>
      <w:sz w:val="28"/>
      <w:szCs w:val="28"/>
    </w:rPr>
  </w:style>
  <w:style w:type="paragraph" w:styleId="11">
    <w:name w:val="heading 6"/>
    <w:basedOn w:val="1"/>
    <w:next w:val="1"/>
    <w:link w:val="56"/>
    <w:autoRedefine/>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57"/>
    <w:autoRedefine/>
    <w:qFormat/>
    <w:uiPriority w:val="0"/>
    <w:pPr>
      <w:keepNext/>
      <w:keepLines/>
      <w:spacing w:before="240" w:after="64" w:line="320" w:lineRule="auto"/>
      <w:outlineLvl w:val="6"/>
    </w:pPr>
    <w:rPr>
      <w:b/>
      <w:bCs/>
      <w:sz w:val="24"/>
    </w:rPr>
  </w:style>
  <w:style w:type="character" w:default="1" w:styleId="36">
    <w:name w:val="Default Paragraph Font"/>
    <w:autoRedefine/>
    <w:semiHidden/>
    <w:qFormat/>
    <w:uiPriority w:val="0"/>
  </w:style>
  <w:style w:type="table" w:default="1" w:styleId="34">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link w:val="52"/>
    <w:autoRedefine/>
    <w:qFormat/>
    <w:uiPriority w:val="0"/>
    <w:pPr>
      <w:ind w:left="420" w:firstLine="420" w:firstLineChars="200"/>
    </w:pPr>
  </w:style>
  <w:style w:type="paragraph" w:styleId="3">
    <w:name w:val="Body Text Indent"/>
    <w:basedOn w:val="1"/>
    <w:next w:val="4"/>
    <w:link w:val="51"/>
    <w:autoRedefine/>
    <w:qFormat/>
    <w:uiPriority w:val="0"/>
    <w:pPr>
      <w:spacing w:after="120"/>
      <w:ind w:left="200" w:leftChars="200"/>
    </w:pPr>
  </w:style>
  <w:style w:type="paragraph" w:styleId="4">
    <w:name w:val="envelope return"/>
    <w:basedOn w:val="1"/>
    <w:next w:val="5"/>
    <w:autoRedefine/>
    <w:qFormat/>
    <w:uiPriority w:val="0"/>
    <w:pPr>
      <w:snapToGrid w:val="0"/>
    </w:pPr>
    <w:rPr>
      <w:rFonts w:ascii="Arial" w:hAnsi="Arial"/>
    </w:rPr>
  </w:style>
  <w:style w:type="paragraph" w:styleId="5">
    <w:name w:val="toc 7"/>
    <w:basedOn w:val="1"/>
    <w:next w:val="1"/>
    <w:autoRedefine/>
    <w:qFormat/>
    <w:uiPriority w:val="39"/>
    <w:pPr>
      <w:ind w:left="1260"/>
      <w:jc w:val="left"/>
    </w:pPr>
    <w:rPr>
      <w:sz w:val="18"/>
      <w:szCs w:val="18"/>
    </w:rPr>
  </w:style>
  <w:style w:type="paragraph" w:styleId="13">
    <w:name w:val="List Number 2"/>
    <w:basedOn w:val="1"/>
    <w:autoRedefine/>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autoRedefine/>
    <w:qFormat/>
    <w:uiPriority w:val="0"/>
    <w:pPr>
      <w:adjustRightInd w:val="0"/>
      <w:spacing w:line="360" w:lineRule="atLeast"/>
      <w:ind w:firstLine="482"/>
      <w:textAlignment w:val="baseline"/>
    </w:pPr>
    <w:rPr>
      <w:kern w:val="0"/>
      <w:sz w:val="24"/>
      <w:szCs w:val="20"/>
    </w:rPr>
  </w:style>
  <w:style w:type="paragraph" w:styleId="15">
    <w:name w:val="annotation text"/>
    <w:basedOn w:val="1"/>
    <w:link w:val="58"/>
    <w:autoRedefine/>
    <w:qFormat/>
    <w:uiPriority w:val="0"/>
    <w:pPr>
      <w:jc w:val="left"/>
    </w:pPr>
  </w:style>
  <w:style w:type="paragraph" w:styleId="16">
    <w:name w:val="Body Text"/>
    <w:basedOn w:val="1"/>
    <w:next w:val="1"/>
    <w:autoRedefine/>
    <w:semiHidden/>
    <w:qFormat/>
    <w:uiPriority w:val="0"/>
    <w:pPr>
      <w:spacing w:after="120"/>
    </w:pPr>
  </w:style>
  <w:style w:type="paragraph" w:styleId="17">
    <w:name w:val="toc 3"/>
    <w:basedOn w:val="1"/>
    <w:next w:val="1"/>
    <w:autoRedefine/>
    <w:qFormat/>
    <w:uiPriority w:val="39"/>
    <w:pPr>
      <w:tabs>
        <w:tab w:val="right" w:leader="dot" w:pos="9288"/>
      </w:tabs>
      <w:ind w:left="400" w:leftChars="400"/>
    </w:pPr>
    <w:rPr>
      <w:rFonts w:ascii="宋体"/>
    </w:rPr>
  </w:style>
  <w:style w:type="paragraph" w:styleId="18">
    <w:name w:val="Plain Text"/>
    <w:basedOn w:val="1"/>
    <w:next w:val="1"/>
    <w:link w:val="59"/>
    <w:autoRedefine/>
    <w:qFormat/>
    <w:uiPriority w:val="99"/>
    <w:rPr>
      <w:rFonts w:ascii="宋体"/>
      <w:color w:val="000000"/>
      <w:szCs w:val="20"/>
      <w:u w:val="none" w:color="000000"/>
    </w:rPr>
  </w:style>
  <w:style w:type="paragraph" w:styleId="19">
    <w:name w:val="Date"/>
    <w:basedOn w:val="1"/>
    <w:next w:val="1"/>
    <w:link w:val="60"/>
    <w:autoRedefine/>
    <w:qFormat/>
    <w:uiPriority w:val="0"/>
    <w:rPr>
      <w:rFonts w:ascii="Arial" w:hAnsi="Arial" w:eastAsia="仿宋_GB2312"/>
      <w:color w:val="000000"/>
      <w:sz w:val="32"/>
      <w:szCs w:val="20"/>
      <w:u w:val="none" w:color="000000"/>
    </w:rPr>
  </w:style>
  <w:style w:type="paragraph" w:styleId="20">
    <w:name w:val="Body Text Indent 2"/>
    <w:basedOn w:val="1"/>
    <w:link w:val="61"/>
    <w:autoRedefine/>
    <w:qFormat/>
    <w:uiPriority w:val="0"/>
    <w:pPr>
      <w:spacing w:after="120" w:line="480" w:lineRule="auto"/>
      <w:ind w:left="420" w:leftChars="200"/>
    </w:pPr>
  </w:style>
  <w:style w:type="paragraph" w:styleId="21">
    <w:name w:val="endnote text"/>
    <w:basedOn w:val="1"/>
    <w:autoRedefine/>
    <w:qFormat/>
    <w:uiPriority w:val="99"/>
    <w:pPr>
      <w:snapToGrid w:val="0"/>
    </w:pPr>
    <w:rPr>
      <w:rFonts w:ascii="仿宋" w:hAnsi="仿宋"/>
    </w:rPr>
  </w:style>
  <w:style w:type="paragraph" w:styleId="22">
    <w:name w:val="Balloon Text"/>
    <w:basedOn w:val="1"/>
    <w:link w:val="62"/>
    <w:autoRedefine/>
    <w:qFormat/>
    <w:uiPriority w:val="0"/>
    <w:rPr>
      <w:sz w:val="18"/>
      <w:szCs w:val="18"/>
    </w:rPr>
  </w:style>
  <w:style w:type="paragraph" w:styleId="23">
    <w:name w:val="footer"/>
    <w:basedOn w:val="1"/>
    <w:link w:val="63"/>
    <w:autoRedefine/>
    <w:qFormat/>
    <w:uiPriority w:val="0"/>
    <w:pPr>
      <w:tabs>
        <w:tab w:val="center" w:pos="4153"/>
        <w:tab w:val="right" w:pos="8306"/>
      </w:tabs>
      <w:snapToGrid w:val="0"/>
      <w:jc w:val="left"/>
    </w:pPr>
    <w:rPr>
      <w:sz w:val="18"/>
      <w:szCs w:val="18"/>
    </w:rPr>
  </w:style>
  <w:style w:type="paragraph" w:styleId="24">
    <w:name w:val="header"/>
    <w:basedOn w:val="1"/>
    <w:link w:val="64"/>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39"/>
  </w:style>
  <w:style w:type="paragraph" w:styleId="26">
    <w:name w:val="Subtitle"/>
    <w:basedOn w:val="1"/>
    <w:next w:val="1"/>
    <w:autoRedefine/>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7">
    <w:name w:val="List"/>
    <w:basedOn w:val="1"/>
    <w:autoRedefine/>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8">
    <w:name w:val="toc 2"/>
    <w:basedOn w:val="1"/>
    <w:next w:val="1"/>
    <w:autoRedefine/>
    <w:qFormat/>
    <w:uiPriority w:val="39"/>
    <w:pPr>
      <w:ind w:left="200" w:leftChars="200"/>
    </w:pPr>
  </w:style>
  <w:style w:type="paragraph" w:styleId="29">
    <w:name w:val="Normal (Web)"/>
    <w:basedOn w:val="1"/>
    <w:next w:val="30"/>
    <w:autoRedefine/>
    <w:qFormat/>
    <w:uiPriority w:val="0"/>
    <w:pPr>
      <w:widowControl/>
      <w:spacing w:before="100" w:beforeAutospacing="1" w:after="100" w:afterAutospacing="1"/>
      <w:jc w:val="left"/>
    </w:pPr>
    <w:rPr>
      <w:rFonts w:ascii="宋体" w:hAnsi="宋体" w:cs="宋体"/>
      <w:kern w:val="0"/>
      <w:sz w:val="24"/>
    </w:rPr>
  </w:style>
  <w:style w:type="paragraph" w:customStyle="1" w:styleId="30">
    <w:name w:val="正文文字 8"/>
    <w:basedOn w:val="1"/>
    <w:next w:val="1"/>
    <w:autoRedefine/>
    <w:qFormat/>
    <w:uiPriority w:val="0"/>
    <w:pPr>
      <w:ind w:left="240"/>
    </w:pPr>
    <w:rPr>
      <w:sz w:val="16"/>
    </w:rPr>
  </w:style>
  <w:style w:type="paragraph" w:styleId="31">
    <w:name w:val="index 1"/>
    <w:basedOn w:val="1"/>
    <w:next w:val="1"/>
    <w:autoRedefine/>
    <w:qFormat/>
    <w:uiPriority w:val="0"/>
    <w:pPr>
      <w:jc w:val="center"/>
    </w:pPr>
    <w:rPr>
      <w:rFonts w:ascii="Arial" w:hAnsi="Arial" w:eastAsia="Arial" w:cs="Arial"/>
      <w:b/>
      <w:bCs/>
      <w:sz w:val="28"/>
    </w:rPr>
  </w:style>
  <w:style w:type="paragraph" w:styleId="32">
    <w:name w:val="Title"/>
    <w:basedOn w:val="1"/>
    <w:next w:val="1"/>
    <w:autoRedefine/>
    <w:qFormat/>
    <w:uiPriority w:val="0"/>
    <w:pPr>
      <w:numPr>
        <w:ilvl w:val="0"/>
        <w:numId w:val="4"/>
      </w:numPr>
      <w:spacing w:line="360" w:lineRule="auto"/>
      <w:jc w:val="left"/>
      <w:outlineLvl w:val="0"/>
    </w:pPr>
    <w:rPr>
      <w:rFonts w:ascii="Cambria" w:hAnsi="Cambria" w:cs="Times New Roman"/>
      <w:b/>
      <w:bCs/>
      <w:sz w:val="28"/>
      <w:szCs w:val="32"/>
    </w:rPr>
  </w:style>
  <w:style w:type="paragraph" w:styleId="33">
    <w:name w:val="annotation subject"/>
    <w:basedOn w:val="15"/>
    <w:next w:val="15"/>
    <w:link w:val="65"/>
    <w:autoRedefine/>
    <w:qFormat/>
    <w:uiPriority w:val="0"/>
    <w:rPr>
      <w:b/>
      <w:bCs/>
    </w:rPr>
  </w:style>
  <w:style w:type="table" w:styleId="35">
    <w:name w:val="Table Grid"/>
    <w:basedOn w:val="3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autoRedefine/>
    <w:qFormat/>
    <w:uiPriority w:val="0"/>
    <w:rPr>
      <w:b/>
    </w:rPr>
  </w:style>
  <w:style w:type="character" w:styleId="38">
    <w:name w:val="page number"/>
    <w:autoRedefine/>
    <w:qFormat/>
    <w:uiPriority w:val="0"/>
  </w:style>
  <w:style w:type="character" w:styleId="39">
    <w:name w:val="FollowedHyperlink"/>
    <w:autoRedefine/>
    <w:qFormat/>
    <w:uiPriority w:val="0"/>
    <w:rPr>
      <w:color w:val="333333"/>
      <w:u w:val="none"/>
    </w:rPr>
  </w:style>
  <w:style w:type="character" w:styleId="40">
    <w:name w:val="Emphasis"/>
    <w:autoRedefine/>
    <w:qFormat/>
    <w:uiPriority w:val="20"/>
    <w:rPr>
      <w:i/>
      <w:iCs/>
    </w:rPr>
  </w:style>
  <w:style w:type="character" w:styleId="41">
    <w:name w:val="HTML Definition"/>
    <w:autoRedefine/>
    <w:qFormat/>
    <w:uiPriority w:val="0"/>
  </w:style>
  <w:style w:type="character" w:styleId="42">
    <w:name w:val="HTML Typewriter"/>
    <w:autoRedefine/>
    <w:qFormat/>
    <w:uiPriority w:val="0"/>
    <w:rPr>
      <w:rFonts w:ascii="monospace" w:hAnsi="monospace" w:eastAsia="monospace" w:cs="monospace"/>
      <w:sz w:val="20"/>
    </w:rPr>
  </w:style>
  <w:style w:type="character" w:styleId="43">
    <w:name w:val="HTML Acronym"/>
    <w:autoRedefine/>
    <w:qFormat/>
    <w:uiPriority w:val="0"/>
  </w:style>
  <w:style w:type="character" w:styleId="44">
    <w:name w:val="HTML Variable"/>
    <w:autoRedefine/>
    <w:qFormat/>
    <w:uiPriority w:val="0"/>
  </w:style>
  <w:style w:type="character" w:styleId="45">
    <w:name w:val="Hyperlink"/>
    <w:autoRedefine/>
    <w:qFormat/>
    <w:uiPriority w:val="99"/>
    <w:rPr>
      <w:color w:val="333333"/>
      <w:u w:val="none"/>
    </w:rPr>
  </w:style>
  <w:style w:type="character" w:styleId="46">
    <w:name w:val="HTML Code"/>
    <w:autoRedefine/>
    <w:qFormat/>
    <w:uiPriority w:val="0"/>
    <w:rPr>
      <w:rFonts w:hint="default" w:ascii="monospace" w:hAnsi="monospace" w:eastAsia="monospace" w:cs="monospace"/>
      <w:sz w:val="20"/>
    </w:rPr>
  </w:style>
  <w:style w:type="character" w:styleId="47">
    <w:name w:val="annotation reference"/>
    <w:autoRedefine/>
    <w:qFormat/>
    <w:uiPriority w:val="0"/>
    <w:rPr>
      <w:sz w:val="21"/>
      <w:szCs w:val="21"/>
    </w:rPr>
  </w:style>
  <w:style w:type="character" w:styleId="48">
    <w:name w:val="HTML Cite"/>
    <w:autoRedefine/>
    <w:qFormat/>
    <w:uiPriority w:val="0"/>
  </w:style>
  <w:style w:type="character" w:styleId="49">
    <w:name w:val="HTML Keyboard"/>
    <w:autoRedefine/>
    <w:qFormat/>
    <w:uiPriority w:val="0"/>
    <w:rPr>
      <w:rFonts w:hint="default" w:ascii="monospace" w:hAnsi="monospace" w:eastAsia="monospace" w:cs="monospace"/>
      <w:sz w:val="20"/>
    </w:rPr>
  </w:style>
  <w:style w:type="character" w:styleId="50">
    <w:name w:val="HTML Sample"/>
    <w:autoRedefine/>
    <w:qFormat/>
    <w:uiPriority w:val="0"/>
    <w:rPr>
      <w:rFonts w:hint="default" w:ascii="monospace" w:hAnsi="monospace" w:eastAsia="monospace" w:cs="monospace"/>
    </w:rPr>
  </w:style>
  <w:style w:type="character" w:customStyle="1" w:styleId="51">
    <w:name w:val="正文文本缩进 字符"/>
    <w:link w:val="3"/>
    <w:autoRedefine/>
    <w:qFormat/>
    <w:uiPriority w:val="0"/>
    <w:rPr>
      <w:kern w:val="2"/>
      <w:sz w:val="21"/>
      <w:szCs w:val="24"/>
    </w:rPr>
  </w:style>
  <w:style w:type="character" w:customStyle="1" w:styleId="52">
    <w:name w:val="正文文本首行缩进 2 字符"/>
    <w:link w:val="2"/>
    <w:autoRedefine/>
    <w:qFormat/>
    <w:uiPriority w:val="0"/>
  </w:style>
  <w:style w:type="character" w:customStyle="1" w:styleId="53">
    <w:name w:val="标题 1 字符"/>
    <w:link w:val="6"/>
    <w:autoRedefine/>
    <w:qFormat/>
    <w:uiPriority w:val="0"/>
    <w:rPr>
      <w:b/>
      <w:bCs/>
      <w:kern w:val="44"/>
      <w:sz w:val="44"/>
      <w:szCs w:val="44"/>
    </w:rPr>
  </w:style>
  <w:style w:type="character" w:customStyle="1" w:styleId="54">
    <w:name w:val="标题 4 字符"/>
    <w:link w:val="9"/>
    <w:autoRedefine/>
    <w:qFormat/>
    <w:locked/>
    <w:uiPriority w:val="0"/>
    <w:rPr>
      <w:rFonts w:ascii="Arial" w:hAnsi="Arial" w:eastAsia="黑体"/>
      <w:b/>
      <w:bCs/>
      <w:color w:val="000000"/>
      <w:sz w:val="28"/>
      <w:szCs w:val="28"/>
      <w:u w:val="none" w:color="000000"/>
      <w:lang w:val="en-US" w:eastAsia="zh-CN" w:bidi="ar-SA"/>
    </w:rPr>
  </w:style>
  <w:style w:type="character" w:customStyle="1" w:styleId="55">
    <w:name w:val="标题 5 字符"/>
    <w:link w:val="10"/>
    <w:autoRedefine/>
    <w:semiHidden/>
    <w:qFormat/>
    <w:uiPriority w:val="0"/>
    <w:rPr>
      <w:b/>
      <w:bCs/>
      <w:kern w:val="2"/>
      <w:sz w:val="28"/>
      <w:szCs w:val="28"/>
    </w:rPr>
  </w:style>
  <w:style w:type="character" w:customStyle="1" w:styleId="56">
    <w:name w:val="标题 6 字符"/>
    <w:link w:val="11"/>
    <w:autoRedefine/>
    <w:semiHidden/>
    <w:qFormat/>
    <w:uiPriority w:val="0"/>
    <w:rPr>
      <w:rFonts w:ascii="Cambria" w:hAnsi="Cambria" w:eastAsia="宋体" w:cs="Times New Roman"/>
      <w:b/>
      <w:bCs/>
      <w:kern w:val="2"/>
      <w:sz w:val="24"/>
      <w:szCs w:val="24"/>
    </w:rPr>
  </w:style>
  <w:style w:type="character" w:customStyle="1" w:styleId="57">
    <w:name w:val="标题 7 字符"/>
    <w:link w:val="12"/>
    <w:autoRedefine/>
    <w:semiHidden/>
    <w:qFormat/>
    <w:uiPriority w:val="0"/>
    <w:rPr>
      <w:b/>
      <w:bCs/>
      <w:kern w:val="2"/>
      <w:sz w:val="24"/>
      <w:szCs w:val="24"/>
    </w:rPr>
  </w:style>
  <w:style w:type="character" w:customStyle="1" w:styleId="58">
    <w:name w:val="批注文字 字符"/>
    <w:link w:val="15"/>
    <w:autoRedefine/>
    <w:qFormat/>
    <w:uiPriority w:val="0"/>
    <w:rPr>
      <w:kern w:val="2"/>
      <w:sz w:val="21"/>
      <w:szCs w:val="24"/>
    </w:rPr>
  </w:style>
  <w:style w:type="character" w:customStyle="1" w:styleId="59">
    <w:name w:val="纯文本 字符"/>
    <w:link w:val="18"/>
    <w:autoRedefine/>
    <w:qFormat/>
    <w:uiPriority w:val="99"/>
    <w:rPr>
      <w:rFonts w:ascii="宋体" w:eastAsia="宋体"/>
      <w:color w:val="000000"/>
      <w:kern w:val="2"/>
      <w:sz w:val="21"/>
      <w:u w:val="none" w:color="000000"/>
      <w:lang w:val="en-US" w:eastAsia="zh-CN" w:bidi="ar-SA"/>
    </w:rPr>
  </w:style>
  <w:style w:type="character" w:customStyle="1" w:styleId="60">
    <w:name w:val="日期 字符"/>
    <w:link w:val="19"/>
    <w:autoRedefine/>
    <w:qFormat/>
    <w:uiPriority w:val="0"/>
    <w:rPr>
      <w:rFonts w:ascii="Arial" w:hAnsi="Arial" w:eastAsia="仿宋_GB2312"/>
      <w:color w:val="000000"/>
      <w:kern w:val="2"/>
      <w:sz w:val="32"/>
      <w:u w:val="none" w:color="000000"/>
    </w:rPr>
  </w:style>
  <w:style w:type="character" w:customStyle="1" w:styleId="61">
    <w:name w:val="正文文本缩进 2 字符"/>
    <w:link w:val="20"/>
    <w:autoRedefine/>
    <w:qFormat/>
    <w:uiPriority w:val="0"/>
    <w:rPr>
      <w:kern w:val="2"/>
      <w:sz w:val="21"/>
      <w:szCs w:val="24"/>
    </w:rPr>
  </w:style>
  <w:style w:type="character" w:customStyle="1" w:styleId="62">
    <w:name w:val="批注框文本 字符"/>
    <w:link w:val="22"/>
    <w:autoRedefine/>
    <w:qFormat/>
    <w:uiPriority w:val="0"/>
    <w:rPr>
      <w:kern w:val="2"/>
      <w:sz w:val="18"/>
      <w:szCs w:val="18"/>
    </w:rPr>
  </w:style>
  <w:style w:type="character" w:customStyle="1" w:styleId="63">
    <w:name w:val="页脚 字符"/>
    <w:link w:val="23"/>
    <w:autoRedefine/>
    <w:qFormat/>
    <w:locked/>
    <w:uiPriority w:val="0"/>
    <w:rPr>
      <w:kern w:val="2"/>
      <w:sz w:val="18"/>
      <w:szCs w:val="18"/>
    </w:rPr>
  </w:style>
  <w:style w:type="character" w:customStyle="1" w:styleId="64">
    <w:name w:val="页眉 字符"/>
    <w:link w:val="24"/>
    <w:autoRedefine/>
    <w:qFormat/>
    <w:locked/>
    <w:uiPriority w:val="0"/>
    <w:rPr>
      <w:kern w:val="2"/>
      <w:sz w:val="18"/>
      <w:szCs w:val="18"/>
    </w:rPr>
  </w:style>
  <w:style w:type="character" w:customStyle="1" w:styleId="65">
    <w:name w:val="批注主题 字符"/>
    <w:link w:val="33"/>
    <w:autoRedefine/>
    <w:qFormat/>
    <w:uiPriority w:val="0"/>
    <w:rPr>
      <w:b/>
      <w:bCs/>
      <w:kern w:val="2"/>
      <w:sz w:val="21"/>
      <w:szCs w:val="24"/>
    </w:rPr>
  </w:style>
  <w:style w:type="character" w:customStyle="1" w:styleId="66">
    <w:name w:val="font121"/>
    <w:autoRedefine/>
    <w:qFormat/>
    <w:uiPriority w:val="0"/>
    <w:rPr>
      <w:rFonts w:hint="eastAsia" w:ascii="宋体" w:hAnsi="宋体" w:eastAsia="宋体" w:cs="宋体"/>
      <w:color w:val="000000"/>
      <w:sz w:val="24"/>
      <w:szCs w:val="24"/>
      <w:u w:val="none"/>
    </w:rPr>
  </w:style>
  <w:style w:type="character" w:customStyle="1" w:styleId="67">
    <w:name w:val="font141"/>
    <w:autoRedefine/>
    <w:qFormat/>
    <w:uiPriority w:val="0"/>
    <w:rPr>
      <w:rFonts w:ascii="Arial" w:hAnsi="Arial" w:cs="Arial"/>
      <w:color w:val="000000"/>
      <w:sz w:val="24"/>
      <w:szCs w:val="24"/>
      <w:u w:val="none"/>
    </w:rPr>
  </w:style>
  <w:style w:type="character" w:customStyle="1" w:styleId="68">
    <w:name w:val="_37aak"/>
    <w:autoRedefine/>
    <w:qFormat/>
    <w:uiPriority w:val="0"/>
  </w:style>
  <w:style w:type="character" w:customStyle="1" w:styleId="69">
    <w:name w:val="图表 Char"/>
    <w:link w:val="70"/>
    <w:autoRedefine/>
    <w:qFormat/>
    <w:uiPriority w:val="0"/>
    <w:rPr>
      <w:kern w:val="2"/>
      <w:sz w:val="21"/>
      <w:szCs w:val="21"/>
    </w:rPr>
  </w:style>
  <w:style w:type="paragraph" w:customStyle="1" w:styleId="70">
    <w:name w:val="图表"/>
    <w:basedOn w:val="1"/>
    <w:next w:val="1"/>
    <w:link w:val="69"/>
    <w:autoRedefine/>
    <w:qFormat/>
    <w:uiPriority w:val="0"/>
    <w:pPr>
      <w:jc w:val="center"/>
    </w:pPr>
    <w:rPr>
      <w:szCs w:val="21"/>
    </w:rPr>
  </w:style>
  <w:style w:type="character" w:customStyle="1" w:styleId="71">
    <w:name w:val="font01"/>
    <w:basedOn w:val="36"/>
    <w:autoRedefine/>
    <w:qFormat/>
    <w:uiPriority w:val="0"/>
    <w:rPr>
      <w:rFonts w:hint="eastAsia" w:ascii="宋体" w:hAnsi="宋体" w:eastAsia="宋体" w:cs="宋体"/>
      <w:color w:val="000000"/>
      <w:sz w:val="22"/>
      <w:szCs w:val="22"/>
      <w:u w:val="none"/>
    </w:rPr>
  </w:style>
  <w:style w:type="character" w:customStyle="1" w:styleId="72">
    <w:name w:val="hover4"/>
    <w:autoRedefine/>
    <w:qFormat/>
    <w:uiPriority w:val="0"/>
    <w:rPr>
      <w:color w:val="2590EB"/>
      <w:shd w:val="clear" w:color="auto" w:fill="E9F4FD"/>
    </w:rPr>
  </w:style>
  <w:style w:type="character" w:customStyle="1" w:styleId="73">
    <w:name w:val="font101"/>
    <w:autoRedefine/>
    <w:qFormat/>
    <w:uiPriority w:val="0"/>
    <w:rPr>
      <w:rFonts w:hint="eastAsia" w:ascii="宋体" w:hAnsi="宋体" w:eastAsia="宋体" w:cs="宋体"/>
      <w:color w:val="000000"/>
      <w:sz w:val="18"/>
      <w:szCs w:val="18"/>
      <w:u w:val="none"/>
    </w:rPr>
  </w:style>
  <w:style w:type="character" w:customStyle="1" w:styleId="74">
    <w:name w:val="font161"/>
    <w:autoRedefine/>
    <w:qFormat/>
    <w:uiPriority w:val="0"/>
    <w:rPr>
      <w:rFonts w:hint="eastAsia" w:ascii="宋体" w:hAnsi="宋体" w:eastAsia="宋体" w:cs="宋体"/>
      <w:b/>
      <w:bCs/>
      <w:color w:val="333333"/>
      <w:sz w:val="27"/>
      <w:szCs w:val="27"/>
      <w:u w:val="none"/>
    </w:rPr>
  </w:style>
  <w:style w:type="character" w:customStyle="1" w:styleId="75">
    <w:name w:val="first-child"/>
    <w:autoRedefine/>
    <w:qFormat/>
    <w:uiPriority w:val="0"/>
  </w:style>
  <w:style w:type="character" w:customStyle="1" w:styleId="76">
    <w:name w:val="【正文】 Char"/>
    <w:link w:val="77"/>
    <w:autoRedefine/>
    <w:qFormat/>
    <w:uiPriority w:val="0"/>
    <w:rPr>
      <w:rFonts w:cs="DokChampa"/>
      <w:kern w:val="2"/>
      <w:sz w:val="24"/>
      <w:szCs w:val="22"/>
    </w:rPr>
  </w:style>
  <w:style w:type="paragraph" w:customStyle="1" w:styleId="77">
    <w:name w:val="【正文】"/>
    <w:basedOn w:val="1"/>
    <w:link w:val="76"/>
    <w:autoRedefine/>
    <w:qFormat/>
    <w:uiPriority w:val="0"/>
    <w:pPr>
      <w:spacing w:line="360" w:lineRule="auto"/>
      <w:ind w:firstLine="480" w:firstLineChars="200"/>
    </w:pPr>
    <w:rPr>
      <w:sz w:val="24"/>
      <w:szCs w:val="22"/>
    </w:rPr>
  </w:style>
  <w:style w:type="character" w:customStyle="1" w:styleId="78">
    <w:name w:val="font131"/>
    <w:autoRedefine/>
    <w:qFormat/>
    <w:uiPriority w:val="0"/>
    <w:rPr>
      <w:rFonts w:ascii="仿宋" w:hAnsi="仿宋" w:eastAsia="仿宋" w:cs="仿宋"/>
      <w:color w:val="000000"/>
      <w:sz w:val="24"/>
      <w:szCs w:val="24"/>
      <w:u w:val="none"/>
    </w:rPr>
  </w:style>
  <w:style w:type="character" w:customStyle="1" w:styleId="79">
    <w:name w:val="font181"/>
    <w:autoRedefine/>
    <w:qFormat/>
    <w:uiPriority w:val="0"/>
    <w:rPr>
      <w:rFonts w:hint="eastAsia" w:ascii="宋体" w:hAnsi="宋体" w:eastAsia="宋体" w:cs="宋体"/>
      <w:color w:val="1A66B3"/>
      <w:sz w:val="18"/>
      <w:szCs w:val="18"/>
      <w:u w:val="none"/>
    </w:rPr>
  </w:style>
  <w:style w:type="character" w:customStyle="1" w:styleId="80">
    <w:name w:val="hover3"/>
    <w:autoRedefine/>
    <w:qFormat/>
    <w:uiPriority w:val="0"/>
  </w:style>
  <w:style w:type="character" w:customStyle="1" w:styleId="81">
    <w:name w:val="font112"/>
    <w:autoRedefine/>
    <w:qFormat/>
    <w:uiPriority w:val="0"/>
    <w:rPr>
      <w:rFonts w:ascii="Verdana" w:hAnsi="Verdana" w:cs="Verdana"/>
      <w:color w:val="000000"/>
      <w:sz w:val="18"/>
      <w:szCs w:val="18"/>
      <w:u w:val="none"/>
    </w:rPr>
  </w:style>
  <w:style w:type="character" w:customStyle="1" w:styleId="82">
    <w:name w:val="font81"/>
    <w:autoRedefine/>
    <w:qFormat/>
    <w:uiPriority w:val="0"/>
    <w:rPr>
      <w:rFonts w:hint="default" w:ascii="Verdana" w:hAnsi="Verdana" w:cs="Verdana"/>
      <w:color w:val="000000"/>
      <w:sz w:val="18"/>
      <w:szCs w:val="18"/>
      <w:u w:val="none"/>
    </w:rPr>
  </w:style>
  <w:style w:type="character" w:customStyle="1" w:styleId="83">
    <w:name w:val="hover"/>
    <w:autoRedefine/>
    <w:qFormat/>
    <w:uiPriority w:val="0"/>
    <w:rPr>
      <w:color w:val="2590EB"/>
      <w:shd w:val="clear" w:color="auto" w:fill="E9F4FD"/>
    </w:rPr>
  </w:style>
  <w:style w:type="character" w:customStyle="1" w:styleId="84">
    <w:name w:val="font41"/>
    <w:autoRedefine/>
    <w:qFormat/>
    <w:uiPriority w:val="0"/>
    <w:rPr>
      <w:rFonts w:hint="eastAsia" w:ascii="宋体" w:hAnsi="宋体" w:eastAsia="宋体" w:cs="宋体"/>
      <w:color w:val="000000"/>
      <w:sz w:val="22"/>
      <w:szCs w:val="22"/>
      <w:u w:val="none"/>
    </w:rPr>
  </w:style>
  <w:style w:type="character" w:customStyle="1" w:styleId="85">
    <w:name w:val="hover2"/>
    <w:autoRedefine/>
    <w:qFormat/>
    <w:uiPriority w:val="0"/>
    <w:rPr>
      <w:color w:val="2590EB"/>
    </w:rPr>
  </w:style>
  <w:style w:type="character" w:customStyle="1" w:styleId="86">
    <w:name w:val="hover1"/>
    <w:autoRedefine/>
    <w:qFormat/>
    <w:uiPriority w:val="0"/>
    <w:rPr>
      <w:color w:val="2590EB"/>
    </w:rPr>
  </w:style>
  <w:style w:type="character" w:customStyle="1" w:styleId="87">
    <w:name w:val="first-child1"/>
    <w:autoRedefine/>
    <w:qFormat/>
    <w:uiPriority w:val="0"/>
  </w:style>
  <w:style w:type="character" w:customStyle="1" w:styleId="88">
    <w:name w:val="selected"/>
    <w:autoRedefine/>
    <w:qFormat/>
    <w:uiPriority w:val="0"/>
    <w:rPr>
      <w:shd w:val="clear" w:color="auto" w:fill="B00006"/>
    </w:rPr>
  </w:style>
  <w:style w:type="character" w:customStyle="1" w:styleId="89">
    <w:name w:val="gpa"/>
    <w:autoRedefine/>
    <w:qFormat/>
    <w:uiPriority w:val="0"/>
    <w:rPr>
      <w:rFonts w:ascii="Arial" w:hAnsi="Arial" w:cs="Arial"/>
      <w:sz w:val="15"/>
      <w:szCs w:val="15"/>
    </w:rPr>
  </w:style>
  <w:style w:type="character" w:customStyle="1" w:styleId="90">
    <w:name w:val="apple-converted-space"/>
    <w:autoRedefine/>
    <w:qFormat/>
    <w:uiPriority w:val="0"/>
  </w:style>
  <w:style w:type="character" w:customStyle="1" w:styleId="91">
    <w:name w:val="列出段落 Char"/>
    <w:link w:val="92"/>
    <w:autoRedefine/>
    <w:qFormat/>
    <w:locked/>
    <w:uiPriority w:val="0"/>
    <w:rPr>
      <w:rFonts w:ascii="Calibri" w:hAnsi="Calibri" w:eastAsia="宋体"/>
      <w:kern w:val="2"/>
      <w:sz w:val="21"/>
      <w:szCs w:val="22"/>
      <w:lang w:val="en-US" w:eastAsia="zh-CN" w:bidi="ar-SA"/>
    </w:rPr>
  </w:style>
  <w:style w:type="paragraph" w:customStyle="1" w:styleId="92">
    <w:name w:val="List Paragraph1"/>
    <w:basedOn w:val="1"/>
    <w:link w:val="91"/>
    <w:autoRedefine/>
    <w:qFormat/>
    <w:uiPriority w:val="0"/>
    <w:pPr>
      <w:spacing w:line="312" w:lineRule="auto"/>
      <w:ind w:firstLine="420" w:firstLineChars="200"/>
    </w:pPr>
    <w:rPr>
      <w:rFonts w:ascii="Calibri" w:hAnsi="Calibri"/>
      <w:szCs w:val="22"/>
    </w:rPr>
  </w:style>
  <w:style w:type="character" w:customStyle="1" w:styleId="93">
    <w:name w:val="displayarti"/>
    <w:autoRedefine/>
    <w:qFormat/>
    <w:uiPriority w:val="0"/>
    <w:rPr>
      <w:color w:val="FFFFFF"/>
      <w:shd w:val="clear" w:color="auto" w:fill="A00000"/>
    </w:rPr>
  </w:style>
  <w:style w:type="character" w:customStyle="1" w:styleId="94">
    <w:name w:val="正文首行缩进 2 Char1"/>
    <w:autoRedefine/>
    <w:qFormat/>
    <w:uiPriority w:val="0"/>
  </w:style>
  <w:style w:type="character" w:customStyle="1" w:styleId="95">
    <w:name w:val="layui-this"/>
    <w:autoRedefine/>
    <w:qFormat/>
    <w:uiPriority w:val="0"/>
    <w:rPr>
      <w:bdr w:val="single" w:color="EEEEEE" w:sz="6" w:space="0"/>
      <w:shd w:val="clear" w:color="auto" w:fill="FFFFFF"/>
    </w:rPr>
  </w:style>
  <w:style w:type="character" w:customStyle="1" w:styleId="96">
    <w:name w:val="font151"/>
    <w:autoRedefine/>
    <w:qFormat/>
    <w:uiPriority w:val="0"/>
    <w:rPr>
      <w:rFonts w:hint="default" w:ascii="Verdana" w:hAnsi="Verdana" w:cs="Verdana"/>
      <w:b/>
      <w:bCs/>
      <w:color w:val="333333"/>
      <w:sz w:val="27"/>
      <w:szCs w:val="27"/>
      <w:u w:val="none"/>
    </w:rPr>
  </w:style>
  <w:style w:type="character" w:customStyle="1" w:styleId="97">
    <w:name w:val="font171"/>
    <w:autoRedefine/>
    <w:qFormat/>
    <w:uiPriority w:val="0"/>
    <w:rPr>
      <w:rFonts w:hint="eastAsia" w:ascii="宋体" w:hAnsi="宋体" w:eastAsia="宋体" w:cs="宋体"/>
      <w:color w:val="646464"/>
      <w:sz w:val="18"/>
      <w:szCs w:val="18"/>
      <w:u w:val="none"/>
    </w:rPr>
  </w:style>
  <w:style w:type="character" w:customStyle="1" w:styleId="98">
    <w:name w:val="hover7"/>
    <w:autoRedefine/>
    <w:qFormat/>
    <w:uiPriority w:val="0"/>
    <w:rPr>
      <w:color w:val="315EFB"/>
    </w:rPr>
  </w:style>
  <w:style w:type="paragraph" w:customStyle="1" w:styleId="99">
    <w:name w:val="列表2"/>
    <w:basedOn w:val="1"/>
    <w:next w:val="1"/>
    <w:autoRedefine/>
    <w:qFormat/>
    <w:uiPriority w:val="0"/>
    <w:pPr>
      <w:numPr>
        <w:ilvl w:val="0"/>
        <w:numId w:val="5"/>
      </w:numPr>
      <w:spacing w:line="200" w:lineRule="atLeast"/>
    </w:pPr>
    <w:rPr>
      <w:rFonts w:eastAsia="仿宋"/>
      <w:sz w:val="28"/>
    </w:rPr>
  </w:style>
  <w:style w:type="paragraph" w:customStyle="1" w:styleId="100">
    <w:name w:val="text-tag1"/>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1">
    <w:name w:val="标题4"/>
    <w:basedOn w:val="1"/>
    <w:autoRedefine/>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2">
    <w:name w:val="Char"/>
    <w:basedOn w:val="1"/>
    <w:next w:val="1"/>
    <w:autoRedefine/>
    <w:qFormat/>
    <w:uiPriority w:val="0"/>
    <w:pPr>
      <w:widowControl/>
      <w:spacing w:line="360" w:lineRule="auto"/>
      <w:jc w:val="left"/>
    </w:pPr>
    <w:rPr>
      <w:kern w:val="0"/>
      <w:szCs w:val="20"/>
      <w:lang w:eastAsia="en-US"/>
    </w:rPr>
  </w:style>
  <w:style w:type="paragraph" w:customStyle="1" w:styleId="103">
    <w:name w:val="样式1"/>
    <w:basedOn w:val="1"/>
    <w:autoRedefine/>
    <w:qFormat/>
    <w:uiPriority w:val="0"/>
    <w:pPr>
      <w:spacing w:line="360" w:lineRule="auto"/>
      <w:jc w:val="center"/>
    </w:pPr>
    <w:rPr>
      <w:rFonts w:ascii="Times New Roman" w:hAnsi="Times New Roman" w:cs="Times New Roman"/>
      <w:b/>
      <w:sz w:val="30"/>
      <w:szCs w:val="30"/>
    </w:rPr>
  </w:style>
  <w:style w:type="paragraph" w:customStyle="1" w:styleId="104">
    <w:name w:val=" Char Char Char Char"/>
    <w:basedOn w:val="1"/>
    <w:autoRedefine/>
    <w:qFormat/>
    <w:uiPriority w:val="0"/>
    <w:rPr>
      <w:rFonts w:ascii="Tahoma" w:hAnsi="Tahoma"/>
      <w:sz w:val="24"/>
      <w:szCs w:val="20"/>
    </w:rPr>
  </w:style>
  <w:style w:type="paragraph" w:customStyle="1" w:styleId="105">
    <w:name w:val="_Style 4"/>
    <w:basedOn w:val="1"/>
    <w:autoRedefine/>
    <w:qFormat/>
    <w:uiPriority w:val="34"/>
    <w:pPr>
      <w:adjustRightInd w:val="0"/>
      <w:ind w:firstLine="420" w:firstLineChars="200"/>
      <w:jc w:val="left"/>
      <w:textAlignment w:val="baseline"/>
    </w:pPr>
    <w:rPr>
      <w:kern w:val="0"/>
      <w:szCs w:val="20"/>
    </w:rPr>
  </w:style>
  <w:style w:type="paragraph" w:customStyle="1" w:styleId="106">
    <w:name w:val="列出段落2"/>
    <w:basedOn w:val="1"/>
    <w:autoRedefine/>
    <w:qFormat/>
    <w:uiPriority w:val="0"/>
    <w:pPr>
      <w:ind w:firstLine="420" w:firstLineChars="200"/>
    </w:pPr>
    <w:rPr>
      <w:rFonts w:ascii="Calibri" w:hAnsi="Calibri"/>
      <w:szCs w:val="22"/>
    </w:rPr>
  </w:style>
  <w:style w:type="paragraph" w:customStyle="1" w:styleId="107">
    <w:name w:val="列出段落11"/>
    <w:basedOn w:val="1"/>
    <w:autoRedefine/>
    <w:qFormat/>
    <w:uiPriority w:val="0"/>
    <w:pPr>
      <w:spacing w:after="120" w:line="360" w:lineRule="auto"/>
      <w:ind w:firstLine="420" w:firstLineChars="200"/>
    </w:pPr>
    <w:rPr>
      <w:rFonts w:ascii="Calibri" w:hAnsi="Calibri"/>
      <w:szCs w:val="22"/>
    </w:rPr>
  </w:style>
  <w:style w:type="paragraph" w:customStyle="1" w:styleId="108">
    <w:name w:val="xl25"/>
    <w:basedOn w:val="1"/>
    <w:autoRedefine/>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09">
    <w:name w:val="_Style 108"/>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110">
    <w:name w:val="Table Paragraph"/>
    <w:basedOn w:val="1"/>
    <w:autoRedefine/>
    <w:qFormat/>
    <w:uiPriority w:val="1"/>
    <w:rPr>
      <w:rFonts w:ascii="宋体" w:hAnsi="宋体" w:eastAsia="宋体" w:cs="宋体"/>
      <w:lang w:val="zh-CN" w:eastAsia="zh-CN" w:bidi="zh-CN"/>
    </w:rPr>
  </w:style>
  <w:style w:type="paragraph" w:customStyle="1" w:styleId="111">
    <w:name w:val="D&amp;L"/>
    <w:basedOn w:val="24"/>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2">
    <w:name w:val="列出段落1"/>
    <w:basedOn w:val="1"/>
    <w:autoRedefine/>
    <w:qFormat/>
    <w:uiPriority w:val="34"/>
    <w:pPr>
      <w:ind w:firstLine="420" w:firstLineChars="200"/>
    </w:pPr>
  </w:style>
  <w:style w:type="paragraph" w:customStyle="1" w:styleId="113">
    <w:name w:val="Char Char Char Char Char Char Char1 Char"/>
    <w:basedOn w:val="1"/>
    <w:autoRedefine/>
    <w:qFormat/>
    <w:uiPriority w:val="0"/>
    <w:rPr>
      <w:rFonts w:ascii="Tahoma" w:hAnsi="Tahoma"/>
      <w:sz w:val="24"/>
      <w:szCs w:val="20"/>
    </w:rPr>
  </w:style>
  <w:style w:type="paragraph" w:styleId="114">
    <w:name w:val="List Paragraph"/>
    <w:basedOn w:val="1"/>
    <w:autoRedefine/>
    <w:qFormat/>
    <w:uiPriority w:val="0"/>
    <w:pPr>
      <w:spacing w:line="360" w:lineRule="auto"/>
      <w:ind w:firstLine="420" w:firstLineChars="200"/>
    </w:pPr>
    <w:rPr>
      <w:rFonts w:ascii="宋体" w:hAnsi="宋体" w:cs="宋体"/>
      <w:sz w:val="24"/>
    </w:rPr>
  </w:style>
  <w:style w:type="paragraph" w:customStyle="1" w:styleId="115">
    <w:name w:val="List Paragraph2"/>
    <w:basedOn w:val="1"/>
    <w:autoRedefine/>
    <w:qFormat/>
    <w:uiPriority w:val="0"/>
    <w:pPr>
      <w:spacing w:line="360" w:lineRule="auto"/>
      <w:ind w:firstLine="420"/>
    </w:pPr>
    <w:rPr>
      <w:color w:val="000000"/>
      <w:sz w:val="24"/>
      <w:szCs w:val="21"/>
    </w:rPr>
  </w:style>
  <w:style w:type="paragraph" w:customStyle="1" w:styleId="116">
    <w:name w:val="（无样式）"/>
    <w:basedOn w:val="1"/>
    <w:autoRedefine/>
    <w:qFormat/>
    <w:uiPriority w:val="0"/>
    <w:pPr>
      <w:widowControl/>
      <w:numPr>
        <w:ilvl w:val="0"/>
        <w:numId w:val="7"/>
      </w:numPr>
      <w:spacing w:line="360" w:lineRule="auto"/>
      <w:ind w:firstLine="0"/>
    </w:pPr>
    <w:rPr>
      <w:sz w:val="24"/>
      <w:szCs w:val="20"/>
    </w:rPr>
  </w:style>
  <w:style w:type="paragraph" w:customStyle="1" w:styleId="117">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8">
    <w:name w:val="标题3-副本"/>
    <w:basedOn w:val="26"/>
    <w:autoRedefine/>
    <w:qFormat/>
    <w:uiPriority w:val="0"/>
    <w:pPr>
      <w:numPr>
        <w:ilvl w:val="0"/>
        <w:numId w:val="0"/>
      </w:numPr>
      <w:ind w:left="840"/>
    </w:pPr>
  </w:style>
  <w:style w:type="paragraph" w:customStyle="1" w:styleId="119">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120">
    <w:name w:val="_Style 2"/>
    <w:basedOn w:val="1"/>
    <w:autoRedefine/>
    <w:qFormat/>
    <w:uiPriority w:val="0"/>
  </w:style>
  <w:style w:type="paragraph" w:customStyle="1" w:styleId="121">
    <w:name w:val="p0"/>
    <w:basedOn w:val="1"/>
    <w:autoRedefine/>
    <w:qFormat/>
    <w:uiPriority w:val="0"/>
    <w:pPr>
      <w:widowControl/>
      <w:spacing w:line="365" w:lineRule="atLeast"/>
      <w:ind w:left="1"/>
      <w:textAlignment w:val="bottom"/>
    </w:pPr>
    <w:rPr>
      <w:rFonts w:ascii="Calibri" w:hAnsi="Calibri"/>
      <w:kern w:val="0"/>
      <w:sz w:val="20"/>
      <w:szCs w:val="22"/>
    </w:rPr>
  </w:style>
  <w:style w:type="paragraph" w:customStyle="1" w:styleId="122">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123">
    <w:name w:val=" Char"/>
    <w:basedOn w:val="1"/>
    <w:autoRedefine/>
    <w:qFormat/>
    <w:uiPriority w:val="0"/>
  </w:style>
  <w:style w:type="paragraph" w:customStyle="1" w:styleId="124">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5">
    <w:name w:val="Table Normal"/>
    <w:autoRedefine/>
    <w:unhideWhenUsed/>
    <w:qFormat/>
    <w:uiPriority w:val="0"/>
    <w:rPr>
      <w:lang w:val="en-US" w:eastAsia="zh-CN" w:bidi="ar-SA"/>
    </w:rPr>
    <w:tblPr>
      <w:tblCellMar>
        <w:top w:w="0" w:type="dxa"/>
        <w:left w:w="0" w:type="dxa"/>
        <w:bottom w:w="0" w:type="dxa"/>
        <w:right w:w="0" w:type="dxa"/>
      </w:tblCellMar>
    </w:tblPr>
  </w:style>
  <w:style w:type="paragraph" w:customStyle="1" w:styleId="126">
    <w:name w:val="_Style 117"/>
    <w:basedOn w:val="1"/>
    <w:next w:val="1"/>
    <w:autoRedefine/>
    <w:qFormat/>
    <w:uiPriority w:val="0"/>
    <w:pPr>
      <w:pBdr>
        <w:bottom w:val="single" w:color="auto" w:sz="6" w:space="1"/>
      </w:pBdr>
      <w:jc w:val="center"/>
    </w:pPr>
    <w:rPr>
      <w:rFonts w:ascii="Arial" w:eastAsia="宋体"/>
      <w:vanish/>
      <w:sz w:val="16"/>
    </w:rPr>
  </w:style>
  <w:style w:type="paragraph" w:customStyle="1" w:styleId="127">
    <w:name w:val="_Style 118"/>
    <w:basedOn w:val="1"/>
    <w:next w:val="1"/>
    <w:autoRedefine/>
    <w:qFormat/>
    <w:uiPriority w:val="0"/>
    <w:pPr>
      <w:pBdr>
        <w:top w:val="single" w:color="auto" w:sz="6" w:space="1"/>
      </w:pBdr>
      <w:jc w:val="center"/>
    </w:pPr>
    <w:rPr>
      <w:rFonts w:ascii="Arial" w:eastAsia="宋体"/>
      <w:vanish/>
      <w:sz w:val="16"/>
    </w:rPr>
  </w:style>
  <w:style w:type="character" w:customStyle="1" w:styleId="128">
    <w:name w:val="num"/>
    <w:basedOn w:val="36"/>
    <w:autoRedefine/>
    <w:qFormat/>
    <w:uiPriority w:val="0"/>
    <w:rPr>
      <w:b/>
      <w:bCs/>
      <w:color w:val="FF7800"/>
    </w:rPr>
  </w:style>
  <w:style w:type="character" w:customStyle="1" w:styleId="129">
    <w:name w:val="a-desc"/>
    <w:basedOn w:val="36"/>
    <w:autoRedefine/>
    <w:qFormat/>
    <w:uiPriority w:val="0"/>
    <w:rPr>
      <w:color w:val="315EFB"/>
    </w:rPr>
  </w:style>
  <w:style w:type="character" w:customStyle="1" w:styleId="130">
    <w:name w:val="bg"/>
    <w:basedOn w:val="36"/>
    <w:autoRedefine/>
    <w:qFormat/>
    <w:uiPriority w:val="0"/>
    <w:rPr>
      <w:shd w:val="clear" w:color="auto" w:fill="000000"/>
    </w:rPr>
  </w:style>
  <w:style w:type="character" w:customStyle="1" w:styleId="131">
    <w:name w:val="bg1"/>
    <w:basedOn w:val="36"/>
    <w:autoRedefine/>
    <w:qFormat/>
    <w:uiPriority w:val="0"/>
    <w:rPr>
      <w:shd w:val="clear" w:color="auto" w:fill="000000"/>
    </w:rPr>
  </w:style>
  <w:style w:type="character" w:customStyle="1" w:styleId="132">
    <w:name w:val="bg2"/>
    <w:basedOn w:val="36"/>
    <w:autoRedefine/>
    <w:qFormat/>
    <w:uiPriority w:val="0"/>
    <w:rPr>
      <w:shd w:val="clear" w:color="auto" w:fill="000000"/>
    </w:rPr>
  </w:style>
  <w:style w:type="character" w:customStyle="1" w:styleId="133">
    <w:name w:val="iknow-qb-ad-sou-icon"/>
    <w:basedOn w:val="36"/>
    <w:autoRedefine/>
    <w:qFormat/>
    <w:uiPriority w:val="0"/>
  </w:style>
  <w:style w:type="character" w:customStyle="1" w:styleId="134">
    <w:name w:val="del-btn"/>
    <w:basedOn w:val="36"/>
    <w:autoRedefine/>
    <w:qFormat/>
    <w:uiPriority w:val="0"/>
  </w:style>
  <w:style w:type="character" w:customStyle="1" w:styleId="135">
    <w:name w:val="del-btn1"/>
    <w:basedOn w:val="36"/>
    <w:autoRedefine/>
    <w:qFormat/>
    <w:uiPriority w:val="0"/>
  </w:style>
  <w:style w:type="character" w:customStyle="1" w:styleId="136">
    <w:name w:val="del-btn2"/>
    <w:basedOn w:val="36"/>
    <w:autoRedefine/>
    <w:qFormat/>
    <w:uiPriority w:val="0"/>
  </w:style>
  <w:style w:type="character" w:customStyle="1" w:styleId="137">
    <w:name w:val="answer-title"/>
    <w:basedOn w:val="36"/>
    <w:autoRedefine/>
    <w:qFormat/>
    <w:uiPriority w:val="0"/>
  </w:style>
  <w:style w:type="character" w:customStyle="1" w:styleId="138">
    <w:name w:val="new-icon2"/>
    <w:basedOn w:val="36"/>
    <w:autoRedefine/>
    <w:qFormat/>
    <w:uiPriority w:val="0"/>
  </w:style>
  <w:style w:type="character" w:customStyle="1" w:styleId="139">
    <w:name w:val="new-icon3"/>
    <w:basedOn w:val="36"/>
    <w:autoRedefine/>
    <w:qFormat/>
    <w:uiPriority w:val="0"/>
  </w:style>
  <w:style w:type="character" w:customStyle="1" w:styleId="140">
    <w:name w:val="green"/>
    <w:basedOn w:val="36"/>
    <w:autoRedefine/>
    <w:qFormat/>
    <w:uiPriority w:val="0"/>
    <w:rPr>
      <w:color w:val="3B6FFF"/>
    </w:rPr>
  </w:style>
  <w:style w:type="character" w:customStyle="1" w:styleId="141">
    <w:name w:val="green1"/>
    <w:basedOn w:val="36"/>
    <w:autoRedefine/>
    <w:qFormat/>
    <w:uiPriority w:val="0"/>
    <w:rPr>
      <w:color w:val="3B6FFF"/>
    </w:rPr>
  </w:style>
  <w:style w:type="character" w:customStyle="1" w:styleId="142">
    <w:name w:val="green2"/>
    <w:basedOn w:val="36"/>
    <w:autoRedefine/>
    <w:qFormat/>
    <w:uiPriority w:val="0"/>
    <w:rPr>
      <w:color w:val="4DC86F"/>
    </w:rPr>
  </w:style>
  <w:style w:type="character" w:customStyle="1" w:styleId="143">
    <w:name w:val="green3"/>
    <w:basedOn w:val="36"/>
    <w:autoRedefine/>
    <w:qFormat/>
    <w:uiPriority w:val="0"/>
    <w:rPr>
      <w:color w:val="4DC86F"/>
    </w:rPr>
  </w:style>
  <w:style w:type="character" w:customStyle="1" w:styleId="144">
    <w:name w:val="answer-title2"/>
    <w:basedOn w:val="36"/>
    <w:autoRedefine/>
    <w:qFormat/>
    <w:uiPriority w:val="0"/>
  </w:style>
  <w:style w:type="character" w:customStyle="1" w:styleId="145">
    <w:name w:val="new-icon"/>
    <w:basedOn w:val="36"/>
    <w:autoRedefine/>
    <w:qFormat/>
    <w:uiPriority w:val="0"/>
  </w:style>
  <w:style w:type="character" w:customStyle="1" w:styleId="146">
    <w:name w:val="new-icon1"/>
    <w:basedOn w:val="36"/>
    <w:autoRedefine/>
    <w:qFormat/>
    <w:uiPriority w:val="0"/>
  </w:style>
  <w:style w:type="character" w:customStyle="1" w:styleId="147">
    <w:name w:val="font31"/>
    <w:basedOn w:val="36"/>
    <w:autoRedefine/>
    <w:qFormat/>
    <w:uiPriority w:val="0"/>
    <w:rPr>
      <w:rFonts w:hint="eastAsia" w:ascii="宋体" w:hAnsi="宋体" w:eastAsia="宋体" w:cs="宋体"/>
      <w:color w:val="000000"/>
      <w:sz w:val="21"/>
      <w:szCs w:val="21"/>
      <w:u w:val="none"/>
    </w:rPr>
  </w:style>
  <w:style w:type="character" w:customStyle="1" w:styleId="148">
    <w:name w:val="font51"/>
    <w:basedOn w:val="36"/>
    <w:autoRedefine/>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41</Pages>
  <Words>16653</Words>
  <Characters>17751</Characters>
  <Lines>358</Lines>
  <Paragraphs>100</Paragraphs>
  <TotalTime>5</TotalTime>
  <ScaleCrop>false</ScaleCrop>
  <LinksUpToDate>false</LinksUpToDate>
  <CharactersWithSpaces>21231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韦韦</cp:lastModifiedBy>
  <cp:lastPrinted>2023-12-15T01:51:00Z</cp:lastPrinted>
  <dcterms:modified xsi:type="dcterms:W3CDTF">2024-01-29T09:23:24Z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1E635EE98FC244849E5B1E42E59CA979_13</vt:lpwstr>
  </property>
</Properties>
</file>