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center"/>
        <w:rPr>
          <w:rFonts w:hint="eastAsia" w:ascii="宋体" w:hAnsi="宋体"/>
          <w:b/>
          <w:color w:val="auto"/>
          <w:sz w:val="44"/>
          <w:szCs w:val="44"/>
          <w:highlight w:val="none"/>
        </w:rPr>
      </w:pPr>
      <w:bookmarkStart w:id="0" w:name="OLE_LINK1"/>
    </w:p>
    <w:p>
      <w:pPr>
        <w:pStyle w:val="2"/>
        <w:rPr>
          <w:rFonts w:hint="eastAsia"/>
        </w:rPr>
      </w:pPr>
    </w:p>
    <w:p>
      <w:pPr>
        <w:spacing w:line="600" w:lineRule="auto"/>
        <w:jc w:val="center"/>
        <w:rPr>
          <w:rFonts w:hint="eastAsia" w:ascii="宋体" w:hAnsi="宋体"/>
          <w:b/>
          <w:color w:val="auto"/>
          <w:sz w:val="44"/>
          <w:szCs w:val="44"/>
          <w:highlight w:val="none"/>
        </w:rPr>
      </w:pPr>
      <w:r>
        <w:rPr>
          <w:rFonts w:hint="eastAsia" w:ascii="宋体" w:hAnsi="宋体"/>
          <w:b/>
          <w:color w:val="auto"/>
          <w:sz w:val="44"/>
          <w:szCs w:val="44"/>
          <w:highlight w:val="none"/>
        </w:rPr>
        <w:t xml:space="preserve"> </w:t>
      </w:r>
    </w:p>
    <w:p>
      <w:pPr>
        <w:pStyle w:val="3"/>
        <w:rPr>
          <w:rFonts w:hint="eastAsia"/>
          <w:color w:val="auto"/>
          <w:highlight w:val="none"/>
          <w:lang w:val="en-US" w:eastAsia="zh-CN"/>
        </w:rPr>
      </w:pPr>
    </w:p>
    <w:p>
      <w:pPr>
        <w:pStyle w:val="39"/>
        <w:jc w:val="center"/>
        <w:rPr>
          <w:rFonts w:hint="eastAsia" w:eastAsia="仿宋_GB2312"/>
          <w:color w:val="auto"/>
          <w:spacing w:val="-11"/>
          <w:highlight w:val="none"/>
          <w:lang w:eastAsia="zh-CN"/>
        </w:rPr>
      </w:pPr>
      <w:r>
        <w:rPr>
          <w:rFonts w:hint="eastAsia" w:ascii="宋体" w:hAnsi="宋体" w:cs="宋体"/>
          <w:b/>
          <w:color w:val="auto"/>
          <w:spacing w:val="-11"/>
          <w:sz w:val="48"/>
          <w:szCs w:val="48"/>
          <w:highlight w:val="none"/>
          <w:lang w:val="en-US" w:eastAsia="zh-CN"/>
        </w:rPr>
        <w:t>滁能热电（全椒）有限公司、安徽润森生物质科技有限公司净资产审计及股权评估服务项目</w:t>
      </w:r>
    </w:p>
    <w:p>
      <w:pPr>
        <w:rPr>
          <w:rFonts w:hint="eastAsia"/>
          <w:color w:val="auto"/>
          <w:highlight w:val="none"/>
        </w:rPr>
      </w:pPr>
    </w:p>
    <w:p>
      <w:pPr>
        <w:pStyle w:val="280"/>
        <w:rPr>
          <w:rFonts w:hint="eastAsia"/>
          <w:color w:val="auto"/>
          <w:highlight w:val="none"/>
        </w:rPr>
      </w:pPr>
    </w:p>
    <w:p>
      <w:pPr>
        <w:pStyle w:val="280"/>
        <w:rPr>
          <w:rFonts w:hint="eastAsia"/>
          <w:color w:val="auto"/>
          <w:highlight w:val="none"/>
        </w:rPr>
      </w:pPr>
    </w:p>
    <w:p>
      <w:pPr>
        <w:spacing w:line="1200" w:lineRule="auto"/>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lang w:val="en-US" w:eastAsia="zh-CN"/>
        </w:rPr>
        <w:t>招</w:t>
      </w:r>
      <w:r>
        <w:rPr>
          <w:rFonts w:hint="eastAsia" w:ascii="宋体" w:hAnsi="宋体" w:cs="宋体"/>
          <w:b/>
          <w:color w:val="auto"/>
          <w:sz w:val="72"/>
          <w:szCs w:val="72"/>
          <w:highlight w:val="none"/>
        </w:rPr>
        <w:t xml:space="preserve"> </w:t>
      </w:r>
      <w:r>
        <w:rPr>
          <w:rFonts w:hint="eastAsia" w:ascii="宋体" w:hAnsi="宋体" w:cs="宋体"/>
          <w:b/>
          <w:color w:val="auto"/>
          <w:sz w:val="72"/>
          <w:szCs w:val="72"/>
          <w:highlight w:val="none"/>
          <w:lang w:val="en-US" w:eastAsia="zh-CN"/>
        </w:rPr>
        <w:t>标</w:t>
      </w:r>
      <w:r>
        <w:rPr>
          <w:rFonts w:hint="eastAsia" w:ascii="宋体" w:hAnsi="宋体" w:cs="宋体"/>
          <w:b/>
          <w:color w:val="auto"/>
          <w:sz w:val="72"/>
          <w:szCs w:val="72"/>
          <w:highlight w:val="none"/>
        </w:rPr>
        <w:t xml:space="preserve"> 文 件</w:t>
      </w:r>
    </w:p>
    <w:p>
      <w:pPr>
        <w:spacing w:line="1200" w:lineRule="auto"/>
        <w:ind w:firstLine="3360" w:firstLineChars="1400"/>
        <w:jc w:val="both"/>
        <w:rPr>
          <w:rFonts w:hint="default" w:ascii="宋体" w:hAnsi="宋体" w:eastAsia="宋体" w:cs="宋体"/>
          <w:b/>
          <w:color w:val="auto"/>
          <w:sz w:val="44"/>
          <w:szCs w:val="44"/>
          <w:highlight w:val="none"/>
          <w:lang w:val="en-US" w:eastAsia="zh-CN"/>
        </w:rPr>
      </w:pPr>
      <w:r>
        <w:rPr>
          <w:rFonts w:hint="eastAsia" w:ascii="宋体" w:hAnsi="宋体" w:cs="宋体"/>
          <w:color w:val="auto"/>
          <w:sz w:val="24"/>
          <w:szCs w:val="24"/>
          <w:highlight w:val="none"/>
          <w:lang w:val="en-US" w:eastAsia="zh-CN"/>
        </w:rPr>
        <w:t xml:space="preserve">        </w:t>
      </w:r>
    </w:p>
    <w:p>
      <w:pPr>
        <w:wordWrap w:val="0"/>
        <w:jc w:val="center"/>
        <w:rPr>
          <w:rFonts w:ascii="微软雅黑" w:hAnsi="微软雅黑" w:eastAsia="微软雅黑" w:cs="微软雅黑"/>
          <w:color w:val="auto"/>
          <w:szCs w:val="21"/>
          <w:highlight w:val="none"/>
        </w:rPr>
      </w:pPr>
      <w:r>
        <w:rPr>
          <w:rFonts w:hint="eastAsia"/>
          <w:color w:val="auto"/>
          <w:sz w:val="28"/>
          <w:szCs w:val="28"/>
          <w:highlight w:val="none"/>
        </w:rPr>
        <w:t xml:space="preserve"> </w:t>
      </w:r>
    </w:p>
    <w:p>
      <w:pPr>
        <w:spacing w:after="156" w:afterLines="50"/>
        <w:ind w:left="-850" w:leftChars="-405" w:right="-625" w:firstLine="4498" w:firstLineChars="1600"/>
        <w:rPr>
          <w:rFonts w:hint="eastAsia"/>
          <w:b/>
          <w:bCs/>
          <w:color w:val="auto"/>
          <w:sz w:val="28"/>
          <w:szCs w:val="28"/>
          <w:highlight w:val="none"/>
        </w:rPr>
      </w:pPr>
      <w:r>
        <w:rPr>
          <w:rFonts w:hint="eastAsia" w:ascii="宋体" w:hAnsi="宋体"/>
          <w:b/>
          <w:bCs/>
          <w:color w:val="auto"/>
          <w:sz w:val="28"/>
          <w:szCs w:val="28"/>
          <w:highlight w:val="none"/>
        </w:rPr>
        <w:t xml:space="preserve"> </w:t>
      </w:r>
    </w:p>
    <w:p>
      <w:pPr>
        <w:jc w:val="center"/>
        <w:rPr>
          <w:rFonts w:hint="eastAsia" w:ascii="宋体" w:hAnsi="宋体"/>
          <w:b/>
          <w:color w:val="auto"/>
          <w:sz w:val="28"/>
          <w:szCs w:val="28"/>
          <w:highlight w:val="none"/>
        </w:rPr>
      </w:pPr>
    </w:p>
    <w:p>
      <w:pPr>
        <w:pStyle w:val="2"/>
        <w:ind w:firstLine="420"/>
        <w:rPr>
          <w:color w:val="auto"/>
          <w:highlight w:val="none"/>
        </w:rPr>
      </w:pPr>
    </w:p>
    <w:p>
      <w:pPr>
        <w:spacing w:line="480" w:lineRule="auto"/>
        <w:jc w:val="center"/>
        <w:rPr>
          <w:rFonts w:hint="eastAsia" w:ascii="宋体" w:hAnsi="宋体"/>
          <w:b/>
          <w:bCs/>
          <w:color w:val="auto"/>
          <w:sz w:val="30"/>
          <w:szCs w:val="30"/>
          <w:highlight w:val="none"/>
        </w:rPr>
      </w:pPr>
      <w:r>
        <w:rPr>
          <w:rFonts w:hint="eastAsia" w:ascii="宋体" w:hAnsi="宋体"/>
          <w:b/>
          <w:bCs/>
          <w:color w:val="auto"/>
          <w:sz w:val="30"/>
          <w:szCs w:val="30"/>
          <w:highlight w:val="none"/>
          <w:lang w:val="en-US" w:eastAsia="zh-CN"/>
        </w:rPr>
        <w:t xml:space="preserve">  采购</w:t>
      </w:r>
      <w:r>
        <w:rPr>
          <w:rFonts w:hint="eastAsia" w:ascii="宋体" w:hAnsi="宋体"/>
          <w:b/>
          <w:bCs/>
          <w:color w:val="auto"/>
          <w:sz w:val="30"/>
          <w:szCs w:val="30"/>
          <w:highlight w:val="none"/>
        </w:rPr>
        <w:t>人：</w:t>
      </w:r>
      <w:r>
        <w:rPr>
          <w:rFonts w:hint="eastAsia" w:ascii="宋体" w:hAnsi="宋体"/>
          <w:b/>
          <w:bCs/>
          <w:color w:val="auto"/>
          <w:sz w:val="30"/>
          <w:szCs w:val="30"/>
          <w:highlight w:val="none"/>
          <w:u w:val="single" w:color="auto"/>
          <w:lang w:eastAsia="zh-CN"/>
        </w:rPr>
        <w:t>滁州滁能热电有限公司</w:t>
      </w:r>
      <w:r>
        <w:rPr>
          <w:rFonts w:hint="eastAsia" w:ascii="宋体" w:hAnsi="宋体"/>
          <w:b/>
          <w:bCs/>
          <w:color w:val="auto"/>
          <w:sz w:val="30"/>
          <w:szCs w:val="30"/>
          <w:highlight w:val="none"/>
        </w:rPr>
        <w:t>（</w:t>
      </w:r>
      <w:r>
        <w:rPr>
          <w:rFonts w:hint="eastAsia" w:ascii="宋体"/>
          <w:b/>
          <w:bCs/>
          <w:color w:val="auto"/>
          <w:sz w:val="32"/>
          <w:szCs w:val="32"/>
          <w:highlight w:val="none"/>
        </w:rPr>
        <w:t>盖章</w:t>
      </w:r>
      <w:r>
        <w:rPr>
          <w:rFonts w:hint="eastAsia" w:ascii="宋体" w:hAnsi="宋体"/>
          <w:b/>
          <w:bCs/>
          <w:color w:val="auto"/>
          <w:sz w:val="30"/>
          <w:szCs w:val="30"/>
          <w:highlight w:val="none"/>
        </w:rPr>
        <w:t>）</w:t>
      </w:r>
    </w:p>
    <w:p>
      <w:pPr>
        <w:pStyle w:val="2"/>
        <w:ind w:firstLine="420"/>
        <w:jc w:val="center"/>
        <w:rPr>
          <w:rFonts w:hint="eastAsia"/>
          <w:color w:val="auto"/>
          <w:highlight w:val="none"/>
        </w:rPr>
      </w:pPr>
    </w:p>
    <w:p>
      <w:pPr>
        <w:pStyle w:val="2"/>
        <w:ind w:firstLine="420"/>
        <w:rPr>
          <w:rFonts w:hint="eastAsia"/>
          <w:color w:val="auto"/>
          <w:highlight w:val="none"/>
        </w:rPr>
      </w:pPr>
    </w:p>
    <w:p>
      <w:pPr>
        <w:jc w:val="center"/>
        <w:rPr>
          <w:rFonts w:hint="default" w:ascii="宋体" w:hAnsi="宋体" w:eastAsia="宋体" w:cs="宋体"/>
          <w:color w:val="auto"/>
          <w:sz w:val="30"/>
          <w:szCs w:val="30"/>
          <w:highlight w:val="none"/>
          <w:lang w:val="en-US" w:eastAsia="zh-CN"/>
        </w:rPr>
      </w:pPr>
      <w:r>
        <w:rPr>
          <w:rFonts w:hint="eastAsia" w:ascii="宋体"/>
          <w:b/>
          <w:color w:val="auto"/>
          <w:sz w:val="32"/>
          <w:szCs w:val="32"/>
          <w:highlight w:val="none"/>
          <w:u w:val="single"/>
        </w:rPr>
        <w:t>二〇二</w:t>
      </w:r>
      <w:r>
        <w:rPr>
          <w:rFonts w:hint="eastAsia" w:ascii="宋体"/>
          <w:b/>
          <w:color w:val="auto"/>
          <w:sz w:val="32"/>
          <w:szCs w:val="32"/>
          <w:highlight w:val="none"/>
          <w:u w:val="single"/>
          <w:lang w:val="en-US" w:eastAsia="zh-CN"/>
        </w:rPr>
        <w:t>三</w:t>
      </w:r>
      <w:r>
        <w:rPr>
          <w:rFonts w:hint="eastAsia" w:ascii="宋体"/>
          <w:b/>
          <w:color w:val="auto"/>
          <w:sz w:val="32"/>
          <w:szCs w:val="32"/>
          <w:highlight w:val="none"/>
        </w:rPr>
        <w:t>年</w:t>
      </w:r>
      <w:r>
        <w:rPr>
          <w:rFonts w:hint="eastAsia" w:ascii="宋体"/>
          <w:b/>
          <w:color w:val="auto"/>
          <w:sz w:val="32"/>
          <w:szCs w:val="32"/>
          <w:highlight w:val="none"/>
          <w:u w:val="single" w:color="auto"/>
          <w:lang w:val="en-US" w:eastAsia="zh-CN"/>
        </w:rPr>
        <w:t xml:space="preserve"> 十二 </w:t>
      </w:r>
      <w:r>
        <w:rPr>
          <w:rFonts w:hint="eastAsia" w:ascii="宋体"/>
          <w:b/>
          <w:color w:val="auto"/>
          <w:sz w:val="32"/>
          <w:szCs w:val="32"/>
          <w:highlight w:val="none"/>
        </w:rPr>
        <w:t>月</w:t>
      </w:r>
    </w:p>
    <w:p>
      <w:pPr>
        <w:jc w:val="center"/>
        <w:rPr>
          <w:rFonts w:hint="eastAsia" w:ascii="宋体" w:hAnsi="宋体" w:cs="宋体"/>
          <w:b/>
          <w:color w:val="auto"/>
          <w:szCs w:val="21"/>
          <w:highlight w:val="none"/>
        </w:rPr>
      </w:pPr>
    </w:p>
    <w:p>
      <w:pPr>
        <w:pStyle w:val="39"/>
        <w:ind w:firstLine="310"/>
        <w:rPr>
          <w:rFonts w:hint="eastAsia"/>
          <w:color w:val="auto"/>
          <w:highlight w:val="none"/>
        </w:rPr>
      </w:pPr>
    </w:p>
    <w:p>
      <w:pPr>
        <w:jc w:val="center"/>
        <w:rPr>
          <w:rFonts w:hint="eastAsia" w:ascii="宋体" w:hAnsi="宋体" w:cs="宋体"/>
          <w:b/>
          <w:color w:val="auto"/>
          <w:szCs w:val="21"/>
          <w:highlight w:val="none"/>
        </w:rPr>
      </w:pPr>
    </w:p>
    <w:p>
      <w:pPr>
        <w:pStyle w:val="2"/>
        <w:rPr>
          <w:rFonts w:hint="eastAsia"/>
        </w:rPr>
      </w:pPr>
    </w:p>
    <w:p>
      <w:pPr>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目  录</w:t>
      </w:r>
    </w:p>
    <w:p>
      <w:pPr>
        <w:pStyle w:val="2"/>
        <w:ind w:firstLine="420"/>
        <w:rPr>
          <w:rFonts w:hint="eastAsia"/>
          <w:color w:val="auto"/>
          <w:highlight w:val="none"/>
        </w:rPr>
      </w:pPr>
    </w:p>
    <w:p>
      <w:pPr>
        <w:pStyle w:val="31"/>
        <w:tabs>
          <w:tab w:val="right" w:leader="dot" w:pos="8594"/>
        </w:tabs>
      </w:pPr>
      <w:r>
        <w:rPr>
          <w:rFonts w:hint="eastAsia" w:ascii="黑体" w:hAnsi="黑体" w:eastAsia="黑体" w:cs="黑体"/>
          <w:color w:val="auto"/>
          <w:sz w:val="30"/>
          <w:szCs w:val="30"/>
          <w:highlight w:val="none"/>
        </w:rPr>
        <w:fldChar w:fldCharType="begin"/>
      </w:r>
      <w:r>
        <w:rPr>
          <w:rFonts w:hint="eastAsia" w:ascii="黑体" w:hAnsi="黑体" w:eastAsia="黑体" w:cs="黑体"/>
          <w:color w:val="auto"/>
          <w:sz w:val="30"/>
          <w:szCs w:val="30"/>
          <w:highlight w:val="none"/>
        </w:rPr>
        <w:instrText xml:space="preserve"> TOC \o "1-3" \h \z \u </w:instrText>
      </w:r>
      <w:r>
        <w:rPr>
          <w:rFonts w:hint="eastAsia" w:ascii="黑体" w:hAnsi="黑体" w:eastAsia="黑体" w:cs="黑体"/>
          <w:color w:val="auto"/>
          <w:sz w:val="30"/>
          <w:szCs w:val="30"/>
          <w:highlight w:val="none"/>
        </w:rPr>
        <w:fldChar w:fldCharType="separate"/>
      </w:r>
      <w:r>
        <w:rPr>
          <w:rFonts w:hint="eastAsia" w:ascii="黑体" w:hAnsi="黑体" w:eastAsia="黑体" w:cs="黑体"/>
          <w:color w:val="auto"/>
          <w:szCs w:val="30"/>
          <w:highlight w:val="none"/>
        </w:rPr>
        <w:fldChar w:fldCharType="begin"/>
      </w:r>
      <w:r>
        <w:rPr>
          <w:rFonts w:hint="eastAsia" w:ascii="黑体" w:hAnsi="黑体" w:eastAsia="黑体" w:cs="黑体"/>
          <w:szCs w:val="30"/>
          <w:highlight w:val="none"/>
        </w:rPr>
        <w:instrText xml:space="preserve"> HYPERLINK \l _Toc20362 </w:instrText>
      </w:r>
      <w:r>
        <w:rPr>
          <w:rFonts w:hint="eastAsia" w:ascii="黑体" w:hAnsi="黑体" w:eastAsia="黑体" w:cs="黑体"/>
          <w:szCs w:val="30"/>
          <w:highlight w:val="none"/>
        </w:rPr>
        <w:fldChar w:fldCharType="separate"/>
      </w:r>
      <w:r>
        <w:rPr>
          <w:rFonts w:hint="eastAsia" w:ascii="宋体" w:hAnsi="宋体" w:cs="宋体"/>
          <w:szCs w:val="28"/>
          <w:highlight w:val="none"/>
        </w:rPr>
        <w:t xml:space="preserve">第一章  </w:t>
      </w:r>
      <w:r>
        <w:rPr>
          <w:rFonts w:hint="eastAsia" w:ascii="宋体" w:hAnsi="宋体" w:cs="宋体"/>
          <w:szCs w:val="28"/>
          <w:highlight w:val="none"/>
          <w:lang w:val="en-US" w:eastAsia="zh-CN"/>
        </w:rPr>
        <w:t>招标</w:t>
      </w:r>
      <w:r>
        <w:rPr>
          <w:rFonts w:hint="eastAsia" w:ascii="宋体" w:hAnsi="宋体" w:cs="宋体"/>
          <w:szCs w:val="28"/>
          <w:highlight w:val="none"/>
        </w:rPr>
        <w:t>公告</w:t>
      </w:r>
      <w:r>
        <w:tab/>
      </w:r>
      <w:r>
        <w:fldChar w:fldCharType="begin"/>
      </w:r>
      <w:r>
        <w:instrText xml:space="preserve"> PAGEREF _Toc20362 \h </w:instrText>
      </w:r>
      <w:r>
        <w:fldChar w:fldCharType="separate"/>
      </w:r>
      <w:r>
        <w:t>1</w:t>
      </w:r>
      <w:r>
        <w:fldChar w:fldCharType="end"/>
      </w:r>
      <w:r>
        <w:rPr>
          <w:rFonts w:hint="eastAsia" w:ascii="黑体" w:hAnsi="黑体" w:eastAsia="黑体" w:cs="黑体"/>
          <w:color w:val="auto"/>
          <w:szCs w:val="30"/>
          <w:highlight w:val="none"/>
        </w:rPr>
        <w:fldChar w:fldCharType="end"/>
      </w:r>
    </w:p>
    <w:p>
      <w:pPr>
        <w:pStyle w:val="31"/>
        <w:tabs>
          <w:tab w:val="right" w:leader="dot" w:pos="8594"/>
        </w:tabs>
      </w:pPr>
      <w:r>
        <w:rPr>
          <w:rFonts w:hint="eastAsia" w:ascii="黑体" w:hAnsi="黑体" w:eastAsia="黑体" w:cs="黑体"/>
          <w:color w:val="auto"/>
          <w:szCs w:val="30"/>
          <w:highlight w:val="none"/>
        </w:rPr>
        <w:fldChar w:fldCharType="begin"/>
      </w:r>
      <w:r>
        <w:rPr>
          <w:rFonts w:hint="eastAsia" w:ascii="黑体" w:hAnsi="黑体" w:eastAsia="黑体" w:cs="黑体"/>
          <w:szCs w:val="30"/>
          <w:highlight w:val="none"/>
        </w:rPr>
        <w:instrText xml:space="preserve"> HYPERLINK \l _Toc24214 </w:instrText>
      </w:r>
      <w:r>
        <w:rPr>
          <w:rFonts w:hint="eastAsia" w:ascii="黑体" w:hAnsi="黑体" w:eastAsia="黑体" w:cs="黑体"/>
          <w:szCs w:val="30"/>
          <w:highlight w:val="none"/>
        </w:rPr>
        <w:fldChar w:fldCharType="separate"/>
      </w:r>
      <w:r>
        <w:rPr>
          <w:rFonts w:hint="eastAsia" w:hAnsi="黑体" w:cs="黑体"/>
          <w:bCs/>
          <w:szCs w:val="32"/>
          <w:highlight w:val="none"/>
        </w:rPr>
        <w:t>第二章  供应商须知</w:t>
      </w:r>
      <w:r>
        <w:tab/>
      </w:r>
      <w:r>
        <w:fldChar w:fldCharType="begin"/>
      </w:r>
      <w:r>
        <w:instrText xml:space="preserve"> PAGEREF _Toc24214 \h </w:instrText>
      </w:r>
      <w:r>
        <w:fldChar w:fldCharType="separate"/>
      </w:r>
      <w:r>
        <w:t>4</w:t>
      </w:r>
      <w:r>
        <w:fldChar w:fldCharType="end"/>
      </w:r>
      <w:r>
        <w:rPr>
          <w:rFonts w:hint="eastAsia" w:ascii="黑体" w:hAnsi="黑体" w:eastAsia="黑体" w:cs="黑体"/>
          <w:color w:val="auto"/>
          <w:szCs w:val="30"/>
          <w:highlight w:val="none"/>
        </w:rPr>
        <w:fldChar w:fldCharType="end"/>
      </w:r>
    </w:p>
    <w:p>
      <w:pPr>
        <w:pStyle w:val="31"/>
        <w:tabs>
          <w:tab w:val="right" w:leader="dot" w:pos="8594"/>
        </w:tabs>
      </w:pPr>
      <w:r>
        <w:rPr>
          <w:rFonts w:hint="eastAsia" w:ascii="黑体" w:hAnsi="黑体" w:eastAsia="黑体" w:cs="黑体"/>
          <w:color w:val="auto"/>
          <w:szCs w:val="30"/>
          <w:highlight w:val="none"/>
        </w:rPr>
        <w:fldChar w:fldCharType="begin"/>
      </w:r>
      <w:r>
        <w:rPr>
          <w:rFonts w:hint="eastAsia" w:ascii="黑体" w:hAnsi="黑体" w:eastAsia="黑体" w:cs="黑体"/>
          <w:szCs w:val="30"/>
          <w:highlight w:val="none"/>
        </w:rPr>
        <w:instrText xml:space="preserve"> HYPERLINK \l _Toc18669 </w:instrText>
      </w:r>
      <w:r>
        <w:rPr>
          <w:rFonts w:hint="eastAsia" w:ascii="黑体" w:hAnsi="黑体" w:eastAsia="黑体" w:cs="黑体"/>
          <w:szCs w:val="30"/>
          <w:highlight w:val="none"/>
        </w:rPr>
        <w:fldChar w:fldCharType="separate"/>
      </w:r>
      <w:r>
        <w:rPr>
          <w:rFonts w:hint="eastAsia" w:hAnsi="黑体" w:cs="黑体"/>
          <w:bCs/>
          <w:szCs w:val="32"/>
          <w:highlight w:val="none"/>
          <w:lang w:val="en-US" w:eastAsia="zh-CN"/>
        </w:rPr>
        <w:t xml:space="preserve">第三章  </w:t>
      </w:r>
      <w:r>
        <w:rPr>
          <w:rFonts w:hint="eastAsia" w:hAnsi="黑体" w:cs="黑体"/>
          <w:bCs/>
          <w:szCs w:val="32"/>
          <w:highlight w:val="none"/>
        </w:rPr>
        <w:t>评标办法</w:t>
      </w:r>
      <w:r>
        <w:tab/>
      </w:r>
      <w:r>
        <w:fldChar w:fldCharType="begin"/>
      </w:r>
      <w:r>
        <w:instrText xml:space="preserve"> PAGEREF _Toc18669 \h </w:instrText>
      </w:r>
      <w:r>
        <w:fldChar w:fldCharType="separate"/>
      </w:r>
      <w:r>
        <w:t>15</w:t>
      </w:r>
      <w:r>
        <w:fldChar w:fldCharType="end"/>
      </w:r>
      <w:r>
        <w:rPr>
          <w:rFonts w:hint="eastAsia" w:ascii="黑体" w:hAnsi="黑体" w:eastAsia="黑体" w:cs="黑体"/>
          <w:color w:val="auto"/>
          <w:szCs w:val="30"/>
          <w:highlight w:val="none"/>
        </w:rPr>
        <w:fldChar w:fldCharType="end"/>
      </w:r>
    </w:p>
    <w:p>
      <w:pPr>
        <w:pStyle w:val="31"/>
        <w:tabs>
          <w:tab w:val="right" w:leader="dot" w:pos="8594"/>
        </w:tabs>
      </w:pPr>
      <w:r>
        <w:rPr>
          <w:rFonts w:hint="eastAsia" w:ascii="黑体" w:hAnsi="黑体" w:eastAsia="黑体" w:cs="黑体"/>
          <w:color w:val="auto"/>
          <w:szCs w:val="30"/>
          <w:highlight w:val="none"/>
        </w:rPr>
        <w:fldChar w:fldCharType="begin"/>
      </w:r>
      <w:r>
        <w:rPr>
          <w:rFonts w:hint="eastAsia" w:ascii="黑体" w:hAnsi="黑体" w:eastAsia="黑体" w:cs="黑体"/>
          <w:szCs w:val="30"/>
          <w:highlight w:val="none"/>
        </w:rPr>
        <w:instrText xml:space="preserve"> HYPERLINK \l _Toc18176 </w:instrText>
      </w:r>
      <w:r>
        <w:rPr>
          <w:rFonts w:hint="eastAsia" w:ascii="黑体" w:hAnsi="黑体" w:eastAsia="黑体" w:cs="黑体"/>
          <w:szCs w:val="30"/>
          <w:highlight w:val="none"/>
        </w:rPr>
        <w:fldChar w:fldCharType="separate"/>
      </w:r>
      <w:r>
        <w:rPr>
          <w:rFonts w:hint="eastAsia"/>
          <w:highlight w:val="none"/>
        </w:rPr>
        <w:t>第四章</w:t>
      </w:r>
      <w:r>
        <w:rPr>
          <w:rFonts w:hint="eastAsia"/>
          <w:highlight w:val="none"/>
          <w:lang w:val="en-US" w:eastAsia="zh-CN"/>
        </w:rPr>
        <w:t xml:space="preserve"> </w:t>
      </w:r>
      <w:r>
        <w:rPr>
          <w:rFonts w:hint="eastAsia"/>
          <w:highlight w:val="none"/>
        </w:rPr>
        <w:t xml:space="preserve"> 采购需求及技术参数要求</w:t>
      </w:r>
      <w:r>
        <w:tab/>
      </w:r>
      <w:r>
        <w:fldChar w:fldCharType="begin"/>
      </w:r>
      <w:r>
        <w:instrText xml:space="preserve"> PAGEREF _Toc18176 \h </w:instrText>
      </w:r>
      <w:r>
        <w:fldChar w:fldCharType="separate"/>
      </w:r>
      <w:r>
        <w:t>20</w:t>
      </w:r>
      <w:r>
        <w:fldChar w:fldCharType="end"/>
      </w:r>
      <w:r>
        <w:rPr>
          <w:rFonts w:hint="eastAsia" w:ascii="黑体" w:hAnsi="黑体" w:eastAsia="黑体" w:cs="黑体"/>
          <w:color w:val="auto"/>
          <w:szCs w:val="30"/>
          <w:highlight w:val="none"/>
        </w:rPr>
        <w:fldChar w:fldCharType="end"/>
      </w:r>
    </w:p>
    <w:p>
      <w:pPr>
        <w:pStyle w:val="31"/>
        <w:tabs>
          <w:tab w:val="right" w:leader="dot" w:pos="8594"/>
        </w:tabs>
      </w:pPr>
      <w:r>
        <w:rPr>
          <w:rFonts w:hint="eastAsia" w:ascii="黑体" w:hAnsi="黑体" w:eastAsia="黑体" w:cs="黑体"/>
          <w:color w:val="auto"/>
          <w:szCs w:val="30"/>
          <w:highlight w:val="none"/>
        </w:rPr>
        <w:fldChar w:fldCharType="begin"/>
      </w:r>
      <w:r>
        <w:rPr>
          <w:rFonts w:hint="eastAsia" w:ascii="黑体" w:hAnsi="黑体" w:eastAsia="黑体" w:cs="黑体"/>
          <w:szCs w:val="30"/>
          <w:highlight w:val="none"/>
        </w:rPr>
        <w:instrText xml:space="preserve"> HYPERLINK \l _Toc4421 </w:instrText>
      </w:r>
      <w:r>
        <w:rPr>
          <w:rFonts w:hint="eastAsia" w:ascii="黑体" w:hAnsi="黑体" w:eastAsia="黑体" w:cs="黑体"/>
          <w:szCs w:val="30"/>
          <w:highlight w:val="none"/>
        </w:rPr>
        <w:fldChar w:fldCharType="separate"/>
      </w:r>
      <w:r>
        <w:rPr>
          <w:rFonts w:hint="eastAsia" w:ascii="宋体" w:hAnsi="宋体" w:cs="宋体"/>
          <w:szCs w:val="28"/>
          <w:highlight w:val="none"/>
        </w:rPr>
        <w:t>第五章</w:t>
      </w:r>
      <w:r>
        <w:rPr>
          <w:rFonts w:hint="eastAsia" w:ascii="宋体" w:hAnsi="宋体" w:cs="宋体"/>
          <w:szCs w:val="28"/>
          <w:highlight w:val="none"/>
          <w:lang w:val="en-US" w:eastAsia="zh-CN"/>
        </w:rPr>
        <w:t xml:space="preserve"> </w:t>
      </w:r>
      <w:r>
        <w:rPr>
          <w:rFonts w:hint="eastAsia" w:ascii="宋体" w:hAnsi="宋体" w:cs="宋体"/>
          <w:szCs w:val="28"/>
          <w:highlight w:val="none"/>
        </w:rPr>
        <w:t xml:space="preserve"> 合同主要条款及格式</w:t>
      </w:r>
      <w:r>
        <w:tab/>
      </w:r>
      <w:r>
        <w:fldChar w:fldCharType="begin"/>
      </w:r>
      <w:r>
        <w:instrText xml:space="preserve"> PAGEREF _Toc4421 \h </w:instrText>
      </w:r>
      <w:r>
        <w:fldChar w:fldCharType="separate"/>
      </w:r>
      <w:r>
        <w:t>22</w:t>
      </w:r>
      <w:r>
        <w:fldChar w:fldCharType="end"/>
      </w:r>
      <w:r>
        <w:rPr>
          <w:rFonts w:hint="eastAsia" w:ascii="黑体" w:hAnsi="黑体" w:eastAsia="黑体" w:cs="黑体"/>
          <w:color w:val="auto"/>
          <w:szCs w:val="30"/>
          <w:highlight w:val="none"/>
        </w:rPr>
        <w:fldChar w:fldCharType="end"/>
      </w:r>
    </w:p>
    <w:p>
      <w:pPr>
        <w:pStyle w:val="31"/>
        <w:tabs>
          <w:tab w:val="right" w:leader="dot" w:pos="8594"/>
        </w:tabs>
      </w:pPr>
      <w:r>
        <w:rPr>
          <w:rFonts w:hint="eastAsia" w:ascii="黑体" w:hAnsi="黑体" w:eastAsia="黑体" w:cs="黑体"/>
          <w:color w:val="auto"/>
          <w:szCs w:val="30"/>
          <w:highlight w:val="none"/>
        </w:rPr>
        <w:fldChar w:fldCharType="begin"/>
      </w:r>
      <w:r>
        <w:rPr>
          <w:rFonts w:hint="eastAsia" w:ascii="黑体" w:hAnsi="黑体" w:eastAsia="黑体" w:cs="黑体"/>
          <w:szCs w:val="30"/>
          <w:highlight w:val="none"/>
        </w:rPr>
        <w:instrText xml:space="preserve"> HYPERLINK \l _Toc20458 </w:instrText>
      </w:r>
      <w:r>
        <w:rPr>
          <w:rFonts w:hint="eastAsia" w:ascii="黑体" w:hAnsi="黑体" w:eastAsia="黑体" w:cs="黑体"/>
          <w:szCs w:val="30"/>
          <w:highlight w:val="none"/>
        </w:rPr>
        <w:fldChar w:fldCharType="separate"/>
      </w:r>
      <w:r>
        <w:rPr>
          <w:rFonts w:hint="eastAsia" w:ascii="宋体" w:hAnsi="宋体" w:cs="宋体"/>
          <w:szCs w:val="28"/>
          <w:highlight w:val="none"/>
        </w:rPr>
        <w:t xml:space="preserve">第六章  </w:t>
      </w:r>
      <w:r>
        <w:rPr>
          <w:rFonts w:hint="eastAsia" w:ascii="宋体" w:hAnsi="宋体" w:cs="宋体"/>
          <w:szCs w:val="28"/>
          <w:highlight w:val="none"/>
          <w:lang w:eastAsia="zh-CN"/>
        </w:rPr>
        <w:t>投标文件</w:t>
      </w:r>
      <w:r>
        <w:rPr>
          <w:rFonts w:hint="eastAsia" w:ascii="宋体" w:hAnsi="宋体" w:cs="宋体"/>
          <w:szCs w:val="28"/>
          <w:highlight w:val="none"/>
        </w:rPr>
        <w:t>格式</w:t>
      </w:r>
      <w:r>
        <w:tab/>
      </w:r>
      <w:r>
        <w:fldChar w:fldCharType="begin"/>
      </w:r>
      <w:r>
        <w:instrText xml:space="preserve"> PAGEREF _Toc20458 \h </w:instrText>
      </w:r>
      <w:r>
        <w:fldChar w:fldCharType="separate"/>
      </w:r>
      <w:r>
        <w:t>23</w:t>
      </w:r>
      <w:r>
        <w:fldChar w:fldCharType="end"/>
      </w:r>
      <w:r>
        <w:rPr>
          <w:rFonts w:hint="eastAsia" w:ascii="黑体" w:hAnsi="黑体" w:eastAsia="黑体" w:cs="黑体"/>
          <w:color w:val="auto"/>
          <w:szCs w:val="30"/>
          <w:highlight w:val="none"/>
        </w:rPr>
        <w:fldChar w:fldCharType="end"/>
      </w:r>
    </w:p>
    <w:p>
      <w:pPr>
        <w:pStyle w:val="31"/>
        <w:tabs>
          <w:tab w:val="right" w:leader="dot" w:pos="8594"/>
        </w:tabs>
      </w:pPr>
    </w:p>
    <w:p>
      <w:pPr>
        <w:pStyle w:val="2"/>
        <w:spacing w:after="0" w:line="600" w:lineRule="auto"/>
        <w:ind w:left="0" w:leftChars="0" w:firstLine="0" w:firstLineChars="0"/>
        <w:rPr>
          <w:rFonts w:hint="eastAsia" w:hAnsi="宋体" w:cs="宋体"/>
          <w:color w:val="auto"/>
          <w:szCs w:val="21"/>
          <w:highlight w:val="none"/>
        </w:rPr>
      </w:pPr>
      <w:r>
        <w:rPr>
          <w:rFonts w:hint="eastAsia" w:ascii="黑体" w:hAnsi="黑体" w:eastAsia="黑体" w:cs="黑体"/>
          <w:color w:val="auto"/>
          <w:szCs w:val="30"/>
          <w:highlight w:val="none"/>
        </w:rPr>
        <w:fldChar w:fldCharType="end"/>
      </w:r>
    </w:p>
    <w:p>
      <w:pPr>
        <w:spacing w:line="500" w:lineRule="exact"/>
        <w:rPr>
          <w:rFonts w:hint="eastAsia" w:ascii="宋体" w:hAnsi="宋体" w:cs="宋体"/>
          <w:color w:val="auto"/>
          <w:szCs w:val="21"/>
          <w:highlight w:val="none"/>
        </w:rPr>
      </w:pPr>
    </w:p>
    <w:p>
      <w:pPr>
        <w:ind w:firstLine="210" w:firstLineChars="100"/>
        <w:jc w:val="center"/>
        <w:rPr>
          <w:rFonts w:hint="eastAsia" w:ascii="宋体" w:hAnsi="宋体" w:cs="宋体"/>
          <w:color w:val="auto"/>
          <w:szCs w:val="21"/>
          <w:highlight w:val="none"/>
        </w:rPr>
      </w:pPr>
    </w:p>
    <w:p>
      <w:pPr>
        <w:ind w:firstLine="210" w:firstLineChars="100"/>
        <w:jc w:val="cente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rPr>
      </w:pPr>
    </w:p>
    <w:p>
      <w:pPr>
        <w:widowControl w:val="0"/>
        <w:snapToGrid w:val="0"/>
        <w:spacing w:before="312" w:beforeLines="100" w:line="372" w:lineRule="auto"/>
        <w:rPr>
          <w:rFonts w:hint="eastAsia" w:ascii="宋体" w:hAnsi="宋体" w:cs="宋体"/>
          <w:b/>
          <w:bCs/>
          <w:color w:val="auto"/>
          <w:szCs w:val="21"/>
          <w:highlight w:val="none"/>
        </w:rPr>
      </w:pPr>
      <w:bookmarkStart w:id="1" w:name="OLE_LINK8"/>
      <w:bookmarkStart w:id="2" w:name="OLE_LINK5"/>
      <w:bookmarkStart w:id="3" w:name="OLE_LINK2"/>
      <w:bookmarkStart w:id="4" w:name="OLE_LINK3"/>
      <w:bookmarkStart w:id="5" w:name="OLE_LINK7"/>
      <w:bookmarkStart w:id="6" w:name="OLE_LINK4"/>
      <w:bookmarkStart w:id="7" w:name="OLE_LINK6"/>
    </w:p>
    <w:p>
      <w:pPr>
        <w:pStyle w:val="2"/>
        <w:ind w:firstLine="422"/>
        <w:rPr>
          <w:rFonts w:hint="eastAsia" w:hAnsi="宋体" w:cs="宋体"/>
          <w:b/>
          <w:bCs/>
          <w:color w:val="auto"/>
          <w:szCs w:val="21"/>
          <w:highlight w:val="none"/>
        </w:rPr>
      </w:pPr>
    </w:p>
    <w:bookmarkEnd w:id="1"/>
    <w:bookmarkEnd w:id="2"/>
    <w:bookmarkEnd w:id="3"/>
    <w:bookmarkEnd w:id="4"/>
    <w:bookmarkEnd w:id="5"/>
    <w:bookmarkEnd w:id="6"/>
    <w:bookmarkEnd w:id="7"/>
    <w:p>
      <w:pPr>
        <w:spacing w:line="360" w:lineRule="auto"/>
        <w:jc w:val="center"/>
        <w:outlineLvl w:val="0"/>
        <w:rPr>
          <w:rFonts w:hint="eastAsia" w:ascii="宋体" w:hAnsi="宋体" w:cs="宋体"/>
          <w:b/>
          <w:color w:val="auto"/>
          <w:sz w:val="28"/>
          <w:szCs w:val="28"/>
          <w:highlight w:val="none"/>
        </w:rPr>
        <w:sectPr>
          <w:headerReference r:id="rId5" w:type="default"/>
          <w:pgSz w:w="11906" w:h="16838"/>
          <w:pgMar w:top="1091" w:right="1469" w:bottom="1021" w:left="1843" w:header="284" w:footer="680" w:gutter="0"/>
          <w:pgNumType w:fmt="decimal"/>
          <w:cols w:space="720" w:num="1"/>
          <w:docGrid w:type="lines" w:linePitch="312" w:charSpace="0"/>
        </w:sectPr>
      </w:pPr>
      <w:bookmarkStart w:id="8" w:name="_Toc20362"/>
      <w:bookmarkStart w:id="9" w:name="_Toc35549351"/>
    </w:p>
    <w:p>
      <w:pPr>
        <w:spacing w:line="360" w:lineRule="auto"/>
        <w:jc w:val="center"/>
        <w:outlineLvl w:val="0"/>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第一章  </w:t>
      </w:r>
      <w:r>
        <w:rPr>
          <w:rFonts w:hint="eastAsia" w:ascii="宋体" w:hAnsi="宋体" w:cs="宋体"/>
          <w:b/>
          <w:color w:val="auto"/>
          <w:sz w:val="28"/>
          <w:szCs w:val="28"/>
          <w:highlight w:val="none"/>
          <w:lang w:val="en-US" w:eastAsia="zh-CN"/>
        </w:rPr>
        <w:t>招标</w:t>
      </w:r>
      <w:r>
        <w:rPr>
          <w:rFonts w:hint="eastAsia" w:ascii="宋体" w:hAnsi="宋体" w:cs="宋体"/>
          <w:b/>
          <w:color w:val="auto"/>
          <w:sz w:val="28"/>
          <w:szCs w:val="28"/>
          <w:highlight w:val="none"/>
        </w:rPr>
        <w:t>公告</w:t>
      </w:r>
      <w:bookmarkEnd w:id="8"/>
    </w:p>
    <w:p>
      <w:pPr>
        <w:spacing w:line="240" w:lineRule="auto"/>
        <w:ind w:firstLine="630" w:firstLineChars="300"/>
        <w:rPr>
          <w:rFonts w:hint="eastAsia" w:ascii="宋体" w:hAnsi="宋体" w:cs="宋体"/>
          <w:color w:val="auto"/>
          <w:szCs w:val="21"/>
          <w:highlight w:val="none"/>
          <w:u w:val="single"/>
        </w:rPr>
      </w:pPr>
    </w:p>
    <w:p>
      <w:pPr>
        <w:keepNext/>
        <w:keepLines/>
        <w:pageBreakBefore w:val="0"/>
        <w:widowControl w:val="0"/>
        <w:kinsoku/>
        <w:wordWrap/>
        <w:overflowPunct/>
        <w:topLinePunct w:val="0"/>
        <w:autoSpaceDE/>
        <w:autoSpaceDN/>
        <w:bidi w:val="0"/>
        <w:snapToGrid/>
        <w:spacing w:line="500" w:lineRule="exact"/>
        <w:ind w:firstLine="560" w:firstLineChars="200"/>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color="auto"/>
          <w:lang w:eastAsia="zh-CN"/>
        </w:rPr>
        <w:t>滁能热电（全椒）有限公司、</w:t>
      </w:r>
      <w:r>
        <w:rPr>
          <w:rFonts w:hint="eastAsia" w:ascii="仿宋" w:hAnsi="仿宋" w:eastAsia="仿宋" w:cs="仿宋"/>
          <w:color w:val="auto"/>
          <w:sz w:val="28"/>
          <w:szCs w:val="28"/>
          <w:highlight w:val="none"/>
          <w:u w:val="single" w:color="auto"/>
          <w:lang w:val="en-US" w:eastAsia="zh-CN"/>
        </w:rPr>
        <w:t>安徽</w:t>
      </w:r>
      <w:r>
        <w:rPr>
          <w:rFonts w:hint="eastAsia" w:ascii="仿宋" w:hAnsi="仿宋" w:eastAsia="仿宋" w:cs="仿宋"/>
          <w:color w:val="auto"/>
          <w:sz w:val="28"/>
          <w:szCs w:val="28"/>
          <w:highlight w:val="none"/>
          <w:u w:val="single" w:color="auto"/>
          <w:lang w:eastAsia="zh-CN"/>
        </w:rPr>
        <w:t>润森生物质科技有限公司净资产审计及股权评估服务项目</w:t>
      </w:r>
      <w:r>
        <w:rPr>
          <w:rFonts w:hint="eastAsia" w:ascii="仿宋" w:hAnsi="仿宋" w:eastAsia="仿宋" w:cs="仿宋"/>
          <w:color w:val="auto"/>
          <w:sz w:val="28"/>
          <w:szCs w:val="28"/>
          <w:highlight w:val="none"/>
        </w:rPr>
        <w:t>的潜在供应商应在</w:t>
      </w:r>
      <w:r>
        <w:rPr>
          <w:rFonts w:hint="eastAsia" w:ascii="仿宋" w:hAnsi="仿宋" w:eastAsia="仿宋" w:cs="仿宋"/>
          <w:color w:val="auto"/>
          <w:sz w:val="28"/>
          <w:szCs w:val="28"/>
          <w:highlight w:val="none"/>
          <w:lang w:val="en-US" w:eastAsia="zh-CN"/>
        </w:rPr>
        <w:t>滁州市工投公司公众号或中国扬子集团</w:t>
      </w:r>
      <w:r>
        <w:rPr>
          <w:rFonts w:hint="eastAsia" w:ascii="仿宋" w:hAnsi="仿宋" w:eastAsia="仿宋" w:cs="仿宋"/>
          <w:color w:val="auto"/>
          <w:sz w:val="28"/>
          <w:szCs w:val="28"/>
          <w:highlight w:val="none"/>
          <w:lang w:eastAsia="zh-CN"/>
        </w:rPr>
        <w:t>公司</w:t>
      </w:r>
      <w:r>
        <w:rPr>
          <w:rFonts w:hint="eastAsia" w:ascii="仿宋" w:hAnsi="仿宋" w:eastAsia="仿宋" w:cs="仿宋"/>
          <w:color w:val="auto"/>
          <w:sz w:val="28"/>
          <w:szCs w:val="28"/>
          <w:highlight w:val="none"/>
        </w:rPr>
        <w:t>网站（http://www.yangzigroup.cn）获取</w:t>
      </w:r>
      <w:r>
        <w:rPr>
          <w:rFonts w:hint="eastAsia" w:ascii="仿宋" w:hAnsi="仿宋" w:eastAsia="仿宋" w:cs="仿宋"/>
          <w:color w:val="auto"/>
          <w:sz w:val="28"/>
          <w:szCs w:val="28"/>
          <w:highlight w:val="none"/>
          <w:lang w:val="en-US" w:eastAsia="zh-CN"/>
        </w:rPr>
        <w:t>招标</w:t>
      </w:r>
      <w:r>
        <w:rPr>
          <w:rFonts w:hint="eastAsia" w:ascii="仿宋" w:hAnsi="仿宋" w:eastAsia="仿宋" w:cs="仿宋"/>
          <w:color w:val="auto"/>
          <w:sz w:val="28"/>
          <w:szCs w:val="28"/>
          <w:highlight w:val="none"/>
        </w:rPr>
        <w:t>文件，并于</w:t>
      </w:r>
      <w:r>
        <w:rPr>
          <w:rFonts w:hint="eastAsia" w:ascii="仿宋" w:hAnsi="仿宋" w:eastAsia="仿宋" w:cs="仿宋"/>
          <w:color w:val="auto"/>
          <w:sz w:val="28"/>
          <w:szCs w:val="28"/>
          <w:highlight w:val="none"/>
          <w:u w:val="single"/>
          <w:lang w:eastAsia="zh-CN"/>
        </w:rPr>
        <w:t>2023年</w:t>
      </w:r>
      <w:r>
        <w:rPr>
          <w:rFonts w:hint="eastAsia" w:ascii="仿宋" w:hAnsi="仿宋" w:eastAsia="仿宋" w:cs="仿宋"/>
          <w:color w:val="auto"/>
          <w:sz w:val="28"/>
          <w:szCs w:val="28"/>
          <w:highlight w:val="none"/>
          <w:u w:val="single"/>
          <w:lang w:val="en-US" w:eastAsia="zh-CN"/>
        </w:rPr>
        <w:t>12</w:t>
      </w:r>
      <w:r>
        <w:rPr>
          <w:rFonts w:hint="eastAsia" w:ascii="仿宋" w:hAnsi="仿宋" w:eastAsia="仿宋" w:cs="仿宋"/>
          <w:color w:val="auto"/>
          <w:sz w:val="28"/>
          <w:szCs w:val="28"/>
          <w:highlight w:val="none"/>
          <w:u w:val="single"/>
          <w:lang w:eastAsia="zh-CN"/>
        </w:rPr>
        <w:t>月</w:t>
      </w:r>
      <w:r>
        <w:rPr>
          <w:rFonts w:hint="eastAsia" w:ascii="仿宋" w:hAnsi="仿宋" w:eastAsia="仿宋" w:cs="仿宋"/>
          <w:color w:val="auto"/>
          <w:sz w:val="28"/>
          <w:szCs w:val="28"/>
          <w:highlight w:val="none"/>
          <w:u w:val="single"/>
          <w:lang w:val="en-US" w:eastAsia="zh-CN"/>
        </w:rPr>
        <w:t>25</w:t>
      </w:r>
      <w:r>
        <w:rPr>
          <w:rFonts w:hint="eastAsia" w:ascii="仿宋" w:hAnsi="仿宋" w:eastAsia="仿宋" w:cs="仿宋"/>
          <w:color w:val="auto"/>
          <w:sz w:val="28"/>
          <w:szCs w:val="28"/>
          <w:highlight w:val="none"/>
          <w:u w:val="single"/>
          <w:lang w:eastAsia="zh-CN"/>
        </w:rPr>
        <w:t>日</w:t>
      </w:r>
      <w:r>
        <w:rPr>
          <w:rFonts w:hint="eastAsia" w:ascii="仿宋" w:hAnsi="仿宋" w:eastAsia="仿宋" w:cs="仿宋"/>
          <w:color w:val="auto"/>
          <w:sz w:val="28"/>
          <w:szCs w:val="28"/>
          <w:highlight w:val="none"/>
          <w:u w:val="single"/>
          <w:lang w:val="en-US" w:eastAsia="zh-CN"/>
        </w:rPr>
        <w:t>15点00分</w:t>
      </w:r>
      <w:r>
        <w:rPr>
          <w:rFonts w:hint="eastAsia" w:ascii="仿宋" w:hAnsi="仿宋" w:eastAsia="仿宋" w:cs="仿宋"/>
          <w:color w:val="auto"/>
          <w:sz w:val="28"/>
          <w:szCs w:val="28"/>
          <w:highlight w:val="none"/>
        </w:rPr>
        <w:t>（北京时间）前递交</w:t>
      </w:r>
      <w:r>
        <w:rPr>
          <w:rFonts w:hint="eastAsia" w:ascii="仿宋" w:hAnsi="仿宋" w:eastAsia="仿宋" w:cs="仿宋"/>
          <w:color w:val="auto"/>
          <w:sz w:val="28"/>
          <w:szCs w:val="28"/>
          <w:highlight w:val="none"/>
          <w:lang w:val="en-US" w:eastAsia="zh-CN"/>
        </w:rPr>
        <w:t>投标</w:t>
      </w:r>
      <w:r>
        <w:rPr>
          <w:rFonts w:hint="eastAsia" w:ascii="仿宋" w:hAnsi="仿宋" w:eastAsia="仿宋" w:cs="仿宋"/>
          <w:color w:val="auto"/>
          <w:sz w:val="28"/>
          <w:szCs w:val="28"/>
          <w:highlight w:val="none"/>
        </w:rPr>
        <w:t>文件。</w:t>
      </w:r>
    </w:p>
    <w:p>
      <w:pPr>
        <w:keepNext/>
        <w:keepLines/>
        <w:pageBreakBefore w:val="0"/>
        <w:widowControl w:val="0"/>
        <w:kinsoku/>
        <w:wordWrap/>
        <w:overflowPunct/>
        <w:topLinePunct w:val="0"/>
        <w:autoSpaceDE/>
        <w:autoSpaceDN/>
        <w:bidi w:val="0"/>
        <w:snapToGrid/>
        <w:spacing w:line="500" w:lineRule="exact"/>
        <w:ind w:left="0" w:leftChars="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pPr>
        <w:pageBreakBefore w:val="0"/>
        <w:kinsoku/>
        <w:wordWrap/>
        <w:overflowPunct/>
        <w:topLinePunct w:val="0"/>
        <w:autoSpaceDE/>
        <w:autoSpaceDN/>
        <w:bidi w:val="0"/>
        <w:snapToGrid/>
        <w:spacing w:line="500" w:lineRule="exact"/>
        <w:ind w:left="0" w:leftChars="0" w:firstLine="516" w:firstLineChars="200"/>
        <w:rPr>
          <w:rFonts w:hint="eastAsia" w:ascii="仿宋" w:hAnsi="仿宋" w:eastAsia="仿宋"/>
          <w:color w:val="auto"/>
          <w:spacing w:val="-11"/>
          <w:sz w:val="28"/>
          <w:szCs w:val="28"/>
          <w:highlight w:val="none"/>
          <w:u w:val="single"/>
          <w:lang w:val="en-US" w:eastAsia="zh-CN"/>
        </w:rPr>
      </w:pPr>
      <w:r>
        <w:rPr>
          <w:rFonts w:hint="eastAsia" w:ascii="仿宋" w:hAnsi="仿宋" w:eastAsia="仿宋"/>
          <w:color w:val="auto"/>
          <w:spacing w:val="-11"/>
          <w:sz w:val="28"/>
          <w:szCs w:val="28"/>
          <w:highlight w:val="none"/>
          <w:lang w:eastAsia="zh-CN"/>
        </w:rPr>
        <w:t>项目名称：滁能热电（全椒）有限公司、</w:t>
      </w:r>
      <w:r>
        <w:rPr>
          <w:rFonts w:hint="eastAsia" w:ascii="仿宋" w:hAnsi="仿宋" w:eastAsia="仿宋"/>
          <w:color w:val="auto"/>
          <w:spacing w:val="-11"/>
          <w:sz w:val="28"/>
          <w:szCs w:val="28"/>
          <w:highlight w:val="none"/>
          <w:lang w:val="en-US" w:eastAsia="zh-CN"/>
        </w:rPr>
        <w:t>安徽</w:t>
      </w:r>
      <w:r>
        <w:rPr>
          <w:rFonts w:hint="eastAsia" w:ascii="仿宋" w:hAnsi="仿宋" w:eastAsia="仿宋"/>
          <w:color w:val="auto"/>
          <w:spacing w:val="-11"/>
          <w:sz w:val="28"/>
          <w:szCs w:val="28"/>
          <w:highlight w:val="none"/>
          <w:lang w:eastAsia="zh-CN"/>
        </w:rPr>
        <w:t>润森生物质科技有限公司净资产审计及股权评估服务项目</w:t>
      </w:r>
    </w:p>
    <w:p>
      <w:pPr>
        <w:pageBreakBefore w:val="0"/>
        <w:kinsoku/>
        <w:wordWrap/>
        <w:overflowPunct/>
        <w:topLinePunct w:val="0"/>
        <w:autoSpaceDE/>
        <w:autoSpaceDN/>
        <w:bidi w:val="0"/>
        <w:snapToGrid/>
        <w:spacing w:line="500" w:lineRule="exact"/>
        <w:ind w:left="0" w:leftChars="0"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采购方式：</w:t>
      </w:r>
      <w:r>
        <w:rPr>
          <w:rFonts w:hint="eastAsia" w:ascii="仿宋" w:hAnsi="仿宋" w:eastAsia="仿宋"/>
          <w:color w:val="auto"/>
          <w:sz w:val="28"/>
          <w:szCs w:val="28"/>
          <w:highlight w:val="none"/>
          <w:lang w:val="en-US" w:eastAsia="zh-CN"/>
        </w:rPr>
        <w:t>公开招标</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预算金额：约</w:t>
      </w:r>
      <w:r>
        <w:rPr>
          <w:rFonts w:hint="eastAsia" w:ascii="仿宋" w:hAnsi="仿宋" w:eastAsia="仿宋"/>
          <w:color w:val="auto"/>
          <w:sz w:val="28"/>
          <w:szCs w:val="28"/>
          <w:highlight w:val="none"/>
          <w:lang w:val="en-US" w:eastAsia="zh-CN"/>
        </w:rPr>
        <w:t>十万</w:t>
      </w:r>
      <w:r>
        <w:rPr>
          <w:rFonts w:hint="eastAsia" w:ascii="仿宋" w:hAnsi="仿宋" w:eastAsia="仿宋"/>
          <w:color w:val="auto"/>
          <w:sz w:val="28"/>
          <w:szCs w:val="28"/>
          <w:highlight w:val="none"/>
        </w:rPr>
        <w:t>元</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含税</w:t>
      </w:r>
      <w:r>
        <w:rPr>
          <w:rFonts w:hint="eastAsia" w:ascii="仿宋" w:hAnsi="仿宋" w:eastAsia="仿宋"/>
          <w:color w:val="auto"/>
          <w:sz w:val="28"/>
          <w:szCs w:val="28"/>
          <w:highlight w:val="none"/>
          <w:lang w:eastAsia="zh-CN"/>
        </w:rPr>
        <w:t>）</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十万元整</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100000.00</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含税</w:t>
      </w:r>
      <w:r>
        <w:rPr>
          <w:rFonts w:hint="eastAsia" w:ascii="仿宋" w:hAnsi="仿宋" w:eastAsia="仿宋"/>
          <w:color w:val="auto"/>
          <w:sz w:val="28"/>
          <w:szCs w:val="28"/>
          <w:highlight w:val="none"/>
          <w:lang w:eastAsia="zh-CN"/>
        </w:rPr>
        <w:t>），投标报价</w:t>
      </w:r>
      <w:r>
        <w:rPr>
          <w:rFonts w:hint="eastAsia" w:ascii="仿宋" w:hAnsi="仿宋" w:eastAsia="仿宋"/>
          <w:color w:val="auto"/>
          <w:sz w:val="28"/>
          <w:szCs w:val="28"/>
          <w:highlight w:val="none"/>
        </w:rPr>
        <w:t>不得高于最高限价，否则按无效响应处理。</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采购需求：详见《采购需求及技术参数要求》。</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合同履行期限：</w:t>
      </w:r>
      <w:r>
        <w:rPr>
          <w:rFonts w:hint="eastAsia" w:ascii="仿宋" w:hAnsi="仿宋" w:eastAsia="仿宋" w:cs="Times New Roman"/>
          <w:color w:val="auto"/>
          <w:sz w:val="28"/>
          <w:szCs w:val="28"/>
          <w:highlight w:val="none"/>
        </w:rPr>
        <w:t>根据</w:t>
      </w:r>
      <w:r>
        <w:rPr>
          <w:rFonts w:hint="eastAsia" w:ascii="仿宋" w:hAnsi="仿宋" w:eastAsia="仿宋" w:cs="Times New Roman"/>
          <w:color w:val="auto"/>
          <w:sz w:val="28"/>
          <w:szCs w:val="28"/>
          <w:highlight w:val="none"/>
          <w:lang w:val="en-US" w:eastAsia="zh-CN"/>
        </w:rPr>
        <w:t>采购人</w:t>
      </w:r>
      <w:r>
        <w:rPr>
          <w:rFonts w:hint="eastAsia" w:ascii="仿宋" w:hAnsi="仿宋" w:eastAsia="仿宋" w:cs="Times New Roman"/>
          <w:color w:val="auto"/>
          <w:sz w:val="28"/>
          <w:szCs w:val="28"/>
          <w:highlight w:val="none"/>
        </w:rPr>
        <w:t>审计</w:t>
      </w:r>
      <w:r>
        <w:rPr>
          <w:rFonts w:hint="eastAsia" w:ascii="仿宋" w:hAnsi="仿宋" w:eastAsia="仿宋" w:cs="Times New Roman"/>
          <w:color w:val="auto"/>
          <w:sz w:val="28"/>
          <w:szCs w:val="28"/>
          <w:highlight w:val="none"/>
          <w:lang w:val="en-US" w:eastAsia="zh-CN"/>
        </w:rPr>
        <w:t>和评估</w:t>
      </w:r>
      <w:r>
        <w:rPr>
          <w:rFonts w:hint="eastAsia" w:ascii="仿宋" w:hAnsi="仿宋" w:eastAsia="仿宋" w:cs="Times New Roman"/>
          <w:color w:val="auto"/>
          <w:sz w:val="28"/>
          <w:szCs w:val="28"/>
          <w:highlight w:val="none"/>
        </w:rPr>
        <w:t>工作的实际需要，应在</w:t>
      </w:r>
      <w:r>
        <w:rPr>
          <w:rFonts w:hint="eastAsia" w:ascii="仿宋" w:hAnsi="仿宋" w:eastAsia="仿宋" w:cs="Times New Roman"/>
          <w:color w:val="auto"/>
          <w:sz w:val="28"/>
          <w:szCs w:val="28"/>
          <w:highlight w:val="none"/>
          <w:lang w:val="en-US" w:eastAsia="zh-CN"/>
        </w:rPr>
        <w:t>中标后3</w:t>
      </w:r>
      <w:r>
        <w:rPr>
          <w:rFonts w:hint="eastAsia" w:ascii="仿宋" w:hAnsi="仿宋" w:eastAsia="仿宋" w:cs="Times New Roman"/>
          <w:color w:val="auto"/>
          <w:sz w:val="28"/>
          <w:szCs w:val="28"/>
          <w:highlight w:val="none"/>
        </w:rPr>
        <w:t>个工作日内到现场开展审计</w:t>
      </w:r>
      <w:r>
        <w:rPr>
          <w:rFonts w:hint="eastAsia" w:ascii="仿宋" w:hAnsi="仿宋" w:eastAsia="仿宋" w:cs="Times New Roman"/>
          <w:color w:val="auto"/>
          <w:sz w:val="28"/>
          <w:szCs w:val="28"/>
          <w:highlight w:val="none"/>
          <w:lang w:val="en-US" w:eastAsia="zh-CN"/>
        </w:rPr>
        <w:t>和评估</w:t>
      </w:r>
      <w:r>
        <w:rPr>
          <w:rFonts w:hint="eastAsia" w:ascii="仿宋" w:hAnsi="仿宋" w:eastAsia="仿宋" w:cs="Times New Roman"/>
          <w:color w:val="auto"/>
          <w:sz w:val="28"/>
          <w:szCs w:val="28"/>
          <w:highlight w:val="none"/>
        </w:rPr>
        <w:t>工作，特殊紧急需要的</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rPr>
        <w:t>审计</w:t>
      </w:r>
      <w:r>
        <w:rPr>
          <w:rFonts w:hint="eastAsia" w:ascii="仿宋" w:hAnsi="仿宋" w:eastAsia="仿宋" w:cs="Times New Roman"/>
          <w:color w:val="auto"/>
          <w:sz w:val="28"/>
          <w:szCs w:val="28"/>
          <w:highlight w:val="none"/>
          <w:lang w:val="en-US" w:eastAsia="zh-CN"/>
        </w:rPr>
        <w:t>和评估</w:t>
      </w:r>
      <w:r>
        <w:rPr>
          <w:rFonts w:hint="eastAsia" w:ascii="仿宋" w:hAnsi="仿宋" w:eastAsia="仿宋" w:cs="Times New Roman"/>
          <w:color w:val="auto"/>
          <w:sz w:val="28"/>
          <w:szCs w:val="28"/>
          <w:highlight w:val="none"/>
        </w:rPr>
        <w:t>服务商应根据</w:t>
      </w:r>
      <w:r>
        <w:rPr>
          <w:rFonts w:hint="eastAsia" w:ascii="仿宋" w:hAnsi="仿宋" w:eastAsia="仿宋" w:cs="Times New Roman"/>
          <w:color w:val="auto"/>
          <w:sz w:val="28"/>
          <w:szCs w:val="28"/>
          <w:highlight w:val="none"/>
          <w:lang w:val="en-US" w:eastAsia="zh-CN"/>
        </w:rPr>
        <w:t>企业</w:t>
      </w:r>
      <w:r>
        <w:rPr>
          <w:rFonts w:hint="eastAsia" w:ascii="仿宋" w:hAnsi="仿宋" w:eastAsia="仿宋" w:cs="Times New Roman"/>
          <w:color w:val="auto"/>
          <w:sz w:val="28"/>
          <w:szCs w:val="28"/>
          <w:highlight w:val="none"/>
        </w:rPr>
        <w:t>安排及时开展工作。在现场审计</w:t>
      </w:r>
      <w:r>
        <w:rPr>
          <w:rFonts w:hint="eastAsia" w:ascii="仿宋" w:hAnsi="仿宋" w:eastAsia="仿宋" w:cs="Times New Roman"/>
          <w:color w:val="auto"/>
          <w:sz w:val="28"/>
          <w:szCs w:val="28"/>
          <w:highlight w:val="none"/>
          <w:lang w:val="en-US" w:eastAsia="zh-CN"/>
        </w:rPr>
        <w:t>和评估</w:t>
      </w:r>
      <w:r>
        <w:rPr>
          <w:rFonts w:hint="eastAsia" w:ascii="仿宋" w:hAnsi="仿宋" w:eastAsia="仿宋" w:cs="Times New Roman"/>
          <w:color w:val="auto"/>
          <w:sz w:val="28"/>
          <w:szCs w:val="28"/>
          <w:highlight w:val="none"/>
        </w:rPr>
        <w:t>后</w:t>
      </w:r>
      <w:r>
        <w:rPr>
          <w:rFonts w:hint="eastAsia" w:ascii="仿宋" w:hAnsi="仿宋" w:eastAsia="仿宋" w:cs="Times New Roman"/>
          <w:color w:val="auto"/>
          <w:sz w:val="28"/>
          <w:szCs w:val="28"/>
          <w:highlight w:val="none"/>
          <w:lang w:val="en-US" w:eastAsia="zh-CN"/>
        </w:rPr>
        <w:t>15日</w:t>
      </w:r>
      <w:r>
        <w:rPr>
          <w:rFonts w:hint="eastAsia" w:ascii="仿宋" w:hAnsi="仿宋" w:eastAsia="仿宋" w:cs="Times New Roman"/>
          <w:color w:val="auto"/>
          <w:sz w:val="28"/>
          <w:szCs w:val="28"/>
          <w:highlight w:val="none"/>
        </w:rPr>
        <w:t>内出具真实、合法、完整的审计报告</w:t>
      </w:r>
      <w:r>
        <w:rPr>
          <w:rFonts w:hint="eastAsia" w:ascii="仿宋" w:hAnsi="仿宋" w:eastAsia="仿宋" w:cs="Times New Roman"/>
          <w:color w:val="auto"/>
          <w:sz w:val="28"/>
          <w:szCs w:val="28"/>
          <w:highlight w:val="none"/>
          <w:lang w:val="en-US" w:eastAsia="zh-CN"/>
        </w:rPr>
        <w:t>和评估报告</w:t>
      </w:r>
      <w:r>
        <w:rPr>
          <w:rFonts w:hint="eastAsia" w:ascii="仿宋" w:hAnsi="仿宋" w:eastAsia="仿宋" w:cs="Times New Roman"/>
          <w:color w:val="auto"/>
          <w:sz w:val="28"/>
          <w:szCs w:val="28"/>
          <w:highlight w:val="none"/>
        </w:rPr>
        <w:t>（特殊情况除外）。</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本项目接受联合体</w:t>
      </w:r>
      <w:r>
        <w:rPr>
          <w:rFonts w:hint="eastAsia" w:ascii="仿宋" w:hAnsi="仿宋" w:eastAsia="仿宋"/>
          <w:color w:val="auto"/>
          <w:sz w:val="28"/>
          <w:szCs w:val="28"/>
          <w:highlight w:val="none"/>
          <w:lang w:val="en-US" w:eastAsia="zh-CN"/>
        </w:rPr>
        <w:t>投标</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会计师事务所和资产评估机构可联合投标。联合体牵头人和成员单位合计不超过2家，联合体牵头人应具备有效的会计师事务所执业资格证书或资产评估执业资格证书。</w:t>
      </w:r>
    </w:p>
    <w:p>
      <w:pPr>
        <w:pageBreakBefore w:val="0"/>
        <w:kinsoku/>
        <w:wordWrap/>
        <w:overflowPunct/>
        <w:topLinePunct w:val="0"/>
        <w:autoSpaceDE/>
        <w:autoSpaceDN/>
        <w:bidi w:val="0"/>
        <w:snapToGrid/>
        <w:spacing w:line="500" w:lineRule="exact"/>
        <w:ind w:left="0" w:leftChars="0"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联合体投标应在投标文件中提交各方共同签署的联合体投标协议书。联合体投标协议书中必须明确联合体牵头方、联合体方承担的工作、相应的责任及利益分配方案等，并授权牵头方代表联合体全体成员接受指示和承担责任，负责投标和合同实施阶段的主办、协调工作，该协议对联合体成员均有合法约束力。</w:t>
      </w:r>
    </w:p>
    <w:p>
      <w:pPr>
        <w:keepNext/>
        <w:keepLines/>
        <w:pageBreakBefore w:val="0"/>
        <w:widowControl w:val="0"/>
        <w:kinsoku/>
        <w:wordWrap/>
        <w:overflowPunct/>
        <w:topLinePunct w:val="0"/>
        <w:autoSpaceDE/>
        <w:autoSpaceDN/>
        <w:bidi w:val="0"/>
        <w:snapToGrid/>
        <w:spacing w:line="500" w:lineRule="exact"/>
        <w:ind w:left="0" w:leftChars="0"/>
        <w:textAlignment w:val="auto"/>
        <w:rPr>
          <w:rFonts w:hint="eastAsia" w:ascii="黑体" w:hAnsi="黑体" w:eastAsia="黑体" w:cs="黑体"/>
          <w:color w:val="auto"/>
          <w:sz w:val="28"/>
          <w:szCs w:val="28"/>
          <w:highlight w:val="none"/>
        </w:rPr>
      </w:pPr>
      <w:bookmarkStart w:id="10" w:name="_Toc28359090"/>
      <w:bookmarkStart w:id="11" w:name="_Toc35393630"/>
      <w:bookmarkStart w:id="12" w:name="_Toc35393799"/>
      <w:bookmarkStart w:id="13" w:name="_Toc28359013"/>
      <w:r>
        <w:rPr>
          <w:rFonts w:hint="eastAsia" w:ascii="黑体" w:hAnsi="黑体" w:eastAsia="黑体" w:cs="黑体"/>
          <w:color w:val="auto"/>
          <w:sz w:val="28"/>
          <w:szCs w:val="28"/>
          <w:highlight w:val="none"/>
        </w:rPr>
        <w:t>二、申请人的资格要求</w:t>
      </w:r>
      <w:bookmarkEnd w:id="10"/>
      <w:bookmarkEnd w:id="11"/>
      <w:bookmarkEnd w:id="12"/>
      <w:bookmarkEnd w:id="13"/>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rPr>
        <w:t>1.</w:t>
      </w:r>
      <w:r>
        <w:rPr>
          <w:rFonts w:hint="eastAsia" w:ascii="仿宋" w:hAnsi="仿宋" w:eastAsia="仿宋" w:cs="Times New Roman"/>
          <w:color w:val="auto"/>
          <w:sz w:val="28"/>
          <w:szCs w:val="28"/>
          <w:highlight w:val="none"/>
          <w:lang w:val="en-US" w:eastAsia="zh-CN"/>
        </w:rPr>
        <w:t xml:space="preserve">供应商必须具有独立法人资格以及相应的经营范围，并且具有有效的营业执照、组织机构代码证、税务登记证（或三证合一证件）；    </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val="en-US" w:eastAsia="zh-CN"/>
        </w:rPr>
        <w:t>2.会计师事务所和评估机构应分别</w:t>
      </w:r>
      <w:r>
        <w:rPr>
          <w:rFonts w:hint="eastAsia" w:ascii="仿宋" w:hAnsi="仿宋" w:eastAsia="仿宋" w:cs="Times New Roman"/>
          <w:color w:val="auto"/>
          <w:sz w:val="28"/>
          <w:szCs w:val="28"/>
          <w:highlight w:val="none"/>
        </w:rPr>
        <w:t>具</w:t>
      </w:r>
      <w:r>
        <w:rPr>
          <w:rFonts w:hint="eastAsia" w:ascii="仿宋" w:hAnsi="仿宋" w:eastAsia="仿宋" w:cs="Times New Roman"/>
          <w:color w:val="auto"/>
          <w:sz w:val="28"/>
          <w:szCs w:val="28"/>
          <w:highlight w:val="none"/>
          <w:lang w:val="en-US" w:eastAsia="zh-CN"/>
        </w:rPr>
        <w:t>有</w:t>
      </w:r>
      <w:r>
        <w:rPr>
          <w:rFonts w:hint="eastAsia" w:ascii="仿宋" w:hAnsi="仿宋" w:eastAsia="仿宋" w:cs="Times New Roman"/>
          <w:color w:val="auto"/>
          <w:sz w:val="28"/>
          <w:szCs w:val="28"/>
          <w:highlight w:val="none"/>
        </w:rPr>
        <w:t>经</w:t>
      </w:r>
      <w:r>
        <w:rPr>
          <w:rFonts w:hint="eastAsia" w:ascii="仿宋" w:hAnsi="仿宋" w:eastAsia="仿宋" w:cs="Times New Roman"/>
          <w:color w:val="auto"/>
          <w:sz w:val="28"/>
          <w:szCs w:val="28"/>
          <w:highlight w:val="none"/>
          <w:lang w:val="en-US" w:eastAsia="zh-CN"/>
        </w:rPr>
        <w:t>有关部门</w:t>
      </w:r>
      <w:r>
        <w:rPr>
          <w:rFonts w:hint="eastAsia" w:ascii="仿宋" w:hAnsi="仿宋" w:eastAsia="仿宋" w:cs="Times New Roman"/>
          <w:color w:val="auto"/>
          <w:sz w:val="28"/>
          <w:szCs w:val="28"/>
          <w:highlight w:val="none"/>
        </w:rPr>
        <w:t>批准</w:t>
      </w:r>
      <w:r>
        <w:rPr>
          <w:rFonts w:hint="eastAsia" w:ascii="仿宋" w:hAnsi="仿宋" w:eastAsia="仿宋" w:cs="Times New Roman"/>
          <w:color w:val="auto"/>
          <w:sz w:val="28"/>
          <w:szCs w:val="28"/>
          <w:highlight w:val="none"/>
          <w:lang w:val="en-US" w:eastAsia="zh-CN"/>
        </w:rPr>
        <w:t>或备案法定</w:t>
      </w:r>
      <w:r>
        <w:rPr>
          <w:rFonts w:hint="eastAsia" w:ascii="仿宋" w:hAnsi="仿宋" w:eastAsia="仿宋" w:cs="Times New Roman"/>
          <w:color w:val="auto"/>
          <w:sz w:val="28"/>
          <w:szCs w:val="28"/>
          <w:highlight w:val="none"/>
        </w:rPr>
        <w:t>的会计师事务所执业</w:t>
      </w:r>
      <w:r>
        <w:rPr>
          <w:rFonts w:hint="eastAsia" w:ascii="仿宋" w:hAnsi="仿宋" w:eastAsia="仿宋" w:cs="Times New Roman"/>
          <w:color w:val="auto"/>
          <w:sz w:val="28"/>
          <w:szCs w:val="28"/>
          <w:highlight w:val="none"/>
          <w:lang w:val="en-US" w:eastAsia="zh-CN"/>
        </w:rPr>
        <w:t>资质和资产评估执业资质；</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3.信誉要求：投标人不得存在以下情形：</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①投标人被人民法院列入失信被执行人的；</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②投标人或其法定代表人或拟派项目负责人被人民检察院列入行贿犯罪档案的；</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③投标人被市场监督管理部门列入经营异常名录或者严重违法企业名单的；</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④投标人被税务部门列入重大税收违法案件当事人的；</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⑤投标人被政府采购监管部门列入政府采购严重违法失信行为记录名单的；</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⑥在“信用中国”网站上披露仍在公示期的严重失信行为的。</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000000"/>
          <w:sz w:val="28"/>
          <w:szCs w:val="28"/>
          <w:highlight w:val="none"/>
          <w:lang w:val="en-US" w:eastAsia="zh-CN"/>
        </w:rPr>
        <w:t>4</w:t>
      </w:r>
      <w:r>
        <w:rPr>
          <w:rFonts w:hint="eastAsia" w:ascii="仿宋" w:hAnsi="仿宋" w:eastAsia="仿宋" w:cs="Times New Roman"/>
          <w:color w:val="000000"/>
          <w:sz w:val="28"/>
          <w:szCs w:val="28"/>
          <w:highlight w:val="none"/>
        </w:rPr>
        <w:t>.投标人所属分公司、办事处等分支机构存在第</w:t>
      </w:r>
      <w:r>
        <w:rPr>
          <w:rFonts w:hint="eastAsia" w:ascii="仿宋" w:hAnsi="仿宋" w:eastAsia="仿宋" w:cs="Times New Roman"/>
          <w:color w:val="000000"/>
          <w:sz w:val="28"/>
          <w:szCs w:val="28"/>
          <w:highlight w:val="none"/>
          <w:lang w:val="en-US" w:eastAsia="zh-CN"/>
        </w:rPr>
        <w:t>3</w:t>
      </w:r>
      <w:r>
        <w:rPr>
          <w:rFonts w:hint="eastAsia" w:ascii="仿宋" w:hAnsi="仿宋" w:eastAsia="仿宋" w:cs="Times New Roman"/>
          <w:color w:val="000000"/>
          <w:sz w:val="28"/>
          <w:szCs w:val="28"/>
          <w:highlight w:val="none"/>
        </w:rPr>
        <w:t>款信誉要求①-⑥项情形之一的，接受投标人参加本项目。</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000000"/>
          <w:sz w:val="28"/>
          <w:szCs w:val="28"/>
          <w:highlight w:val="none"/>
        </w:rPr>
      </w:pPr>
      <w:r>
        <w:rPr>
          <w:rFonts w:hint="eastAsia" w:ascii="仿宋" w:hAnsi="仿宋" w:eastAsia="仿宋" w:cs="Times New Roman"/>
          <w:color w:val="000000"/>
          <w:sz w:val="28"/>
          <w:szCs w:val="28"/>
          <w:highlight w:val="none"/>
        </w:rPr>
        <w:t>备注：第</w:t>
      </w:r>
      <w:r>
        <w:rPr>
          <w:rFonts w:hint="eastAsia" w:ascii="仿宋" w:hAnsi="仿宋" w:eastAsia="仿宋" w:cs="Times New Roman"/>
          <w:color w:val="000000"/>
          <w:sz w:val="28"/>
          <w:szCs w:val="28"/>
          <w:highlight w:val="none"/>
          <w:lang w:val="en-US" w:eastAsia="zh-CN"/>
        </w:rPr>
        <w:t>3、4</w:t>
      </w:r>
      <w:r>
        <w:rPr>
          <w:rFonts w:hint="eastAsia" w:ascii="仿宋" w:hAnsi="仿宋" w:eastAsia="仿宋" w:cs="Times New Roman"/>
          <w:color w:val="000000"/>
          <w:sz w:val="28"/>
          <w:szCs w:val="28"/>
          <w:highlight w:val="none"/>
        </w:rPr>
        <w:t>条按照</w:t>
      </w:r>
      <w:r>
        <w:rPr>
          <w:rFonts w:hint="eastAsia" w:ascii="仿宋" w:hAnsi="仿宋" w:eastAsia="仿宋" w:cs="Times New Roman"/>
          <w:color w:val="000000"/>
          <w:sz w:val="28"/>
          <w:szCs w:val="28"/>
          <w:highlight w:val="none"/>
          <w:lang w:val="en-US" w:eastAsia="zh-CN"/>
        </w:rPr>
        <w:t>附件9、附件10要求</w:t>
      </w:r>
      <w:r>
        <w:rPr>
          <w:rFonts w:hint="eastAsia" w:ascii="仿宋" w:hAnsi="仿宋" w:eastAsia="仿宋" w:cs="Times New Roman"/>
          <w:color w:val="000000"/>
          <w:sz w:val="28"/>
          <w:szCs w:val="28"/>
          <w:highlight w:val="none"/>
        </w:rPr>
        <w:t>查询或承诺。</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000000"/>
          <w:sz w:val="28"/>
          <w:szCs w:val="28"/>
          <w:highlight w:val="none"/>
          <w:lang w:eastAsia="zh-CN"/>
        </w:rPr>
      </w:pPr>
      <w:r>
        <w:rPr>
          <w:rFonts w:hint="eastAsia" w:ascii="仿宋" w:hAnsi="仿宋" w:eastAsia="仿宋" w:cs="Times New Roman"/>
          <w:color w:val="000000"/>
          <w:sz w:val="28"/>
          <w:szCs w:val="28"/>
          <w:highlight w:val="none"/>
          <w:lang w:val="en-US" w:eastAsia="zh-CN"/>
        </w:rPr>
        <w:t>5</w:t>
      </w:r>
      <w:r>
        <w:rPr>
          <w:rFonts w:hint="eastAsia" w:ascii="仿宋" w:hAnsi="仿宋" w:eastAsia="仿宋" w:cs="Times New Roman"/>
          <w:color w:val="000000"/>
          <w:sz w:val="28"/>
          <w:szCs w:val="28"/>
          <w:highlight w:val="none"/>
        </w:rPr>
        <w:t>.</w:t>
      </w:r>
      <w:r>
        <w:rPr>
          <w:rFonts w:hint="eastAsia" w:ascii="仿宋" w:hAnsi="仿宋" w:eastAsia="仿宋" w:cs="Times New Roman"/>
          <w:color w:val="000000"/>
          <w:sz w:val="28"/>
          <w:szCs w:val="28"/>
          <w:highlight w:val="none"/>
          <w:lang w:val="en-US" w:eastAsia="zh-CN"/>
        </w:rPr>
        <w:t>评估</w:t>
      </w:r>
      <w:r>
        <w:rPr>
          <w:rFonts w:hint="eastAsia" w:ascii="仿宋" w:hAnsi="仿宋" w:eastAsia="仿宋" w:cs="Times New Roman"/>
          <w:color w:val="000000"/>
          <w:sz w:val="28"/>
          <w:szCs w:val="28"/>
          <w:highlight w:val="none"/>
        </w:rPr>
        <w:t>投标人</w:t>
      </w:r>
      <w:r>
        <w:rPr>
          <w:rFonts w:hint="eastAsia" w:ascii="仿宋" w:hAnsi="仿宋" w:eastAsia="仿宋" w:cs="Times New Roman"/>
          <w:color w:val="000000"/>
          <w:sz w:val="28"/>
          <w:szCs w:val="28"/>
          <w:highlight w:val="none"/>
          <w:lang w:val="en-US" w:eastAsia="zh-CN"/>
        </w:rPr>
        <w:t>还</w:t>
      </w:r>
      <w:r>
        <w:rPr>
          <w:rFonts w:hint="eastAsia" w:ascii="仿宋" w:hAnsi="仿宋" w:eastAsia="仿宋" w:cs="Times New Roman"/>
          <w:color w:val="000000"/>
          <w:sz w:val="28"/>
          <w:szCs w:val="28"/>
          <w:highlight w:val="none"/>
        </w:rPr>
        <w:t>应满足下文“第四章采购需求及技术参数要求”中的相关要求</w:t>
      </w:r>
      <w:r>
        <w:rPr>
          <w:rFonts w:hint="eastAsia" w:ascii="仿宋" w:hAnsi="仿宋" w:eastAsia="仿宋" w:cs="Times New Roman"/>
          <w:color w:val="000000"/>
          <w:sz w:val="28"/>
          <w:szCs w:val="28"/>
          <w:highlight w:val="none"/>
          <w:lang w:eastAsia="zh-CN"/>
        </w:rPr>
        <w:t>。</w:t>
      </w:r>
    </w:p>
    <w:p>
      <w:pPr>
        <w:pageBreakBefore w:val="0"/>
        <w:kinsoku/>
        <w:wordWrap/>
        <w:overflowPunct/>
        <w:topLinePunct w:val="0"/>
        <w:autoSpaceDE/>
        <w:autoSpaceDN/>
        <w:bidi w:val="0"/>
        <w:snapToGrid/>
        <w:spacing w:line="500" w:lineRule="exact"/>
        <w:ind w:left="0" w:leftChars="0" w:firstLine="560" w:firstLineChars="200"/>
        <w:rPr>
          <w:rFonts w:hint="eastAsia" w:ascii="仿宋" w:hAnsi="仿宋" w:eastAsia="仿宋" w:cs="Times New Roman"/>
          <w:color w:val="000000"/>
          <w:sz w:val="28"/>
          <w:szCs w:val="28"/>
          <w:highlight w:val="none"/>
        </w:rPr>
      </w:pPr>
      <w:r>
        <w:rPr>
          <w:rFonts w:hint="eastAsia" w:ascii="仿宋" w:hAnsi="仿宋" w:eastAsia="仿宋" w:cs="Times New Roman"/>
          <w:color w:val="000000"/>
          <w:sz w:val="28"/>
          <w:szCs w:val="28"/>
          <w:highlight w:val="none"/>
          <w:lang w:val="en-US" w:eastAsia="zh-CN"/>
        </w:rPr>
        <w:t>6</w:t>
      </w:r>
      <w:r>
        <w:rPr>
          <w:rFonts w:hint="eastAsia" w:ascii="仿宋" w:hAnsi="仿宋" w:eastAsia="仿宋" w:cs="Times New Roman"/>
          <w:color w:val="000000"/>
          <w:sz w:val="28"/>
          <w:szCs w:val="28"/>
          <w:highlight w:val="none"/>
        </w:rPr>
        <w:t>.审计项目负责人应具有注册会计师执业资格证书并具有</w:t>
      </w:r>
      <w:r>
        <w:rPr>
          <w:rFonts w:hint="eastAsia" w:ascii="仿宋" w:hAnsi="仿宋" w:eastAsia="仿宋" w:cs="Times New Roman"/>
          <w:color w:val="000000"/>
          <w:sz w:val="28"/>
          <w:szCs w:val="28"/>
          <w:highlight w:val="none"/>
          <w:lang w:val="en-US" w:eastAsia="zh-CN"/>
        </w:rPr>
        <w:t>五</w:t>
      </w:r>
      <w:r>
        <w:rPr>
          <w:rFonts w:hint="eastAsia" w:ascii="仿宋" w:hAnsi="仿宋" w:eastAsia="仿宋" w:cs="Times New Roman"/>
          <w:color w:val="000000"/>
          <w:sz w:val="28"/>
          <w:szCs w:val="28"/>
          <w:highlight w:val="none"/>
        </w:rPr>
        <w:t>年以上从业经历；评估项目负责人应具有资产评估师执业资格证书并具有</w:t>
      </w:r>
      <w:r>
        <w:rPr>
          <w:rFonts w:hint="eastAsia" w:ascii="仿宋" w:hAnsi="仿宋" w:eastAsia="仿宋" w:cs="Times New Roman"/>
          <w:color w:val="000000"/>
          <w:sz w:val="28"/>
          <w:szCs w:val="28"/>
          <w:highlight w:val="none"/>
          <w:lang w:val="en-US" w:eastAsia="zh-CN"/>
        </w:rPr>
        <w:t>五</w:t>
      </w:r>
      <w:r>
        <w:rPr>
          <w:rFonts w:hint="eastAsia" w:ascii="仿宋" w:hAnsi="仿宋" w:eastAsia="仿宋" w:cs="Times New Roman"/>
          <w:color w:val="000000"/>
          <w:sz w:val="28"/>
          <w:szCs w:val="28"/>
          <w:highlight w:val="none"/>
        </w:rPr>
        <w:t>年以上从业经历。</w:t>
      </w:r>
      <w:r>
        <w:rPr>
          <w:rFonts w:hint="eastAsia" w:ascii="仿宋" w:hAnsi="仿宋" w:eastAsia="仿宋" w:cs="Times New Roman"/>
          <w:color w:val="000000"/>
          <w:sz w:val="28"/>
          <w:szCs w:val="28"/>
          <w:highlight w:val="none"/>
          <w:lang w:val="en-US" w:eastAsia="zh-CN"/>
        </w:rPr>
        <w:t>审计及评估</w:t>
      </w:r>
      <w:r>
        <w:rPr>
          <w:rFonts w:hint="eastAsia" w:ascii="仿宋" w:hAnsi="仿宋" w:eastAsia="仿宋" w:cs="Times New Roman"/>
          <w:color w:val="000000"/>
          <w:sz w:val="28"/>
          <w:szCs w:val="28"/>
          <w:highlight w:val="none"/>
        </w:rPr>
        <w:t>项目组成员要求详见“第四章采购需求及技术参数要求”。</w:t>
      </w:r>
    </w:p>
    <w:p>
      <w:pPr>
        <w:keepNext/>
        <w:keepLines/>
        <w:pageBreakBefore w:val="0"/>
        <w:widowControl w:val="0"/>
        <w:kinsoku/>
        <w:wordWrap/>
        <w:overflowPunct/>
        <w:topLinePunct w:val="0"/>
        <w:autoSpaceDE/>
        <w:autoSpaceDN/>
        <w:bidi w:val="0"/>
        <w:snapToGrid/>
        <w:spacing w:line="500" w:lineRule="exact"/>
        <w:ind w:left="0" w:leftChars="0"/>
        <w:textAlignment w:val="auto"/>
        <w:rPr>
          <w:rFonts w:hint="eastAsia" w:ascii="黑体" w:hAnsi="黑体" w:eastAsia="黑体" w:cs="黑体"/>
          <w:color w:val="auto"/>
          <w:sz w:val="28"/>
          <w:szCs w:val="28"/>
          <w:highlight w:val="none"/>
          <w:lang w:eastAsia="zh-CN"/>
        </w:rPr>
      </w:pPr>
      <w:bookmarkStart w:id="14" w:name="_Toc35393800"/>
      <w:bookmarkStart w:id="15" w:name="_Toc35393631"/>
      <w:bookmarkStart w:id="16" w:name="_Toc28359091"/>
      <w:bookmarkStart w:id="17" w:name="_Toc28359014"/>
      <w:r>
        <w:rPr>
          <w:rFonts w:hint="eastAsia" w:ascii="黑体" w:hAnsi="黑体" w:eastAsia="黑体" w:cs="黑体"/>
          <w:color w:val="auto"/>
          <w:sz w:val="28"/>
          <w:szCs w:val="28"/>
          <w:highlight w:val="none"/>
        </w:rPr>
        <w:t>三、获取</w:t>
      </w:r>
      <w:bookmarkEnd w:id="14"/>
      <w:bookmarkEnd w:id="15"/>
      <w:bookmarkEnd w:id="16"/>
      <w:bookmarkEnd w:id="17"/>
      <w:r>
        <w:rPr>
          <w:rFonts w:hint="eastAsia" w:ascii="黑体" w:hAnsi="黑体" w:eastAsia="黑体" w:cs="黑体"/>
          <w:color w:val="auto"/>
          <w:sz w:val="28"/>
          <w:szCs w:val="28"/>
          <w:highlight w:val="none"/>
          <w:lang w:eastAsia="zh-CN"/>
        </w:rPr>
        <w:t>招标文件</w:t>
      </w:r>
    </w:p>
    <w:p>
      <w:pPr>
        <w:pageBreakBefore w:val="0"/>
        <w:kinsoku/>
        <w:wordWrap/>
        <w:overflowPunct/>
        <w:topLinePunct w:val="0"/>
        <w:autoSpaceDE/>
        <w:autoSpaceDN/>
        <w:bidi w:val="0"/>
        <w:snapToGrid/>
        <w:spacing w:line="500" w:lineRule="exact"/>
        <w:ind w:left="0" w:leftChars="0" w:firstLine="540"/>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single"/>
          <w:lang w:eastAsia="zh-CN"/>
        </w:rPr>
        <w:t>2023年</w:t>
      </w:r>
      <w:r>
        <w:rPr>
          <w:rFonts w:hint="eastAsia" w:ascii="仿宋" w:hAnsi="仿宋" w:eastAsia="仿宋" w:cs="宋体"/>
          <w:color w:val="auto"/>
          <w:sz w:val="28"/>
          <w:szCs w:val="28"/>
          <w:highlight w:val="none"/>
          <w:u w:val="single"/>
          <w:lang w:val="en-US" w:eastAsia="zh-CN"/>
        </w:rPr>
        <w:t>12</w:t>
      </w:r>
      <w:r>
        <w:rPr>
          <w:rFonts w:hint="eastAsia" w:ascii="仿宋" w:hAnsi="仿宋" w:eastAsia="仿宋" w:cs="宋体"/>
          <w:color w:val="auto"/>
          <w:sz w:val="28"/>
          <w:szCs w:val="28"/>
          <w:highlight w:val="none"/>
          <w:u w:val="single"/>
          <w:lang w:eastAsia="zh-CN"/>
        </w:rPr>
        <w:t>月</w:t>
      </w:r>
      <w:r>
        <w:rPr>
          <w:rFonts w:hint="eastAsia" w:ascii="仿宋" w:hAnsi="仿宋" w:eastAsia="仿宋" w:cs="宋体"/>
          <w:color w:val="auto"/>
          <w:sz w:val="28"/>
          <w:szCs w:val="28"/>
          <w:highlight w:val="none"/>
          <w:u w:val="single"/>
          <w:lang w:val="en-US" w:eastAsia="zh-CN"/>
        </w:rPr>
        <w:t>20</w:t>
      </w:r>
      <w:r>
        <w:rPr>
          <w:rFonts w:hint="eastAsia" w:ascii="仿宋" w:hAnsi="仿宋" w:eastAsia="仿宋" w:cs="宋体"/>
          <w:color w:val="auto"/>
          <w:sz w:val="28"/>
          <w:szCs w:val="28"/>
          <w:highlight w:val="none"/>
          <w:u w:val="single"/>
          <w:lang w:eastAsia="zh-CN"/>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lang w:eastAsia="zh-CN"/>
        </w:rPr>
        <w:t>2023年</w:t>
      </w:r>
      <w:r>
        <w:rPr>
          <w:rFonts w:hint="eastAsia" w:ascii="仿宋" w:hAnsi="仿宋" w:eastAsia="仿宋" w:cs="宋体"/>
          <w:color w:val="auto"/>
          <w:sz w:val="28"/>
          <w:szCs w:val="28"/>
          <w:highlight w:val="none"/>
          <w:u w:val="single"/>
          <w:lang w:val="en-US" w:eastAsia="zh-CN"/>
        </w:rPr>
        <w:t>12</w:t>
      </w:r>
      <w:r>
        <w:rPr>
          <w:rFonts w:hint="eastAsia" w:ascii="仿宋" w:hAnsi="仿宋" w:eastAsia="仿宋" w:cs="宋体"/>
          <w:color w:val="auto"/>
          <w:sz w:val="28"/>
          <w:szCs w:val="28"/>
          <w:highlight w:val="none"/>
          <w:u w:val="single"/>
          <w:lang w:eastAsia="zh-CN"/>
        </w:rPr>
        <w:t>月</w:t>
      </w:r>
      <w:r>
        <w:rPr>
          <w:rFonts w:hint="eastAsia" w:ascii="仿宋" w:hAnsi="仿宋" w:eastAsia="仿宋" w:cs="宋体"/>
          <w:color w:val="auto"/>
          <w:sz w:val="28"/>
          <w:szCs w:val="28"/>
          <w:highlight w:val="none"/>
          <w:u w:val="single"/>
          <w:lang w:val="en-US" w:eastAsia="zh-CN"/>
        </w:rPr>
        <w:t>25</w:t>
      </w:r>
      <w:r>
        <w:rPr>
          <w:rFonts w:hint="eastAsia" w:ascii="仿宋" w:hAnsi="仿宋" w:eastAsia="仿宋" w:cs="宋体"/>
          <w:color w:val="auto"/>
          <w:sz w:val="28"/>
          <w:szCs w:val="28"/>
          <w:highlight w:val="none"/>
          <w:u w:val="single"/>
          <w:lang w:eastAsia="zh-CN"/>
        </w:rPr>
        <w:t>日</w:t>
      </w:r>
    </w:p>
    <w:p>
      <w:pPr>
        <w:pageBreakBefore w:val="0"/>
        <w:kinsoku/>
        <w:wordWrap/>
        <w:overflowPunct/>
        <w:topLinePunct w:val="0"/>
        <w:autoSpaceDE/>
        <w:autoSpaceDN/>
        <w:bidi w:val="0"/>
        <w:snapToGrid/>
        <w:spacing w:line="500" w:lineRule="exact"/>
        <w:ind w:left="0" w:leftChars="0" w:firstLine="540"/>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地点：</w:t>
      </w:r>
      <w:r>
        <w:rPr>
          <w:rFonts w:hint="eastAsia" w:ascii="仿宋" w:hAnsi="仿宋" w:eastAsia="仿宋" w:cs="仿宋"/>
          <w:color w:val="auto"/>
          <w:sz w:val="28"/>
          <w:szCs w:val="28"/>
          <w:highlight w:val="none"/>
          <w:lang w:val="en-US" w:eastAsia="zh-CN"/>
        </w:rPr>
        <w:t>滁州市工投公司公众号或中国扬子集团</w:t>
      </w:r>
      <w:r>
        <w:rPr>
          <w:rFonts w:hint="eastAsia" w:ascii="仿宋" w:hAnsi="仿宋" w:eastAsia="仿宋" w:cs="仿宋"/>
          <w:color w:val="auto"/>
          <w:sz w:val="28"/>
          <w:szCs w:val="28"/>
          <w:highlight w:val="none"/>
          <w:lang w:eastAsia="zh-CN"/>
        </w:rPr>
        <w:t>公司</w:t>
      </w:r>
      <w:r>
        <w:rPr>
          <w:rFonts w:hint="eastAsia" w:ascii="仿宋" w:hAnsi="仿宋" w:eastAsia="仿宋" w:cs="仿宋"/>
          <w:color w:val="auto"/>
          <w:sz w:val="28"/>
          <w:szCs w:val="28"/>
          <w:highlight w:val="none"/>
        </w:rPr>
        <w:t>网站（http://www.yangzigroup.cn）</w:t>
      </w:r>
      <w:r>
        <w:rPr>
          <w:rFonts w:hint="eastAsia" w:ascii="仿宋" w:hAnsi="仿宋" w:eastAsia="仿宋" w:cs="仿宋"/>
          <w:color w:val="auto"/>
          <w:sz w:val="28"/>
          <w:szCs w:val="28"/>
          <w:highlight w:val="none"/>
          <w:lang w:eastAsia="zh-CN"/>
        </w:rPr>
        <w:t>。</w:t>
      </w:r>
    </w:p>
    <w:p>
      <w:pPr>
        <w:pageBreakBefore w:val="0"/>
        <w:kinsoku/>
        <w:wordWrap/>
        <w:overflowPunct/>
        <w:topLinePunct w:val="0"/>
        <w:autoSpaceDE/>
        <w:autoSpaceDN/>
        <w:bidi w:val="0"/>
        <w:snapToGrid/>
        <w:spacing w:line="500" w:lineRule="exact"/>
        <w:ind w:left="0" w:leftChars="0" w:firstLine="540"/>
        <w:rPr>
          <w:rFonts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方式：网上下载</w:t>
      </w:r>
    </w:p>
    <w:p>
      <w:pPr>
        <w:pageBreakBefore w:val="0"/>
        <w:kinsoku/>
        <w:wordWrap/>
        <w:overflowPunct/>
        <w:topLinePunct w:val="0"/>
        <w:autoSpaceDE/>
        <w:autoSpaceDN/>
        <w:bidi w:val="0"/>
        <w:snapToGrid/>
        <w:spacing w:line="500" w:lineRule="exact"/>
        <w:ind w:left="0" w:leftChars="0"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pPr>
        <w:keepNext/>
        <w:keepLines/>
        <w:pageBreakBefore w:val="0"/>
        <w:widowControl w:val="0"/>
        <w:kinsoku/>
        <w:wordWrap/>
        <w:overflowPunct/>
        <w:topLinePunct w:val="0"/>
        <w:autoSpaceDE/>
        <w:autoSpaceDN/>
        <w:bidi w:val="0"/>
        <w:snapToGrid/>
        <w:spacing w:line="500" w:lineRule="exact"/>
        <w:ind w:left="0" w:leftChars="0"/>
        <w:textAlignment w:val="auto"/>
        <w:rPr>
          <w:rFonts w:hint="eastAsia" w:ascii="黑体" w:hAnsi="黑体" w:eastAsia="黑体" w:cs="黑体"/>
          <w:color w:val="auto"/>
          <w:sz w:val="28"/>
          <w:szCs w:val="28"/>
          <w:highlight w:val="none"/>
        </w:rPr>
      </w:pPr>
      <w:bookmarkStart w:id="18" w:name="_Toc28359015"/>
      <w:bookmarkStart w:id="19" w:name="_Toc28359092"/>
      <w:bookmarkStart w:id="20" w:name="_Toc35393801"/>
      <w:bookmarkStart w:id="21" w:name="_Toc35393632"/>
      <w:r>
        <w:rPr>
          <w:rFonts w:hint="eastAsia" w:ascii="黑体" w:hAnsi="黑体" w:eastAsia="黑体" w:cs="黑体"/>
          <w:color w:val="auto"/>
          <w:sz w:val="28"/>
          <w:szCs w:val="28"/>
          <w:highlight w:val="none"/>
        </w:rPr>
        <w:t>四、</w:t>
      </w:r>
      <w:r>
        <w:rPr>
          <w:rFonts w:hint="eastAsia" w:ascii="黑体" w:hAnsi="黑体" w:eastAsia="黑体" w:cs="黑体"/>
          <w:color w:val="auto"/>
          <w:sz w:val="28"/>
          <w:szCs w:val="28"/>
          <w:highlight w:val="none"/>
          <w:lang w:eastAsia="zh-CN"/>
        </w:rPr>
        <w:t>投标文件</w:t>
      </w:r>
      <w:r>
        <w:rPr>
          <w:rFonts w:hint="eastAsia" w:ascii="黑体" w:hAnsi="黑体" w:eastAsia="黑体" w:cs="黑体"/>
          <w:color w:val="auto"/>
          <w:sz w:val="28"/>
          <w:szCs w:val="28"/>
          <w:highlight w:val="none"/>
        </w:rPr>
        <w:t>提交</w:t>
      </w:r>
      <w:bookmarkEnd w:id="18"/>
      <w:bookmarkEnd w:id="19"/>
      <w:bookmarkEnd w:id="20"/>
      <w:bookmarkEnd w:id="21"/>
    </w:p>
    <w:p>
      <w:pPr>
        <w:pageBreakBefore w:val="0"/>
        <w:kinsoku/>
        <w:wordWrap/>
        <w:overflowPunct/>
        <w:topLinePunct w:val="0"/>
        <w:autoSpaceDE/>
        <w:autoSpaceDN/>
        <w:bidi w:val="0"/>
        <w:snapToGrid/>
        <w:spacing w:line="500" w:lineRule="exact"/>
        <w:ind w:left="0" w:leftChars="0" w:firstLine="560" w:firstLineChars="200"/>
        <w:rPr>
          <w:rFonts w:ascii="仿宋" w:hAnsi="仿宋" w:eastAsia="仿宋"/>
          <w:bCs/>
          <w:iCs/>
          <w:color w:val="auto"/>
          <w:sz w:val="28"/>
          <w:szCs w:val="28"/>
          <w:highlight w:val="none"/>
          <w:u w:val="single"/>
        </w:rPr>
      </w:pPr>
      <w:r>
        <w:rPr>
          <w:rFonts w:hint="eastAsia" w:ascii="仿宋" w:hAnsi="仿宋" w:eastAsia="仿宋"/>
          <w:color w:val="auto"/>
          <w:sz w:val="28"/>
          <w:szCs w:val="28"/>
          <w:highlight w:val="none"/>
        </w:rPr>
        <w:t>截止时间：</w:t>
      </w:r>
      <w:r>
        <w:rPr>
          <w:rFonts w:hint="eastAsia" w:ascii="仿宋" w:hAnsi="仿宋" w:eastAsia="仿宋"/>
          <w:color w:val="auto"/>
          <w:sz w:val="28"/>
          <w:szCs w:val="28"/>
          <w:highlight w:val="none"/>
          <w:u w:val="single"/>
          <w:lang w:eastAsia="zh-CN"/>
        </w:rPr>
        <w:t>2023年</w:t>
      </w:r>
      <w:r>
        <w:rPr>
          <w:rFonts w:hint="eastAsia" w:ascii="仿宋" w:hAnsi="仿宋" w:eastAsia="仿宋"/>
          <w:color w:val="auto"/>
          <w:sz w:val="28"/>
          <w:szCs w:val="28"/>
          <w:highlight w:val="none"/>
          <w:u w:val="single"/>
          <w:lang w:val="en-US" w:eastAsia="zh-CN"/>
        </w:rPr>
        <w:t>12</w:t>
      </w:r>
      <w:r>
        <w:rPr>
          <w:rFonts w:hint="eastAsia" w:ascii="仿宋" w:hAnsi="仿宋" w:eastAsia="仿宋"/>
          <w:color w:val="auto"/>
          <w:sz w:val="28"/>
          <w:szCs w:val="28"/>
          <w:highlight w:val="none"/>
          <w:u w:val="single"/>
          <w:lang w:eastAsia="zh-CN"/>
        </w:rPr>
        <w:t>月</w:t>
      </w:r>
      <w:r>
        <w:rPr>
          <w:rFonts w:hint="eastAsia" w:ascii="仿宋" w:hAnsi="仿宋" w:eastAsia="仿宋"/>
          <w:color w:val="auto"/>
          <w:sz w:val="28"/>
          <w:szCs w:val="28"/>
          <w:highlight w:val="none"/>
          <w:u w:val="single"/>
          <w:lang w:val="en-US" w:eastAsia="zh-CN"/>
        </w:rPr>
        <w:t>25</w:t>
      </w:r>
      <w:r>
        <w:rPr>
          <w:rFonts w:hint="eastAsia" w:ascii="仿宋" w:hAnsi="仿宋" w:eastAsia="仿宋"/>
          <w:color w:val="auto"/>
          <w:sz w:val="28"/>
          <w:szCs w:val="28"/>
          <w:highlight w:val="none"/>
          <w:u w:val="single"/>
          <w:lang w:eastAsia="zh-CN"/>
        </w:rPr>
        <w:t>日</w:t>
      </w:r>
      <w:r>
        <w:rPr>
          <w:rFonts w:hint="eastAsia" w:ascii="仿宋" w:hAnsi="仿宋" w:eastAsia="仿宋"/>
          <w:bCs/>
          <w:color w:val="auto"/>
          <w:sz w:val="28"/>
          <w:szCs w:val="28"/>
          <w:highlight w:val="none"/>
          <w:u w:val="single"/>
          <w:lang w:val="en-US" w:eastAsia="zh-CN"/>
        </w:rPr>
        <w:t>15点00分</w:t>
      </w:r>
      <w:r>
        <w:rPr>
          <w:rFonts w:hint="eastAsia" w:ascii="仿宋" w:hAnsi="仿宋" w:eastAsia="仿宋"/>
          <w:bCs/>
          <w:color w:val="auto"/>
          <w:sz w:val="28"/>
          <w:szCs w:val="28"/>
          <w:highlight w:val="none"/>
        </w:rPr>
        <w:t>（北京时间）</w:t>
      </w:r>
    </w:p>
    <w:p>
      <w:pPr>
        <w:pageBreakBefore w:val="0"/>
        <w:kinsoku/>
        <w:wordWrap/>
        <w:overflowPunct/>
        <w:topLinePunct w:val="0"/>
        <w:autoSpaceDE/>
        <w:autoSpaceDN/>
        <w:bidi w:val="0"/>
        <w:snapToGrid/>
        <w:spacing w:line="500" w:lineRule="exact"/>
        <w:ind w:left="0" w:leftChars="0" w:firstLine="560" w:firstLineChars="200"/>
        <w:jc w:val="left"/>
        <w:rPr>
          <w:rFonts w:hint="eastAsia" w:ascii="仿宋" w:hAnsi="仿宋" w:eastAsia="仿宋" w:cs="仿宋"/>
          <w:color w:val="auto"/>
          <w:sz w:val="28"/>
          <w:szCs w:val="28"/>
          <w:highlight w:val="none"/>
          <w:lang w:val="en-US" w:eastAsia="zh-CN"/>
        </w:rPr>
      </w:pPr>
      <w:bookmarkStart w:id="22" w:name="_Toc28359093"/>
      <w:bookmarkStart w:id="23" w:name="_Toc35393633"/>
      <w:bookmarkStart w:id="24" w:name="_Toc28359016"/>
      <w:bookmarkStart w:id="25" w:name="_Toc35393802"/>
      <w:r>
        <w:rPr>
          <w:rFonts w:hint="eastAsia" w:ascii="仿宋" w:hAnsi="仿宋" w:eastAsia="仿宋" w:cs="仿宋"/>
          <w:color w:val="auto"/>
          <w:sz w:val="28"/>
          <w:szCs w:val="28"/>
          <w:highlight w:val="none"/>
        </w:rPr>
        <w:t>地点：</w:t>
      </w:r>
      <w:r>
        <w:rPr>
          <w:rFonts w:hint="eastAsia" w:ascii="仿宋" w:hAnsi="仿宋" w:eastAsia="仿宋"/>
          <w:color w:val="auto"/>
          <w:sz w:val="28"/>
          <w:szCs w:val="28"/>
          <w:highlight w:val="none"/>
        </w:rPr>
        <w:t>滁州市琅琊区经济技术开发区苏州南路789号滁州滁能热电有限公司</w:t>
      </w:r>
      <w:r>
        <w:rPr>
          <w:rFonts w:hint="eastAsia" w:ascii="仿宋" w:hAnsi="仿宋" w:eastAsia="仿宋"/>
          <w:color w:val="auto"/>
          <w:sz w:val="28"/>
          <w:szCs w:val="28"/>
          <w:highlight w:val="none"/>
          <w:lang w:eastAsia="zh-CN"/>
        </w:rPr>
        <w:t>。</w:t>
      </w:r>
    </w:p>
    <w:p>
      <w:pPr>
        <w:keepNext/>
        <w:keepLines/>
        <w:pageBreakBefore w:val="0"/>
        <w:widowControl w:val="0"/>
        <w:kinsoku/>
        <w:wordWrap/>
        <w:overflowPunct/>
        <w:topLinePunct w:val="0"/>
        <w:autoSpaceDE/>
        <w:autoSpaceDN/>
        <w:bidi w:val="0"/>
        <w:snapToGrid/>
        <w:spacing w:line="500" w:lineRule="exact"/>
        <w:ind w:left="0" w:leftChars="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rPr>
        <w:t>五、开</w:t>
      </w:r>
      <w:bookmarkEnd w:id="22"/>
      <w:bookmarkEnd w:id="23"/>
      <w:bookmarkEnd w:id="24"/>
      <w:bookmarkEnd w:id="25"/>
      <w:r>
        <w:rPr>
          <w:rFonts w:hint="eastAsia" w:ascii="黑体" w:hAnsi="黑体" w:eastAsia="黑体" w:cs="黑体"/>
          <w:color w:val="auto"/>
          <w:sz w:val="28"/>
          <w:szCs w:val="28"/>
          <w:highlight w:val="none"/>
          <w:lang w:val="en-US" w:eastAsia="zh-CN"/>
        </w:rPr>
        <w:t>标</w:t>
      </w:r>
    </w:p>
    <w:p>
      <w:pPr>
        <w:pageBreakBefore w:val="0"/>
        <w:kinsoku/>
        <w:wordWrap/>
        <w:overflowPunct/>
        <w:topLinePunct w:val="0"/>
        <w:autoSpaceDE/>
        <w:autoSpaceDN/>
        <w:bidi w:val="0"/>
        <w:snapToGrid/>
        <w:spacing w:line="500" w:lineRule="exact"/>
        <w:ind w:left="0" w:leftChars="0" w:firstLine="560" w:firstLineChars="200"/>
        <w:rPr>
          <w:rFonts w:ascii="仿宋" w:hAnsi="仿宋" w:eastAsia="仿宋"/>
          <w:bCs/>
          <w:color w:val="auto"/>
          <w:sz w:val="28"/>
          <w:szCs w:val="28"/>
          <w:highlight w:val="none"/>
          <w:u w:val="single"/>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lang w:eastAsia="zh-CN"/>
        </w:rPr>
        <w:t>2023年</w:t>
      </w:r>
      <w:r>
        <w:rPr>
          <w:rFonts w:hint="eastAsia" w:ascii="仿宋" w:hAnsi="仿宋" w:eastAsia="仿宋"/>
          <w:color w:val="auto"/>
          <w:sz w:val="28"/>
          <w:szCs w:val="28"/>
          <w:highlight w:val="none"/>
          <w:u w:val="single"/>
          <w:lang w:val="en-US" w:eastAsia="zh-CN"/>
        </w:rPr>
        <w:t>12</w:t>
      </w:r>
      <w:r>
        <w:rPr>
          <w:rFonts w:hint="eastAsia" w:ascii="仿宋" w:hAnsi="仿宋" w:eastAsia="仿宋"/>
          <w:color w:val="auto"/>
          <w:sz w:val="28"/>
          <w:szCs w:val="28"/>
          <w:highlight w:val="none"/>
          <w:u w:val="single"/>
          <w:lang w:eastAsia="zh-CN"/>
        </w:rPr>
        <w:t>月</w:t>
      </w:r>
      <w:r>
        <w:rPr>
          <w:rFonts w:hint="eastAsia" w:ascii="仿宋" w:hAnsi="仿宋" w:eastAsia="仿宋"/>
          <w:color w:val="auto"/>
          <w:sz w:val="28"/>
          <w:szCs w:val="28"/>
          <w:highlight w:val="none"/>
          <w:u w:val="single"/>
          <w:lang w:val="en-US" w:eastAsia="zh-CN"/>
        </w:rPr>
        <w:t>25</w:t>
      </w:r>
      <w:r>
        <w:rPr>
          <w:rFonts w:hint="eastAsia" w:ascii="仿宋" w:hAnsi="仿宋" w:eastAsia="仿宋"/>
          <w:color w:val="auto"/>
          <w:sz w:val="28"/>
          <w:szCs w:val="28"/>
          <w:highlight w:val="none"/>
          <w:u w:val="single"/>
          <w:lang w:eastAsia="zh-CN"/>
        </w:rPr>
        <w:t>日</w:t>
      </w:r>
      <w:r>
        <w:rPr>
          <w:rFonts w:hint="eastAsia" w:ascii="仿宋" w:hAnsi="仿宋" w:eastAsia="仿宋"/>
          <w:bCs/>
          <w:color w:val="auto"/>
          <w:sz w:val="28"/>
          <w:szCs w:val="28"/>
          <w:highlight w:val="none"/>
          <w:u w:val="single"/>
          <w:lang w:val="en-US" w:eastAsia="zh-CN"/>
        </w:rPr>
        <w:t>15点00分</w:t>
      </w:r>
      <w:r>
        <w:rPr>
          <w:rFonts w:hint="eastAsia" w:ascii="仿宋" w:hAnsi="仿宋" w:eastAsia="仿宋"/>
          <w:bCs/>
          <w:color w:val="auto"/>
          <w:sz w:val="28"/>
          <w:szCs w:val="28"/>
          <w:highlight w:val="none"/>
        </w:rPr>
        <w:t>（北京时间）</w:t>
      </w:r>
    </w:p>
    <w:p>
      <w:pPr>
        <w:pageBreakBefore w:val="0"/>
        <w:kinsoku/>
        <w:wordWrap/>
        <w:overflowPunct/>
        <w:topLinePunct w:val="0"/>
        <w:autoSpaceDE/>
        <w:autoSpaceDN/>
        <w:bidi w:val="0"/>
        <w:snapToGrid/>
        <w:spacing w:line="500" w:lineRule="exact"/>
        <w:ind w:left="0" w:leftChars="0" w:firstLine="560" w:firstLineChars="200"/>
        <w:jc w:val="left"/>
        <w:rPr>
          <w:rFonts w:hint="eastAsia" w:ascii="仿宋" w:hAnsi="仿宋" w:eastAsia="仿宋" w:cs="仿宋"/>
          <w:color w:val="auto"/>
          <w:sz w:val="28"/>
          <w:szCs w:val="28"/>
          <w:highlight w:val="none"/>
          <w:lang w:eastAsia="zh-CN"/>
        </w:rPr>
      </w:pPr>
      <w:r>
        <w:rPr>
          <w:rFonts w:hint="eastAsia" w:ascii="仿宋" w:hAnsi="仿宋" w:eastAsia="仿宋"/>
          <w:color w:val="auto"/>
          <w:sz w:val="28"/>
          <w:szCs w:val="28"/>
          <w:highlight w:val="none"/>
        </w:rPr>
        <w:t>地点：滁州市琅琊区经济技术开发区苏州南路789号滁州滁能热电有限公司</w:t>
      </w:r>
      <w:r>
        <w:rPr>
          <w:rFonts w:hint="eastAsia" w:ascii="仿宋" w:hAnsi="仿宋" w:eastAsia="仿宋"/>
          <w:color w:val="auto"/>
          <w:sz w:val="28"/>
          <w:szCs w:val="28"/>
          <w:highlight w:val="none"/>
          <w:lang w:eastAsia="zh-CN"/>
        </w:rPr>
        <w:t>。</w:t>
      </w:r>
    </w:p>
    <w:p>
      <w:pPr>
        <w:keepNext/>
        <w:keepLines/>
        <w:pageBreakBefore w:val="0"/>
        <w:widowControl w:val="0"/>
        <w:kinsoku/>
        <w:wordWrap/>
        <w:overflowPunct/>
        <w:topLinePunct w:val="0"/>
        <w:autoSpaceDE/>
        <w:autoSpaceDN/>
        <w:bidi w:val="0"/>
        <w:snapToGrid/>
        <w:spacing w:line="500" w:lineRule="exact"/>
        <w:ind w:left="0" w:leftChars="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六</w:t>
      </w:r>
      <w:r>
        <w:rPr>
          <w:rFonts w:hint="eastAsia" w:ascii="黑体" w:hAnsi="黑体" w:eastAsia="黑体" w:cs="黑体"/>
          <w:color w:val="auto"/>
          <w:sz w:val="28"/>
          <w:szCs w:val="28"/>
          <w:highlight w:val="none"/>
        </w:rPr>
        <w:t>、保证金金额及缴纳账户</w:t>
      </w:r>
    </w:p>
    <w:p>
      <w:pPr>
        <w:pageBreakBefore w:val="0"/>
        <w:kinsoku/>
        <w:wordWrap/>
        <w:overflowPunct/>
        <w:topLinePunct w:val="0"/>
        <w:autoSpaceDE/>
        <w:autoSpaceDN/>
        <w:bidi w:val="0"/>
        <w:snapToGrid/>
        <w:spacing w:line="500" w:lineRule="exact"/>
        <w:ind w:left="0" w:leftChars="0" w:firstLine="56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是否要求供应商提交保证金：不要求。</w:t>
      </w:r>
    </w:p>
    <w:p>
      <w:pPr>
        <w:keepNext/>
        <w:keepLines/>
        <w:pageBreakBefore w:val="0"/>
        <w:widowControl w:val="0"/>
        <w:kinsoku/>
        <w:wordWrap/>
        <w:overflowPunct/>
        <w:topLinePunct w:val="0"/>
        <w:autoSpaceDE/>
        <w:autoSpaceDN/>
        <w:bidi w:val="0"/>
        <w:snapToGrid/>
        <w:spacing w:line="500" w:lineRule="exact"/>
        <w:ind w:left="0" w:leftChars="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、凡对本次采购提出询问，请按以下方式联系</w:t>
      </w:r>
    </w:p>
    <w:p>
      <w:pPr>
        <w:pStyle w:val="7"/>
        <w:pageBreakBefore w:val="0"/>
        <w:numPr>
          <w:ilvl w:val="0"/>
          <w:numId w:val="0"/>
        </w:numPr>
        <w:kinsoku/>
        <w:wordWrap/>
        <w:overflowPunct/>
        <w:topLinePunct w:val="0"/>
        <w:autoSpaceDE/>
        <w:autoSpaceDN/>
        <w:bidi w:val="0"/>
        <w:snapToGrid/>
        <w:spacing w:line="500" w:lineRule="exact"/>
        <w:rPr>
          <w:rFonts w:ascii="仿宋" w:hAnsi="仿宋" w:eastAsia="仿宋" w:cs="宋体"/>
          <w:b w:val="0"/>
          <w:color w:val="auto"/>
          <w:sz w:val="28"/>
          <w:szCs w:val="28"/>
          <w:highlight w:val="none"/>
        </w:rPr>
      </w:pPr>
      <w:bookmarkStart w:id="26" w:name="_Toc28351"/>
      <w:bookmarkStart w:id="27" w:name="_Toc8133"/>
      <w:bookmarkStart w:id="28" w:name="_Toc28328"/>
      <w:bookmarkStart w:id="29" w:name="_Toc8698"/>
      <w:r>
        <w:rPr>
          <w:rFonts w:hint="eastAsia" w:ascii="仿宋" w:hAnsi="仿宋" w:eastAsia="仿宋" w:cs="宋体"/>
          <w:b w:val="0"/>
          <w:color w:val="auto"/>
          <w:sz w:val="28"/>
          <w:szCs w:val="28"/>
          <w:highlight w:val="none"/>
        </w:rPr>
        <w:t>采购人信息</w:t>
      </w:r>
      <w:bookmarkEnd w:id="26"/>
      <w:bookmarkEnd w:id="27"/>
      <w:bookmarkEnd w:id="28"/>
      <w:bookmarkEnd w:id="29"/>
    </w:p>
    <w:p>
      <w:pPr>
        <w:pageBreakBefore w:val="0"/>
        <w:kinsoku/>
        <w:wordWrap/>
        <w:overflowPunct/>
        <w:topLinePunct w:val="0"/>
        <w:autoSpaceDE/>
        <w:autoSpaceDN/>
        <w:bidi w:val="0"/>
        <w:snapToGrid/>
        <w:spacing w:line="500" w:lineRule="exact"/>
        <w:ind w:left="0" w:leftChars="0" w:firstLine="560" w:firstLineChars="200"/>
        <w:jc w:val="left"/>
        <w:rPr>
          <w:rFonts w:hint="eastAsia" w:ascii="仿宋" w:hAnsi="仿宋" w:eastAsia="仿宋" w:cs="Times New Roman"/>
          <w:color w:val="auto"/>
          <w:sz w:val="28"/>
          <w:szCs w:val="28"/>
          <w:highlight w:val="none"/>
          <w:u w:val="single"/>
          <w:lang w:val="en-US" w:eastAsia="zh-CN"/>
        </w:rPr>
      </w:pP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u w:val="single" w:color="auto"/>
          <w:lang w:eastAsia="zh-CN"/>
        </w:rPr>
        <w:t>滁州滁能热电有限公司</w:t>
      </w:r>
    </w:p>
    <w:p>
      <w:pPr>
        <w:pageBreakBefore w:val="0"/>
        <w:kinsoku/>
        <w:wordWrap/>
        <w:overflowPunct/>
        <w:topLinePunct w:val="0"/>
        <w:autoSpaceDE/>
        <w:autoSpaceDN/>
        <w:bidi w:val="0"/>
        <w:snapToGrid/>
        <w:spacing w:line="500" w:lineRule="exact"/>
        <w:ind w:left="0" w:leftChars="0" w:firstLine="560" w:firstLineChars="200"/>
        <w:jc w:val="lef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地址：滁州市琅琊区经济技术开发区苏州南路789号</w:t>
      </w:r>
    </w:p>
    <w:p>
      <w:pPr>
        <w:pageBreakBefore w:val="0"/>
        <w:kinsoku/>
        <w:wordWrap/>
        <w:overflowPunct/>
        <w:topLinePunct w:val="0"/>
        <w:autoSpaceDE/>
        <w:autoSpaceDN/>
        <w:bidi w:val="0"/>
        <w:snapToGrid/>
        <w:spacing w:line="500" w:lineRule="exact"/>
        <w:ind w:left="0" w:leftChars="0" w:firstLine="560" w:firstLineChars="200"/>
        <w:jc w:val="left"/>
        <w:rPr>
          <w:rFonts w:hint="eastAsia" w:ascii="仿宋" w:hAnsi="仿宋" w:eastAsia="仿宋" w:cs="Times New Roman"/>
          <w:color w:val="auto"/>
          <w:sz w:val="28"/>
          <w:szCs w:val="28"/>
          <w:highlight w:val="none"/>
          <w:u w:val="none" w:color="auto"/>
          <w:lang w:val="en-US" w:eastAsia="zh-CN"/>
        </w:rPr>
      </w:pPr>
      <w:r>
        <w:rPr>
          <w:rFonts w:hint="eastAsia" w:ascii="仿宋" w:hAnsi="仿宋" w:eastAsia="仿宋" w:cs="Times New Roman"/>
          <w:color w:val="auto"/>
          <w:sz w:val="28"/>
          <w:szCs w:val="28"/>
          <w:highlight w:val="none"/>
          <w:u w:val="none" w:color="auto"/>
        </w:rPr>
        <w:t>联系</w:t>
      </w:r>
      <w:r>
        <w:rPr>
          <w:rFonts w:hint="eastAsia" w:ascii="仿宋" w:hAnsi="仿宋" w:eastAsia="仿宋" w:cs="Times New Roman"/>
          <w:color w:val="auto"/>
          <w:sz w:val="28"/>
          <w:szCs w:val="28"/>
          <w:highlight w:val="none"/>
          <w:u w:val="none" w:color="auto"/>
          <w:lang w:val="en-US" w:eastAsia="zh-CN"/>
        </w:rPr>
        <w:t>人</w:t>
      </w:r>
      <w:r>
        <w:rPr>
          <w:rFonts w:hint="eastAsia" w:ascii="仿宋" w:hAnsi="仿宋" w:eastAsia="仿宋" w:cs="Times New Roman"/>
          <w:color w:val="auto"/>
          <w:sz w:val="28"/>
          <w:szCs w:val="28"/>
          <w:highlight w:val="none"/>
          <w:u w:val="none" w:color="auto"/>
          <w:lang w:eastAsia="zh-CN"/>
        </w:rPr>
        <w:t>：</w:t>
      </w:r>
      <w:r>
        <w:rPr>
          <w:rFonts w:hint="eastAsia" w:ascii="仿宋" w:hAnsi="仿宋" w:eastAsia="仿宋" w:cs="Times New Roman"/>
          <w:color w:val="auto"/>
          <w:sz w:val="28"/>
          <w:szCs w:val="28"/>
          <w:highlight w:val="none"/>
          <w:u w:val="none" w:color="auto"/>
          <w:lang w:val="en-US" w:eastAsia="zh-CN"/>
        </w:rPr>
        <w:t>牟永春</w:t>
      </w:r>
      <w:r>
        <w:rPr>
          <w:rFonts w:hint="eastAsia" w:ascii="仿宋" w:hAnsi="仿宋" w:eastAsia="仿宋" w:cs="Times New Roman"/>
          <w:color w:val="auto"/>
          <w:sz w:val="28"/>
          <w:szCs w:val="28"/>
          <w:highlight w:val="none"/>
          <w:u w:val="none" w:color="auto"/>
          <w:lang w:eastAsia="zh-CN"/>
        </w:rPr>
        <w:t>；</w:t>
      </w:r>
      <w:r>
        <w:rPr>
          <w:rFonts w:hint="eastAsia" w:ascii="仿宋" w:hAnsi="仿宋" w:eastAsia="仿宋" w:cs="Times New Roman"/>
          <w:color w:val="auto"/>
          <w:sz w:val="28"/>
          <w:szCs w:val="28"/>
          <w:highlight w:val="none"/>
          <w:u w:val="none" w:color="auto"/>
          <w:lang w:val="en-US" w:eastAsia="zh-CN"/>
        </w:rPr>
        <w:t>联系方式：18555125618；</w:t>
      </w:r>
    </w:p>
    <w:p>
      <w:pPr>
        <w:pageBreakBefore w:val="0"/>
        <w:kinsoku/>
        <w:wordWrap/>
        <w:overflowPunct/>
        <w:topLinePunct w:val="0"/>
        <w:autoSpaceDE/>
        <w:autoSpaceDN/>
        <w:bidi w:val="0"/>
        <w:snapToGrid/>
        <w:spacing w:line="500" w:lineRule="exact"/>
        <w:ind w:left="0" w:leftChars="0" w:firstLine="560" w:firstLineChars="200"/>
        <w:jc w:val="left"/>
        <w:rPr>
          <w:rFonts w:hint="eastAsia" w:ascii="仿宋" w:hAnsi="仿宋" w:eastAsia="仿宋" w:cs="Times New Roman"/>
          <w:color w:val="auto"/>
          <w:sz w:val="28"/>
          <w:szCs w:val="28"/>
          <w:highlight w:val="none"/>
          <w:u w:val="none" w:color="auto"/>
          <w:lang w:val="en-US" w:eastAsia="zh-CN"/>
        </w:rPr>
      </w:pPr>
      <w:r>
        <w:rPr>
          <w:rFonts w:hint="eastAsia" w:ascii="仿宋" w:hAnsi="仿宋" w:eastAsia="仿宋" w:cs="Times New Roman"/>
          <w:color w:val="auto"/>
          <w:sz w:val="28"/>
          <w:szCs w:val="28"/>
          <w:highlight w:val="none"/>
          <w:u w:val="none" w:color="auto"/>
          <w:lang w:val="en-US" w:eastAsia="zh-CN"/>
        </w:rPr>
        <w:t xml:space="preserve">监督电话：0550-3017855。    </w:t>
      </w:r>
    </w:p>
    <w:p>
      <w:pPr>
        <w:rPr>
          <w:rFonts w:hint="eastAsia" w:ascii="宋体" w:hAnsi="宋体" w:cs="宋体"/>
          <w:color w:val="auto"/>
          <w:szCs w:val="21"/>
          <w:highlight w:val="none"/>
        </w:rPr>
      </w:pPr>
    </w:p>
    <w:p>
      <w:pPr>
        <w:pStyle w:val="6"/>
        <w:rPr>
          <w:rFonts w:hint="eastAsia" w:hAnsi="黑体" w:cs="黑体"/>
          <w:b/>
          <w:bCs/>
          <w:color w:val="auto"/>
          <w:highlight w:val="none"/>
        </w:rPr>
      </w:pPr>
      <w:r>
        <w:rPr>
          <w:rFonts w:hint="eastAsia" w:ascii="宋体" w:hAnsi="宋体" w:eastAsia="宋体" w:cs="宋体"/>
          <w:color w:val="auto"/>
          <w:highlight w:val="none"/>
        </w:rPr>
        <w:br w:type="page"/>
      </w:r>
      <w:bookmarkStart w:id="30" w:name="_Toc24214"/>
      <w:r>
        <w:rPr>
          <w:rFonts w:hint="eastAsia" w:hAnsi="黑体" w:cs="黑体"/>
          <w:b/>
          <w:bCs/>
          <w:color w:val="auto"/>
          <w:szCs w:val="32"/>
          <w:highlight w:val="none"/>
        </w:rPr>
        <w:t>第二章  供应商须知</w:t>
      </w:r>
      <w:bookmarkEnd w:id="9"/>
      <w:bookmarkEnd w:id="30"/>
    </w:p>
    <w:p>
      <w:pPr>
        <w:pStyle w:val="8"/>
        <w:spacing w:before="156" w:beforeLines="50" w:after="156" w:afterLines="50" w:line="440" w:lineRule="exact"/>
        <w:rPr>
          <w:rFonts w:hint="eastAsia"/>
          <w:color w:val="auto"/>
          <w:highlight w:val="none"/>
        </w:rPr>
      </w:pPr>
      <w:bookmarkStart w:id="31" w:name="_Toc348"/>
      <w:bookmarkStart w:id="32" w:name="_Toc32537"/>
      <w:bookmarkStart w:id="33" w:name="_Toc35549352"/>
      <w:bookmarkStart w:id="34" w:name="_Toc19801"/>
      <w:bookmarkStart w:id="35" w:name="_Toc35549707"/>
      <w:bookmarkStart w:id="36" w:name="_Toc603"/>
      <w:r>
        <w:rPr>
          <w:rFonts w:hint="eastAsia" w:ascii="黑体" w:hAnsi="黑体" w:eastAsia="黑体" w:cs="黑体"/>
          <w:color w:val="auto"/>
          <w:sz w:val="24"/>
          <w:szCs w:val="24"/>
          <w:highlight w:val="none"/>
        </w:rPr>
        <w:t>一、供应商须知前附表</w:t>
      </w:r>
      <w:bookmarkEnd w:id="31"/>
      <w:bookmarkEnd w:id="32"/>
      <w:bookmarkEnd w:id="33"/>
      <w:bookmarkEnd w:id="34"/>
      <w:bookmarkEnd w:id="35"/>
      <w:bookmarkEnd w:id="36"/>
    </w:p>
    <w:tbl>
      <w:tblPr>
        <w:tblStyle w:val="40"/>
        <w:tblW w:w="0" w:type="auto"/>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36"/>
        <w:gridCol w:w="867"/>
        <w:gridCol w:w="1247"/>
        <w:gridCol w:w="683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6"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b/>
                <w:color w:val="auto"/>
                <w:szCs w:val="21"/>
                <w:highlight w:val="none"/>
              </w:rPr>
            </w:pPr>
            <w:bookmarkStart w:id="37" w:name="_Toc35549708"/>
            <w:bookmarkStart w:id="38" w:name="_Toc35549353"/>
            <w:r>
              <w:rPr>
                <w:rFonts w:hint="eastAsia" w:hAnsi="宋体" w:eastAsia="Times New Roman" w:cs="宋体"/>
                <w:b/>
                <w:color w:val="auto"/>
                <w:szCs w:val="21"/>
                <w:highlight w:val="none"/>
              </w:rPr>
              <w:t>条款号</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b/>
                <w:color w:val="auto"/>
                <w:szCs w:val="21"/>
                <w:highlight w:val="none"/>
              </w:rPr>
            </w:pPr>
            <w:r>
              <w:rPr>
                <w:rFonts w:hint="eastAsia" w:hAnsi="宋体" w:eastAsia="Times New Roman" w:cs="宋体"/>
                <w:b/>
                <w:color w:val="auto"/>
                <w:szCs w:val="21"/>
                <w:highlight w:val="none"/>
              </w:rPr>
              <w:t>内容</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b/>
                <w:color w:val="auto"/>
                <w:szCs w:val="21"/>
                <w:highlight w:val="none"/>
              </w:rPr>
            </w:pPr>
            <w:r>
              <w:rPr>
                <w:rFonts w:hint="eastAsia" w:hAnsi="宋体" w:eastAsia="Times New Roman" w:cs="宋体"/>
                <w:b/>
                <w:color w:val="auto"/>
                <w:szCs w:val="21"/>
                <w:highlight w:val="none"/>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9"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项目名称</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ascii="宋体" w:hAnsi="宋体" w:eastAsia="宋体" w:cs="宋体"/>
                <w:color w:val="auto"/>
                <w:szCs w:val="21"/>
                <w:highlight w:val="none"/>
                <w:lang w:val="en-US" w:eastAsia="zh-CN"/>
              </w:rPr>
            </w:pPr>
            <w:r>
              <w:rPr>
                <w:rFonts w:hint="eastAsia" w:hAnsi="宋体" w:eastAsia="宋体" w:cs="宋体"/>
                <w:color w:val="auto"/>
                <w:szCs w:val="21"/>
                <w:highlight w:val="none"/>
                <w:lang w:val="en-US" w:eastAsia="zh-CN"/>
              </w:rPr>
              <w:t>滁能热电（全椒）有限公司、</w:t>
            </w:r>
            <w:r>
              <w:rPr>
                <w:rFonts w:hint="eastAsia" w:hAnsi="宋体" w:cs="宋体"/>
                <w:color w:val="auto"/>
                <w:szCs w:val="21"/>
                <w:highlight w:val="none"/>
                <w:lang w:val="en-US" w:eastAsia="zh-CN"/>
              </w:rPr>
              <w:t>安徽</w:t>
            </w:r>
            <w:r>
              <w:rPr>
                <w:rFonts w:hint="eastAsia" w:hAnsi="宋体" w:eastAsia="宋体" w:cs="宋体"/>
                <w:color w:val="auto"/>
                <w:szCs w:val="21"/>
                <w:highlight w:val="none"/>
                <w:lang w:val="en-US" w:eastAsia="zh-CN"/>
              </w:rPr>
              <w:t>润森生物质科技有限公司净资产审计及股权评估服务项目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9"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rPr>
            </w:pPr>
            <w:r>
              <w:rPr>
                <w:rFonts w:hint="eastAsia" w:hAnsi="宋体" w:eastAsia="宋体" w:cs="宋体"/>
                <w:color w:val="auto"/>
                <w:szCs w:val="21"/>
                <w:highlight w:val="none"/>
              </w:rPr>
              <w:t>项目编号</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5"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rPr>
            </w:pPr>
            <w:r>
              <w:rPr>
                <w:rFonts w:hint="eastAsia" w:hAnsi="宋体" w:eastAsia="宋体" w:cs="宋体"/>
                <w:color w:val="auto"/>
                <w:szCs w:val="21"/>
                <w:highlight w:val="none"/>
              </w:rPr>
              <w:t>供货</w:t>
            </w:r>
            <w:r>
              <w:rPr>
                <w:rFonts w:hint="eastAsia" w:hAnsi="宋体" w:eastAsia="Times New Roman" w:cs="宋体"/>
                <w:color w:val="auto"/>
                <w:szCs w:val="21"/>
                <w:highlight w:val="none"/>
              </w:rPr>
              <w:t>（服务）</w:t>
            </w:r>
            <w:r>
              <w:rPr>
                <w:rFonts w:hint="eastAsia" w:hAnsi="宋体" w:eastAsia="宋体" w:cs="宋体"/>
                <w:color w:val="auto"/>
                <w:szCs w:val="21"/>
                <w:highlight w:val="none"/>
              </w:rPr>
              <w:t>期</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rPr>
            </w:pPr>
            <w:r>
              <w:rPr>
                <w:rFonts w:hint="eastAsia" w:hAnsi="宋体" w:eastAsia="宋体" w:cs="宋体"/>
                <w:color w:val="auto"/>
                <w:szCs w:val="21"/>
                <w:highlight w:val="none"/>
              </w:rPr>
              <w:t>根据采购人审计和评估工作的实际需要，应在</w:t>
            </w:r>
            <w:r>
              <w:rPr>
                <w:rFonts w:hint="eastAsia" w:hAnsi="宋体" w:cs="宋体"/>
                <w:color w:val="auto"/>
                <w:szCs w:val="21"/>
                <w:highlight w:val="none"/>
                <w:lang w:val="en-US" w:eastAsia="zh-CN"/>
              </w:rPr>
              <w:t>3</w:t>
            </w:r>
            <w:r>
              <w:rPr>
                <w:rFonts w:hint="eastAsia" w:hAnsi="宋体" w:eastAsia="宋体" w:cs="宋体"/>
                <w:color w:val="auto"/>
                <w:szCs w:val="21"/>
                <w:highlight w:val="none"/>
              </w:rPr>
              <w:t>个工作日内到现场开展审计和评估工作，特殊紧急需要的，审计和评估服务商应根据企业安排及时开展工作。在现场审计和评估后</w:t>
            </w:r>
            <w:r>
              <w:rPr>
                <w:rFonts w:hint="eastAsia" w:hAnsi="宋体" w:cs="宋体"/>
                <w:color w:val="auto"/>
                <w:szCs w:val="21"/>
                <w:highlight w:val="none"/>
                <w:lang w:val="en-US" w:eastAsia="zh-CN"/>
              </w:rPr>
              <w:t>15</w:t>
            </w:r>
            <w:r>
              <w:rPr>
                <w:rFonts w:hint="eastAsia" w:hAnsi="宋体" w:eastAsia="宋体" w:cs="宋体"/>
                <w:color w:val="auto"/>
                <w:szCs w:val="21"/>
                <w:highlight w:val="none"/>
              </w:rPr>
              <w:t>日内出具真实、合法、完整的审计报告和评估报告（特殊情况除外）。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9"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供货（服务）地点</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Times New Roman" w:cs="宋体"/>
                <w:color w:val="auto"/>
                <w:szCs w:val="21"/>
                <w:highlight w:val="none"/>
              </w:rPr>
            </w:pPr>
            <w:r>
              <w:rPr>
                <w:rFonts w:hint="eastAsia" w:hAnsi="宋体" w:eastAsia="Times New Roman" w:cs="宋体"/>
                <w:color w:val="auto"/>
                <w:szCs w:val="21"/>
                <w:highlight w:val="none"/>
              </w:rPr>
              <w:t>采购人指定地点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28"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1.2</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采购人联系人及电话</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lang w:eastAsia="zh-CN"/>
              </w:rPr>
            </w:pPr>
            <w:r>
              <w:rPr>
                <w:rFonts w:hint="eastAsia" w:hAnsi="宋体" w:eastAsia="宋体" w:cs="宋体"/>
                <w:color w:val="auto"/>
                <w:szCs w:val="21"/>
                <w:highlight w:val="none"/>
              </w:rPr>
              <w:t>联</w:t>
            </w:r>
            <w:r>
              <w:rPr>
                <w:rFonts w:hint="eastAsia" w:ascii="宋体" w:hAnsi="宋体" w:eastAsia="宋体" w:cs="宋体"/>
                <w:color w:val="auto"/>
                <w:szCs w:val="21"/>
                <w:highlight w:val="none"/>
              </w:rPr>
              <w:t>系人：牟永春</w:t>
            </w:r>
            <w:r>
              <w:rPr>
                <w:rFonts w:hint="eastAsia" w:hAnsi="宋体" w:cs="宋体"/>
                <w:color w:val="auto"/>
                <w:szCs w:val="21"/>
                <w:highlight w:val="none"/>
                <w:lang w:eastAsia="zh-CN"/>
              </w:rPr>
              <w:t>；</w:t>
            </w:r>
            <w:r>
              <w:rPr>
                <w:rFonts w:hint="eastAsia" w:ascii="宋体" w:hAnsi="宋体" w:eastAsia="宋体" w:cs="宋体"/>
                <w:color w:val="auto"/>
                <w:szCs w:val="21"/>
                <w:highlight w:val="none"/>
              </w:rPr>
              <w:t>电话：18555125618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3"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1.2</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采购代理机构联系人及电话</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default" w:hAnsi="宋体" w:eastAsia="宋体" w:cs="宋体"/>
                <w:color w:val="auto"/>
                <w:szCs w:val="21"/>
                <w:highlight w:val="none"/>
                <w:lang w:val="en-US" w:eastAsia="zh-CN"/>
              </w:rPr>
            </w:pPr>
            <w:r>
              <w:rPr>
                <w:rFonts w:hint="eastAsia" w:hAnsi="宋体" w:cs="宋体"/>
                <w:color w:val="auto"/>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7"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1.3</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 xml:space="preserve">资金来源                                                                                                                                                                 </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rPr>
            </w:pPr>
            <w:r>
              <w:rPr>
                <w:rFonts w:hint="eastAsia" w:hAnsi="宋体" w:eastAsia="宋体" w:cs="宋体"/>
                <w:color w:val="auto"/>
                <w:szCs w:val="21"/>
                <w:highlight w:val="none"/>
                <w:lang w:val="en-US" w:eastAsia="zh-CN"/>
              </w:rPr>
              <w:t>自筹</w:t>
            </w:r>
            <w:r>
              <w:rPr>
                <w:rFonts w:hint="eastAsia" w:hAnsi="宋体" w:eastAsia="宋体" w:cs="宋体"/>
                <w:color w:val="auto"/>
                <w:szCs w:val="21"/>
                <w:highlight w:val="none"/>
              </w:rPr>
              <w:t>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82"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1.4</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采购预算</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rPr>
            </w:pPr>
            <w:r>
              <w:rPr>
                <w:rFonts w:hint="eastAsia" w:hAnsi="宋体" w:eastAsia="宋体" w:cs="宋体"/>
                <w:color w:val="auto"/>
                <w:szCs w:val="21"/>
                <w:highlight w:val="none"/>
              </w:rPr>
              <w:t>约</w:t>
            </w:r>
            <w:r>
              <w:rPr>
                <w:rFonts w:hint="eastAsia" w:hAnsi="宋体" w:cs="宋体"/>
                <w:color w:val="auto"/>
                <w:szCs w:val="21"/>
                <w:highlight w:val="none"/>
                <w:lang w:val="en-US" w:eastAsia="zh-CN"/>
              </w:rPr>
              <w:t>十</w:t>
            </w:r>
            <w:r>
              <w:rPr>
                <w:rFonts w:hint="eastAsia" w:hAnsi="宋体" w:eastAsia="宋体" w:cs="宋体"/>
                <w:color w:val="auto"/>
                <w:szCs w:val="21"/>
                <w:highlight w:val="none"/>
                <w:lang w:val="en-US" w:eastAsia="zh-CN"/>
              </w:rPr>
              <w:t>万元</w:t>
            </w:r>
            <w:r>
              <w:rPr>
                <w:rFonts w:hint="eastAsia" w:hAnsi="宋体" w:cs="宋体"/>
                <w:color w:val="auto"/>
                <w:szCs w:val="21"/>
                <w:highlight w:val="none"/>
                <w:lang w:val="en-US" w:eastAsia="zh-CN"/>
              </w:rPr>
              <w:t>（含税）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1.5</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最高限价</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default" w:eastAsia="Times New Roman" w:cs="Times New Roman"/>
                <w:color w:val="auto"/>
                <w:szCs w:val="20"/>
                <w:highlight w:val="none"/>
              </w:rPr>
            </w:pPr>
            <w:r>
              <w:rPr>
                <w:rFonts w:hint="eastAsia" w:hAnsi="宋体" w:cs="宋体"/>
                <w:color w:val="auto"/>
                <w:szCs w:val="21"/>
                <w:highlight w:val="none"/>
                <w:lang w:val="en-US" w:eastAsia="zh-CN"/>
              </w:rPr>
              <w:t>拾万</w:t>
            </w:r>
            <w:r>
              <w:rPr>
                <w:rFonts w:hint="eastAsia" w:hAnsi="宋体" w:eastAsia="宋体" w:cs="宋体"/>
                <w:color w:val="auto"/>
                <w:szCs w:val="21"/>
                <w:highlight w:val="none"/>
                <w:lang w:val="en-US" w:eastAsia="zh-CN"/>
              </w:rPr>
              <w:t>元整</w:t>
            </w:r>
            <w:r>
              <w:rPr>
                <w:rFonts w:hint="eastAsia" w:ascii="宋体" w:hAnsi="宋体" w:eastAsia="宋体" w:cs="宋体"/>
                <w:color w:val="auto"/>
                <w:szCs w:val="21"/>
                <w:highlight w:val="none"/>
                <w:lang w:val="en-US" w:eastAsia="zh-CN"/>
              </w:rPr>
              <w:t>（¥：</w:t>
            </w:r>
            <w:r>
              <w:rPr>
                <w:rFonts w:hint="eastAsia" w:hAnsi="宋体" w:cs="宋体"/>
                <w:color w:val="auto"/>
                <w:szCs w:val="21"/>
                <w:highlight w:val="none"/>
                <w:lang w:val="en-US" w:eastAsia="zh-CN"/>
              </w:rPr>
              <w:t>100000.00</w:t>
            </w:r>
            <w:r>
              <w:rPr>
                <w:rFonts w:hint="eastAsia" w:ascii="宋体" w:hAnsi="宋体" w:eastAsia="宋体" w:cs="宋体"/>
                <w:color w:val="auto"/>
                <w:szCs w:val="21"/>
                <w:highlight w:val="none"/>
                <w:lang w:val="en-US" w:eastAsia="zh-CN"/>
              </w:rPr>
              <w:t>）</w:t>
            </w:r>
            <w:r>
              <w:rPr>
                <w:rFonts w:hint="eastAsia" w:hAnsi="宋体" w:cs="宋体"/>
                <w:color w:val="auto"/>
                <w:szCs w:val="21"/>
                <w:highlight w:val="none"/>
                <w:lang w:val="en-US" w:eastAsia="zh-CN"/>
              </w:rPr>
              <w:t>（含税）</w:t>
            </w:r>
            <w:r>
              <w:rPr>
                <w:rFonts w:hint="eastAsia" w:ascii="宋体" w:hAnsi="宋体" w:eastAsia="宋体" w:cs="宋体"/>
                <w:color w:val="auto"/>
                <w:szCs w:val="21"/>
                <w:highlight w:val="none"/>
                <w:lang w:val="en-US" w:eastAsia="zh-CN"/>
              </w:rPr>
              <w:t>，投标报价和综合单价报价均不得高于各最高限价，否则按无效响应处理。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80"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2.1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采购内容</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Times New Roman" w:cs="宋体"/>
                <w:color w:val="auto"/>
                <w:szCs w:val="21"/>
                <w:highlight w:val="none"/>
              </w:rPr>
            </w:pPr>
            <w:r>
              <w:rPr>
                <w:rFonts w:hint="eastAsia" w:hAnsi="宋体" w:eastAsia="Times New Roman" w:cs="Times New Roman"/>
                <w:bCs/>
                <w:color w:val="auto"/>
                <w:kern w:val="0"/>
                <w:szCs w:val="21"/>
                <w:highlight w:val="none"/>
              </w:rPr>
              <w:t>具体详见第四章《采购需求及技术参数要求》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3.1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标包划分</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default" w:hAnsi="宋体" w:eastAsia="Times New Roman" w:cs="宋体"/>
                <w:color w:val="auto"/>
                <w:szCs w:val="21"/>
                <w:highlight w:val="none"/>
              </w:rPr>
            </w:pPr>
            <w:r>
              <w:rPr>
                <w:rFonts w:hint="eastAsia" w:hAnsi="宋体" w:eastAsia="Times New Roman" w:cs="宋体"/>
                <w:color w:val="auto"/>
                <w:szCs w:val="21"/>
                <w:highlight w:val="none"/>
              </w:rPr>
              <w:t>本项目划分为</w:t>
            </w:r>
            <w:r>
              <w:rPr>
                <w:rFonts w:hint="eastAsia" w:hAnsi="宋体" w:eastAsia="Times New Roman" w:cs="宋体"/>
                <w:color w:val="auto"/>
                <w:szCs w:val="21"/>
                <w:highlight w:val="none"/>
                <w:u w:val="single"/>
              </w:rPr>
              <w:t>1</w:t>
            </w:r>
            <w:r>
              <w:rPr>
                <w:rFonts w:hint="eastAsia" w:hAnsi="宋体" w:eastAsia="Times New Roman" w:cs="宋体"/>
                <w:color w:val="auto"/>
                <w:szCs w:val="21"/>
                <w:highlight w:val="none"/>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0"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4.1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采购方式</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default" w:hAnsi="宋体" w:eastAsia="宋体" w:cs="宋体"/>
                <w:color w:val="auto"/>
                <w:szCs w:val="21"/>
                <w:highlight w:val="none"/>
                <w:lang w:val="en-US" w:eastAsia="zh-CN"/>
              </w:rPr>
            </w:pPr>
            <w:r>
              <w:rPr>
                <w:rFonts w:hint="eastAsia" w:hAnsi="宋体" w:eastAsia="宋体" w:cs="宋体"/>
                <w:color w:val="auto"/>
                <w:szCs w:val="21"/>
                <w:highlight w:val="none"/>
                <w:lang w:val="en-US" w:eastAsia="zh-CN"/>
              </w:rPr>
              <w:t>公开招标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03"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7</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宋体" w:cs="宋体"/>
                <w:color w:val="auto"/>
                <w:szCs w:val="21"/>
                <w:highlight w:val="none"/>
              </w:rPr>
              <w:t>供应商资格条件及其他要求</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详见第一章“</w:t>
            </w:r>
            <w:r>
              <w:rPr>
                <w:rFonts w:hint="eastAsia" w:ascii="宋体" w:hAnsi="宋体" w:eastAsia="Times New Roman" w:cs="宋体"/>
                <w:color w:val="auto"/>
                <w:szCs w:val="21"/>
                <w:highlight w:val="none"/>
                <w:lang w:val="en-US" w:eastAsia="zh-CN"/>
              </w:rPr>
              <w:t>招标</w:t>
            </w:r>
            <w:r>
              <w:rPr>
                <w:rFonts w:hint="eastAsia" w:ascii="宋体" w:hAnsi="宋体" w:eastAsia="Times New Roman" w:cs="宋体"/>
                <w:color w:val="auto"/>
                <w:szCs w:val="21"/>
                <w:highlight w:val="none"/>
              </w:rPr>
              <w:t>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9.1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rPr>
              <w:t>踏勘现场</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Times New Roman" w:cs="宋体"/>
                <w:color w:val="auto"/>
                <w:szCs w:val="21"/>
                <w:highlight w:val="none"/>
              </w:rPr>
            </w:pPr>
            <w:r>
              <w:rPr>
                <w:rFonts w:hint="eastAsia" w:hAnsi="宋体" w:eastAsia="Times New Roman" w:cs="宋体"/>
                <w:color w:val="auto"/>
                <w:szCs w:val="21"/>
                <w:highlight w:val="none"/>
              </w:rPr>
              <w:t>不组织</w:t>
            </w:r>
            <w:r>
              <w:rPr>
                <w:rFonts w:hint="eastAsia" w:hAnsi="宋体" w:eastAsia="宋体" w:cs="宋体"/>
                <w:color w:val="auto"/>
                <w:szCs w:val="21"/>
                <w:highlight w:val="none"/>
                <w:lang w:eastAsia="zh-CN"/>
              </w:rPr>
              <w:t>，</w:t>
            </w:r>
            <w:r>
              <w:rPr>
                <w:rFonts w:hint="eastAsia" w:hAnsi="宋体" w:eastAsia="Times New Roman" w:cs="宋体"/>
                <w:color w:val="auto"/>
                <w:szCs w:val="21"/>
                <w:highlight w:val="none"/>
              </w:rPr>
              <w:t>供应商自行踏勘现场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10.1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宋体" w:cs="宋体"/>
                <w:color w:val="auto"/>
                <w:szCs w:val="21"/>
                <w:highlight w:val="none"/>
              </w:rPr>
            </w:pPr>
            <w:r>
              <w:rPr>
                <w:rFonts w:hint="eastAsia" w:hAnsi="宋体" w:eastAsia="宋体" w:cs="宋体"/>
                <w:color w:val="auto"/>
                <w:szCs w:val="21"/>
                <w:highlight w:val="none"/>
              </w:rPr>
              <w:t>投标预备会</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Times New Roman" w:cs="宋体"/>
                <w:color w:val="auto"/>
                <w:szCs w:val="21"/>
                <w:highlight w:val="none"/>
              </w:rPr>
            </w:pPr>
            <w:r>
              <w:rPr>
                <w:rFonts w:hint="eastAsia" w:hAnsi="宋体" w:eastAsia="Times New Roman" w:cs="宋体"/>
                <w:color w:val="auto"/>
                <w:szCs w:val="21"/>
                <w:highlight w:val="none"/>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27"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11.1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宋体" w:cs="宋体"/>
                <w:color w:val="auto"/>
                <w:szCs w:val="21"/>
                <w:highlight w:val="none"/>
                <w:lang w:eastAsia="zh-CN"/>
              </w:rPr>
            </w:pPr>
            <w:r>
              <w:rPr>
                <w:rFonts w:hint="eastAsia" w:hAnsi="宋体" w:eastAsia="Times New Roman" w:cs="宋体"/>
                <w:color w:val="auto"/>
                <w:szCs w:val="21"/>
                <w:highlight w:val="none"/>
              </w:rPr>
              <w:t>联合体</w:t>
            </w:r>
            <w:r>
              <w:rPr>
                <w:rFonts w:hint="eastAsia" w:hAnsi="宋体" w:eastAsia="Times New Roman" w:cs="宋体"/>
                <w:color w:val="auto"/>
                <w:szCs w:val="21"/>
                <w:highlight w:val="none"/>
                <w:lang w:val="en-US" w:eastAsia="zh-CN"/>
              </w:rPr>
              <w:t>投标</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lang w:val="en-US" w:eastAsia="zh-CN"/>
              </w:rPr>
            </w:pPr>
            <w:r>
              <w:rPr>
                <w:rFonts w:hint="eastAsia" w:hAnsi="宋体" w:eastAsia="宋体" w:cs="宋体"/>
                <w:color w:val="auto"/>
                <w:szCs w:val="21"/>
                <w:highlight w:val="none"/>
              </w:rPr>
              <w:t>本项目接受联合体</w:t>
            </w:r>
            <w:r>
              <w:rPr>
                <w:rFonts w:hint="eastAsia" w:hAnsi="宋体" w:eastAsia="宋体" w:cs="宋体"/>
                <w:color w:val="auto"/>
                <w:szCs w:val="21"/>
                <w:highlight w:val="none"/>
                <w:lang w:val="en-US" w:eastAsia="zh-CN"/>
              </w:rPr>
              <w:t>投标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27"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default" w:hAnsi="宋体" w:eastAsia="宋体" w:cs="宋体"/>
                <w:color w:val="auto"/>
                <w:szCs w:val="21"/>
                <w:highlight w:val="none"/>
              </w:rPr>
            </w:pPr>
            <w:r>
              <w:rPr>
                <w:rFonts w:hint="eastAsia" w:hAnsi="宋体" w:eastAsia="Times New Roman" w:cs="宋体"/>
                <w:color w:val="auto"/>
                <w:szCs w:val="21"/>
                <w:highlight w:val="none"/>
              </w:rPr>
              <w:t>11.6</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宋体" w:cs="Times New Roman"/>
                <w:color w:val="auto"/>
                <w:szCs w:val="21"/>
                <w:highlight w:val="none"/>
              </w:rPr>
              <w:t>合同分包（非专门面向中小企业采购项目适用）</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宋体" w:cs="宋体"/>
                <w:color w:val="auto"/>
                <w:szCs w:val="21"/>
                <w:highlight w:val="none"/>
              </w:rPr>
            </w:pPr>
            <w:r>
              <w:rPr>
                <w:rFonts w:hint="eastAsia" w:eastAsia="Times New Roman" w:cs="Times New Roman"/>
                <w:color w:val="auto"/>
                <w:szCs w:val="20"/>
                <w:highlight w:val="none"/>
              </w:rPr>
              <w:t>□是 ☑否</w:t>
            </w:r>
            <w:r>
              <w:rPr>
                <w:rFonts w:hint="eastAsia" w:eastAsia="Times New Roman" w:cs="Times New Roman"/>
                <w:color w:val="auto"/>
                <w:szCs w:val="20"/>
                <w:highlight w:val="none"/>
                <w:lang w:val="en-US" w:eastAsia="zh-CN"/>
              </w:rPr>
              <w:t xml:space="preserve">  </w:t>
            </w:r>
            <w:r>
              <w:rPr>
                <w:rFonts w:hint="eastAsia" w:hAnsi="Calibri" w:eastAsia="宋体" w:cs="Times New Roman"/>
                <w:color w:val="auto"/>
                <w:szCs w:val="21"/>
                <w:highlight w:val="none"/>
              </w:rPr>
              <w:t>允许大中型企业向一家或者多家小微企业分包。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12.1</w:t>
            </w:r>
          </w:p>
        </w:tc>
        <w:tc>
          <w:tcPr>
            <w:tcW w:w="2114" w:type="dxa"/>
            <w:gridSpan w:val="2"/>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rightChars="0"/>
              <w:jc w:val="left"/>
              <w:textAlignment w:val="auto"/>
              <w:rPr>
                <w:rFonts w:hint="eastAsia" w:ascii="宋体" w:hAnsi="宋体" w:eastAsia="Times New Roman" w:cs="宋体"/>
                <w:color w:val="auto"/>
                <w:szCs w:val="21"/>
                <w:highlight w:val="none"/>
              </w:rPr>
            </w:pPr>
            <w:r>
              <w:rPr>
                <w:rFonts w:hint="eastAsia" w:ascii="宋体" w:hAnsi="宋体" w:eastAsia="宋体" w:cs="宋体"/>
                <w:color w:val="auto"/>
                <w:kern w:val="2"/>
                <w:sz w:val="21"/>
                <w:szCs w:val="21"/>
                <w:highlight w:val="none"/>
                <w:lang w:val="en-US" w:eastAsia="zh-CN" w:bidi="ar"/>
              </w:rPr>
              <w:t>招标代理费</w:t>
            </w:r>
          </w:p>
        </w:tc>
        <w:tc>
          <w:tcPr>
            <w:tcW w:w="6830" w:type="dxa"/>
            <w:noWrap w:val="0"/>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60" w:lineRule="exact"/>
              <w:ind w:left="0" w:leftChars="0" w:right="0" w:rightChars="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25"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Times New Roman" w:eastAsia="Times New Roman" w:cs="宋体"/>
                <w:color w:val="auto"/>
                <w:szCs w:val="21"/>
                <w:highlight w:val="none"/>
              </w:rPr>
              <w:t>15.4</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eastAsia="Times New Roman" w:cs="Times New Roman"/>
                <w:color w:val="auto"/>
                <w:szCs w:val="21"/>
                <w:highlight w:val="none"/>
              </w:rPr>
              <w:t>采购人澄清的方式</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Times New Roman" w:cs="宋体"/>
                <w:color w:val="auto"/>
                <w:szCs w:val="21"/>
                <w:highlight w:val="none"/>
              </w:rPr>
            </w:pPr>
            <w:r>
              <w:rPr>
                <w:rFonts w:hint="eastAsia" w:ascii="Times New Roman" w:hAnsi="Times New Roman" w:eastAsia="Times New Roman" w:cs="Times New Roman"/>
                <w:color w:val="auto"/>
                <w:szCs w:val="21"/>
                <w:highlight w:val="none"/>
              </w:rPr>
              <w:t>以更正公告形式在</w:t>
            </w:r>
            <w:r>
              <w:rPr>
                <w:rFonts w:hint="eastAsia" w:ascii="Times New Roman" w:hAnsi="Times New Roman" w:eastAsia="Times New Roman" w:cs="Times New Roman"/>
                <w:color w:val="auto"/>
                <w:szCs w:val="21"/>
                <w:highlight w:val="none"/>
                <w:lang w:eastAsia="zh-CN"/>
              </w:rPr>
              <w:t>滁州市工投公司公众号</w:t>
            </w:r>
            <w:r>
              <w:rPr>
                <w:rFonts w:hint="eastAsia" w:ascii="Times New Roman" w:hAnsi="Times New Roman" w:eastAsia="Times New Roman" w:cs="Times New Roman"/>
                <w:color w:val="auto"/>
                <w:szCs w:val="21"/>
                <w:highlight w:val="none"/>
                <w:lang w:val="en-US" w:eastAsia="zh-CN"/>
              </w:rPr>
              <w:t>或</w:t>
            </w:r>
            <w:r>
              <w:rPr>
                <w:rFonts w:hint="eastAsia" w:ascii="Times New Roman" w:hAnsi="Times New Roman" w:eastAsia="Times New Roman" w:cs="Times New Roman"/>
                <w:color w:val="auto"/>
                <w:szCs w:val="21"/>
                <w:highlight w:val="none"/>
                <w:lang w:eastAsia="zh-CN"/>
              </w:rPr>
              <w:t>中国扬子集团公司网站（http://www.yangzigroup.cn）</w:t>
            </w:r>
            <w:r>
              <w:rPr>
                <w:rFonts w:hint="eastAsia" w:ascii="Times New Roman" w:hAnsi="Times New Roman" w:eastAsia="Times New Roman" w:cs="Times New Roman"/>
                <w:color w:val="auto"/>
                <w:szCs w:val="21"/>
                <w:highlight w:val="none"/>
              </w:rPr>
              <w:t>予以公告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default" w:hAnsi="宋体" w:eastAsia="宋体" w:cs="宋体"/>
                <w:color w:val="auto"/>
                <w:szCs w:val="21"/>
                <w:highlight w:val="none"/>
              </w:rPr>
            </w:pPr>
            <w:r>
              <w:rPr>
                <w:rFonts w:hint="eastAsia" w:hAnsi="宋体" w:eastAsia="Times New Roman" w:cs="宋体"/>
                <w:color w:val="auto"/>
                <w:szCs w:val="21"/>
                <w:highlight w:val="none"/>
              </w:rPr>
              <w:t>22.1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Times New Roman" w:cs="宋体"/>
                <w:color w:val="auto"/>
                <w:szCs w:val="21"/>
                <w:highlight w:val="none"/>
                <w:lang w:val="en-US" w:eastAsia="zh-CN"/>
              </w:rPr>
              <w:t>投标</w:t>
            </w:r>
            <w:r>
              <w:rPr>
                <w:rFonts w:hint="eastAsia" w:hAnsi="宋体" w:eastAsia="Times New Roman" w:cs="宋体"/>
                <w:color w:val="auto"/>
                <w:szCs w:val="21"/>
                <w:highlight w:val="none"/>
              </w:rPr>
              <w:t>有效期</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Times New Roman" w:cs="宋体"/>
                <w:color w:val="auto"/>
                <w:szCs w:val="21"/>
                <w:highlight w:val="none"/>
              </w:rPr>
            </w:pPr>
            <w:r>
              <w:rPr>
                <w:rFonts w:hint="eastAsia" w:hAnsi="宋体" w:eastAsia="Times New Roman" w:cs="宋体"/>
                <w:color w:val="auto"/>
                <w:szCs w:val="21"/>
                <w:highlight w:val="none"/>
                <w:lang w:eastAsia="zh-CN"/>
              </w:rPr>
              <w:t>投标有效期</w:t>
            </w:r>
            <w:r>
              <w:rPr>
                <w:rFonts w:hint="eastAsia" w:hAnsi="宋体" w:eastAsia="Times New Roman" w:cs="宋体"/>
                <w:color w:val="auto"/>
                <w:szCs w:val="21"/>
                <w:highlight w:val="none"/>
              </w:rPr>
              <w:t>为日历天（从开启之日算起）。在此期限内，凡符合本</w:t>
            </w:r>
            <w:r>
              <w:rPr>
                <w:rFonts w:hint="eastAsia" w:hAnsi="宋体" w:eastAsia="Times New Roman" w:cs="宋体"/>
                <w:color w:val="auto"/>
                <w:szCs w:val="21"/>
                <w:highlight w:val="none"/>
                <w:lang w:eastAsia="zh-CN"/>
              </w:rPr>
              <w:t>招标文件</w:t>
            </w:r>
            <w:r>
              <w:rPr>
                <w:rFonts w:hint="eastAsia" w:hAnsi="宋体" w:eastAsia="Times New Roman" w:cs="宋体"/>
                <w:color w:val="auto"/>
                <w:szCs w:val="21"/>
                <w:highlight w:val="none"/>
              </w:rPr>
              <w:t>要求的</w:t>
            </w:r>
            <w:r>
              <w:rPr>
                <w:rFonts w:hint="eastAsia" w:hAnsi="宋体" w:eastAsia="Times New Roman" w:cs="宋体"/>
                <w:color w:val="auto"/>
                <w:szCs w:val="21"/>
                <w:highlight w:val="none"/>
                <w:lang w:eastAsia="zh-CN"/>
              </w:rPr>
              <w:t>投标文件</w:t>
            </w:r>
            <w:r>
              <w:rPr>
                <w:rFonts w:hint="eastAsia" w:hAnsi="宋体" w:eastAsia="Times New Roman" w:cs="宋体"/>
                <w:color w:val="auto"/>
                <w:szCs w:val="21"/>
                <w:highlight w:val="none"/>
              </w:rPr>
              <w:t>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5"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宋体" w:cs="宋体"/>
                <w:color w:val="auto"/>
                <w:szCs w:val="21"/>
                <w:highlight w:val="none"/>
              </w:rPr>
            </w:pPr>
            <w:r>
              <w:rPr>
                <w:rFonts w:hint="eastAsia" w:ascii="宋体" w:hAnsi="宋体" w:eastAsia="Times New Roman" w:cs="宋体"/>
                <w:color w:val="auto"/>
                <w:szCs w:val="21"/>
                <w:highlight w:val="none"/>
              </w:rPr>
              <w:t>23</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保证金</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不收取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9"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24.1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宋体" w:cs="宋体"/>
                <w:color w:val="auto"/>
                <w:kern w:val="0"/>
                <w:szCs w:val="21"/>
                <w:highlight w:val="none"/>
                <w:u w:val="none" w:color="000000"/>
                <w:lang w:eastAsia="zh-CN"/>
              </w:rPr>
              <w:t>投标文件</w:t>
            </w:r>
            <w:r>
              <w:rPr>
                <w:rFonts w:hint="eastAsia" w:hAnsi="宋体" w:eastAsia="宋体" w:cs="宋体"/>
                <w:color w:val="auto"/>
                <w:kern w:val="0"/>
                <w:szCs w:val="21"/>
                <w:highlight w:val="none"/>
                <w:u w:val="none" w:color="000000"/>
              </w:rPr>
              <w:t>数量</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bCs/>
                <w:color w:val="auto"/>
                <w:szCs w:val="21"/>
                <w:highlight w:val="none"/>
              </w:rPr>
            </w:pPr>
            <w:r>
              <w:rPr>
                <w:rFonts w:hint="eastAsia" w:ascii="宋体" w:hAnsi="宋体" w:eastAsia="Times New Roman" w:cs="宋体"/>
                <w:bCs/>
                <w:color w:val="auto"/>
                <w:szCs w:val="21"/>
                <w:highlight w:val="none"/>
              </w:rPr>
              <w:t>份数：正本1份，副本2份；</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24.2</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签字或盖章要求</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bCs/>
                <w:color w:val="auto"/>
                <w:szCs w:val="21"/>
                <w:highlight w:val="none"/>
              </w:rPr>
            </w:pPr>
            <w:r>
              <w:rPr>
                <w:rFonts w:hint="eastAsia" w:ascii="宋体" w:hAnsi="宋体" w:eastAsia="Times New Roman" w:cs="宋体"/>
                <w:bCs/>
                <w:color w:val="auto"/>
                <w:szCs w:val="21"/>
                <w:highlight w:val="none"/>
                <w:lang w:eastAsia="zh-CN"/>
              </w:rPr>
              <w:t>投标文件</w:t>
            </w:r>
            <w:r>
              <w:rPr>
                <w:rFonts w:hint="eastAsia" w:ascii="宋体" w:hAnsi="宋体" w:eastAsia="Times New Roman" w:cs="宋体"/>
                <w:bCs/>
                <w:color w:val="auto"/>
                <w:szCs w:val="21"/>
                <w:highlight w:val="none"/>
              </w:rPr>
              <w:t>须按格式文件要求签字或盖章，否则经</w:t>
            </w:r>
            <w:r>
              <w:rPr>
                <w:rFonts w:hint="eastAsia" w:ascii="宋体" w:hAnsi="宋体" w:eastAsia="Times New Roman" w:cs="宋体"/>
                <w:color w:val="auto"/>
                <w:szCs w:val="21"/>
                <w:highlight w:val="none"/>
                <w:lang w:eastAsia="zh-CN"/>
              </w:rPr>
              <w:t>评审小组</w:t>
            </w:r>
            <w:r>
              <w:rPr>
                <w:rFonts w:hint="eastAsia" w:ascii="宋体" w:hAnsi="宋体" w:eastAsia="Times New Roman" w:cs="宋体"/>
                <w:bCs/>
                <w:color w:val="auto"/>
                <w:szCs w:val="21"/>
                <w:highlight w:val="none"/>
              </w:rPr>
              <w:t>一致认定后，按照无效响应处理。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63"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25.1</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lang w:eastAsia="zh-CN"/>
              </w:rPr>
              <w:t>投标文件</w:t>
            </w:r>
            <w:r>
              <w:rPr>
                <w:rFonts w:hint="eastAsia" w:ascii="宋体" w:hAnsi="宋体" w:eastAsia="Times New Roman" w:cs="宋体"/>
                <w:color w:val="auto"/>
                <w:szCs w:val="21"/>
                <w:highlight w:val="none"/>
              </w:rPr>
              <w:t>提交截止时间</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Times New Roman" w:hAnsi="Times New Roman" w:eastAsia="Times New Roman" w:cs="Times New Roman"/>
                <w:szCs w:val="20"/>
                <w:highlight w:val="none"/>
              </w:rPr>
            </w:pPr>
            <w:r>
              <w:rPr>
                <w:rFonts w:hint="eastAsia" w:ascii="Times New Roman" w:hAnsi="Times New Roman" w:eastAsia="Times New Roman" w:cs="Times New Roman"/>
                <w:szCs w:val="20"/>
                <w:highlight w:val="none"/>
                <w:lang w:eastAsia="zh-CN"/>
              </w:rPr>
              <w:t>投标文件</w:t>
            </w:r>
            <w:r>
              <w:rPr>
                <w:rFonts w:hint="eastAsia" w:ascii="Times New Roman" w:hAnsi="Times New Roman" w:eastAsia="Times New Roman" w:cs="Times New Roman"/>
                <w:szCs w:val="20"/>
                <w:highlight w:val="none"/>
              </w:rPr>
              <w:t>截止时间：</w:t>
            </w:r>
            <w:r>
              <w:rPr>
                <w:rFonts w:hint="eastAsia" w:ascii="Times New Roman" w:hAnsi="Times New Roman" w:eastAsia="Times New Roman" w:cs="Times New Roman"/>
                <w:szCs w:val="20"/>
                <w:highlight w:val="none"/>
                <w:lang w:eastAsia="zh-CN"/>
              </w:rPr>
              <w:t>2023年</w:t>
            </w:r>
            <w:r>
              <w:rPr>
                <w:rFonts w:hint="eastAsia" w:eastAsia="Times New Roman" w:cs="Times New Roman"/>
                <w:szCs w:val="20"/>
                <w:highlight w:val="none"/>
                <w:lang w:val="en-US" w:eastAsia="zh-CN"/>
              </w:rPr>
              <w:t>12</w:t>
            </w:r>
            <w:r>
              <w:rPr>
                <w:rFonts w:hint="eastAsia" w:ascii="Times New Roman" w:hAnsi="Times New Roman" w:eastAsia="Times New Roman" w:cs="Times New Roman"/>
                <w:szCs w:val="20"/>
                <w:highlight w:val="none"/>
                <w:lang w:eastAsia="zh-CN"/>
              </w:rPr>
              <w:t>月</w:t>
            </w:r>
            <w:r>
              <w:rPr>
                <w:rFonts w:hint="eastAsia" w:eastAsia="Times New Roman" w:cs="Times New Roman"/>
                <w:szCs w:val="20"/>
                <w:highlight w:val="none"/>
                <w:lang w:val="en-US" w:eastAsia="zh-CN"/>
              </w:rPr>
              <w:t>25</w:t>
            </w:r>
            <w:r>
              <w:rPr>
                <w:rFonts w:hint="eastAsia" w:ascii="Times New Roman" w:hAnsi="Times New Roman" w:eastAsia="Times New Roman" w:cs="Times New Roman"/>
                <w:szCs w:val="20"/>
                <w:highlight w:val="none"/>
                <w:lang w:eastAsia="zh-CN"/>
              </w:rPr>
              <w:t>日</w:t>
            </w:r>
            <w:r>
              <w:rPr>
                <w:rFonts w:hint="eastAsia" w:eastAsia="Times New Roman" w:cs="Times New Roman"/>
                <w:szCs w:val="20"/>
                <w:highlight w:val="none"/>
                <w:lang w:val="en-US" w:eastAsia="zh-CN"/>
              </w:rPr>
              <w:t>15</w:t>
            </w:r>
            <w:r>
              <w:rPr>
                <w:rFonts w:hint="eastAsia" w:ascii="Times New Roman" w:hAnsi="Times New Roman" w:eastAsia="Times New Roman" w:cs="Times New Roman"/>
                <w:szCs w:val="20"/>
                <w:highlight w:val="none"/>
                <w:lang w:val="en-US" w:eastAsia="zh-CN"/>
              </w:rPr>
              <w:t>点</w:t>
            </w:r>
            <w:r>
              <w:rPr>
                <w:rFonts w:hint="eastAsia" w:eastAsia="Times New Roman" w:cs="Times New Roman"/>
                <w:szCs w:val="20"/>
                <w:highlight w:val="none"/>
                <w:lang w:val="en-US" w:eastAsia="zh-CN"/>
              </w:rPr>
              <w:t>00</w:t>
            </w:r>
            <w:r>
              <w:rPr>
                <w:rFonts w:hint="eastAsia" w:ascii="Times New Roman" w:hAnsi="Times New Roman" w:eastAsia="Times New Roman" w:cs="Times New Roman"/>
                <w:szCs w:val="20"/>
                <w:highlight w:val="none"/>
                <w:lang w:val="en-US" w:eastAsia="zh-CN"/>
              </w:rPr>
              <w:t>分</w:t>
            </w:r>
            <w:r>
              <w:rPr>
                <w:rFonts w:hint="eastAsia" w:ascii="Times New Roman" w:hAnsi="Times New Roman" w:eastAsia="Times New Roman" w:cs="Times New Roman"/>
                <w:szCs w:val="20"/>
                <w:highlight w:val="none"/>
              </w:rPr>
              <w:t>（北京时间）</w:t>
            </w:r>
          </w:p>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default" w:ascii="Times New Roman" w:hAnsi="Times New Roman" w:eastAsia="宋体" w:cs="Times New Roman"/>
                <w:szCs w:val="20"/>
                <w:lang w:val="en-US" w:eastAsia="zh-CN"/>
              </w:rPr>
            </w:pPr>
            <w:r>
              <w:rPr>
                <w:rFonts w:hint="eastAsia" w:ascii="宋体" w:hAnsi="宋体" w:eastAsia="Times New Roman" w:cs="宋体"/>
                <w:color w:val="auto"/>
                <w:szCs w:val="21"/>
                <w:lang w:val="en-US" w:eastAsia="zh-CN"/>
              </w:rPr>
              <w:t>如</w:t>
            </w:r>
            <w:r>
              <w:rPr>
                <w:rFonts w:hint="eastAsia" w:ascii="宋体" w:hAnsi="宋体" w:eastAsia="Times New Roman" w:cs="宋体"/>
                <w:color w:val="auto"/>
                <w:szCs w:val="21"/>
              </w:rPr>
              <w:t>法定代表人参加开标会议</w:t>
            </w:r>
            <w:r>
              <w:rPr>
                <w:rFonts w:hint="eastAsia" w:ascii="宋体" w:hAnsi="宋体" w:eastAsia="Times New Roman" w:cs="宋体"/>
                <w:color w:val="auto"/>
                <w:szCs w:val="21"/>
                <w:lang w:val="en-US" w:eastAsia="zh-CN"/>
              </w:rPr>
              <w:t>必须</w:t>
            </w:r>
            <w:r>
              <w:rPr>
                <w:rFonts w:hint="eastAsia" w:ascii="宋体" w:hAnsi="宋体" w:eastAsia="Times New Roman" w:cs="宋体"/>
                <w:color w:val="auto"/>
                <w:szCs w:val="21"/>
              </w:rPr>
              <w:t>携带有效的法定代表人身份证明原件和本人身份证</w:t>
            </w:r>
            <w:r>
              <w:rPr>
                <w:rFonts w:hint="eastAsia" w:ascii="宋体" w:hAnsi="宋体" w:eastAsia="Times New Roman" w:cs="宋体"/>
                <w:color w:val="auto"/>
                <w:szCs w:val="21"/>
                <w:lang w:val="en-US" w:eastAsia="zh-CN"/>
              </w:rPr>
              <w:t>原件</w:t>
            </w:r>
            <w:r>
              <w:rPr>
                <w:rFonts w:hint="eastAsia" w:ascii="宋体" w:hAnsi="宋体" w:eastAsia="Times New Roman" w:cs="宋体"/>
                <w:color w:val="auto"/>
                <w:szCs w:val="21"/>
              </w:rPr>
              <w:t>；</w:t>
            </w:r>
            <w:r>
              <w:rPr>
                <w:rFonts w:hint="eastAsia" w:ascii="宋体" w:hAnsi="宋体" w:eastAsia="Times New Roman" w:cs="宋体"/>
                <w:color w:val="auto"/>
                <w:szCs w:val="21"/>
                <w:lang w:val="en-US" w:eastAsia="zh-CN"/>
              </w:rPr>
              <w:t>如</w:t>
            </w:r>
            <w:r>
              <w:rPr>
                <w:rFonts w:hint="eastAsia" w:ascii="宋体" w:hAnsi="宋体" w:eastAsia="Times New Roman" w:cs="宋体"/>
                <w:color w:val="auto"/>
                <w:szCs w:val="21"/>
              </w:rPr>
              <w:t>委托代理人参加开标会议</w:t>
            </w:r>
            <w:r>
              <w:rPr>
                <w:rFonts w:hint="eastAsia" w:ascii="宋体" w:hAnsi="宋体" w:eastAsia="Times New Roman" w:cs="宋体"/>
                <w:color w:val="auto"/>
                <w:szCs w:val="21"/>
                <w:lang w:val="en-US" w:eastAsia="zh-CN"/>
              </w:rPr>
              <w:t>必须</w:t>
            </w:r>
            <w:r>
              <w:rPr>
                <w:rFonts w:hint="eastAsia" w:ascii="宋体" w:hAnsi="宋体" w:eastAsia="Times New Roman" w:cs="宋体"/>
                <w:color w:val="auto"/>
                <w:szCs w:val="21"/>
              </w:rPr>
              <w:t>携带有效的法定代表人授权书和本人身份证；</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3"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宋体" w:cs="宋体"/>
                <w:color w:val="auto"/>
                <w:szCs w:val="21"/>
                <w:highlight w:val="none"/>
              </w:rPr>
            </w:pPr>
            <w:r>
              <w:rPr>
                <w:rFonts w:hint="eastAsia" w:ascii="宋体" w:hAnsi="宋体" w:eastAsia="Times New Roman" w:cs="宋体"/>
                <w:color w:val="auto"/>
                <w:szCs w:val="21"/>
                <w:highlight w:val="none"/>
              </w:rPr>
              <w:t>26.1</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宋体" w:cs="宋体"/>
                <w:color w:val="auto"/>
                <w:szCs w:val="21"/>
                <w:highlight w:val="none"/>
                <w:lang w:eastAsia="zh-CN"/>
              </w:rPr>
            </w:pPr>
            <w:r>
              <w:rPr>
                <w:rFonts w:hint="eastAsia" w:ascii="宋体" w:hAnsi="宋体" w:eastAsia="Times New Roman" w:cs="宋体"/>
                <w:color w:val="auto"/>
                <w:szCs w:val="21"/>
                <w:highlight w:val="none"/>
              </w:rPr>
              <w:t>是否退还</w:t>
            </w:r>
            <w:r>
              <w:rPr>
                <w:rFonts w:hint="eastAsia" w:ascii="宋体" w:hAnsi="宋体" w:eastAsia="Times New Roman" w:cs="宋体"/>
                <w:color w:val="auto"/>
                <w:szCs w:val="21"/>
                <w:highlight w:val="none"/>
                <w:lang w:eastAsia="zh-CN"/>
              </w:rPr>
              <w:t>投标文件</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27.1</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开启时间及地点</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Times New Roman" w:cs="宋体"/>
                <w:b/>
                <w:bCs/>
                <w:color w:val="auto"/>
                <w:szCs w:val="21"/>
                <w:highlight w:val="none"/>
              </w:rPr>
            </w:pPr>
            <w:r>
              <w:rPr>
                <w:rFonts w:hint="eastAsia" w:ascii="宋体" w:hAnsi="宋体" w:eastAsia="Times New Roman" w:cs="宋体"/>
                <w:color w:val="auto"/>
                <w:szCs w:val="21"/>
                <w:highlight w:val="none"/>
              </w:rPr>
              <w:t>开启时间：</w:t>
            </w:r>
            <w:r>
              <w:rPr>
                <w:rFonts w:hint="eastAsia" w:ascii="宋体" w:hAnsi="宋体" w:eastAsia="宋体" w:cs="宋体"/>
                <w:b/>
                <w:bCs/>
                <w:color w:val="auto"/>
                <w:szCs w:val="21"/>
                <w:highlight w:val="none"/>
                <w:lang w:eastAsia="zh-CN"/>
              </w:rPr>
              <w:t>2023年</w:t>
            </w:r>
            <w:r>
              <w:rPr>
                <w:rFonts w:hint="eastAsia" w:ascii="宋体" w:hAnsi="宋体" w:cs="宋体"/>
                <w:b/>
                <w:bCs/>
                <w:color w:val="auto"/>
                <w:szCs w:val="21"/>
                <w:highlight w:val="none"/>
                <w:lang w:val="en-US" w:eastAsia="zh-CN"/>
              </w:rPr>
              <w:t>12</w:t>
            </w:r>
            <w:r>
              <w:rPr>
                <w:rFonts w:hint="eastAsia" w:ascii="宋体" w:hAnsi="宋体" w:eastAsia="宋体" w:cs="宋体"/>
                <w:b/>
                <w:bCs/>
                <w:color w:val="auto"/>
                <w:szCs w:val="21"/>
                <w:highlight w:val="none"/>
                <w:lang w:eastAsia="zh-CN"/>
              </w:rPr>
              <w:t>月</w:t>
            </w:r>
            <w:r>
              <w:rPr>
                <w:rFonts w:hint="eastAsia" w:ascii="宋体" w:hAnsi="宋体" w:cs="宋体"/>
                <w:b/>
                <w:bCs/>
                <w:color w:val="auto"/>
                <w:szCs w:val="21"/>
                <w:highlight w:val="none"/>
                <w:lang w:val="en-US" w:eastAsia="zh-CN"/>
              </w:rPr>
              <w:t>25</w:t>
            </w:r>
            <w:r>
              <w:rPr>
                <w:rFonts w:hint="eastAsia" w:ascii="宋体" w:hAnsi="宋体" w:eastAsia="宋体" w:cs="宋体"/>
                <w:b/>
                <w:bCs/>
                <w:color w:val="auto"/>
                <w:szCs w:val="21"/>
                <w:highlight w:val="none"/>
                <w:lang w:eastAsia="zh-CN"/>
              </w:rPr>
              <w:t>日</w:t>
            </w:r>
            <w:r>
              <w:rPr>
                <w:rFonts w:hint="eastAsia" w:ascii="宋体" w:hAnsi="宋体" w:cs="宋体"/>
                <w:b/>
                <w:bCs/>
                <w:color w:val="auto"/>
                <w:szCs w:val="21"/>
                <w:highlight w:val="none"/>
                <w:lang w:val="en-US" w:eastAsia="zh-CN"/>
              </w:rPr>
              <w:t>15</w:t>
            </w:r>
            <w:r>
              <w:rPr>
                <w:rFonts w:hint="eastAsia" w:ascii="宋体" w:hAnsi="宋体" w:eastAsia="宋体" w:cs="宋体"/>
                <w:b/>
                <w:bCs/>
                <w:color w:val="auto"/>
                <w:szCs w:val="21"/>
                <w:highlight w:val="none"/>
                <w:lang w:val="en-US" w:eastAsia="zh-CN"/>
              </w:rPr>
              <w:t>点</w:t>
            </w:r>
            <w:r>
              <w:rPr>
                <w:rFonts w:hint="eastAsia" w:ascii="宋体" w:hAnsi="宋体" w:cs="宋体"/>
                <w:b/>
                <w:bCs/>
                <w:color w:val="auto"/>
                <w:szCs w:val="21"/>
                <w:highlight w:val="none"/>
                <w:lang w:val="en-US" w:eastAsia="zh-CN"/>
              </w:rPr>
              <w:t>00</w:t>
            </w:r>
            <w:r>
              <w:rPr>
                <w:rFonts w:hint="eastAsia" w:ascii="宋体" w:hAnsi="宋体" w:eastAsia="宋体" w:cs="宋体"/>
                <w:b/>
                <w:bCs/>
                <w:color w:val="auto"/>
                <w:szCs w:val="21"/>
                <w:highlight w:val="none"/>
                <w:lang w:val="en-US" w:eastAsia="zh-CN"/>
              </w:rPr>
              <w:t>分</w:t>
            </w:r>
            <w:r>
              <w:rPr>
                <w:rFonts w:hint="eastAsia" w:ascii="宋体" w:hAnsi="宋体" w:eastAsia="宋体" w:cs="宋体"/>
                <w:b/>
                <w:bCs/>
                <w:color w:val="auto"/>
                <w:szCs w:val="21"/>
                <w:highlight w:val="none"/>
              </w:rPr>
              <w:t>（北京</w:t>
            </w:r>
            <w:r>
              <w:rPr>
                <w:rFonts w:hint="eastAsia" w:ascii="宋体" w:hAnsi="宋体" w:eastAsia="Times New Roman" w:cs="宋体"/>
                <w:b/>
                <w:bCs/>
                <w:color w:val="auto"/>
                <w:szCs w:val="21"/>
                <w:highlight w:val="none"/>
              </w:rPr>
              <w:t>时间）</w:t>
            </w:r>
          </w:p>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宋体" w:cs="宋体"/>
                <w:color w:val="auto"/>
                <w:szCs w:val="21"/>
                <w:highlight w:val="none"/>
                <w:lang w:eastAsia="zh-CN"/>
              </w:rPr>
            </w:pPr>
            <w:r>
              <w:rPr>
                <w:rFonts w:hint="eastAsia" w:ascii="宋体" w:hAnsi="宋体" w:eastAsia="Times New Roman" w:cs="宋体"/>
                <w:color w:val="auto"/>
                <w:szCs w:val="21"/>
                <w:highlight w:val="none"/>
              </w:rPr>
              <w:t>开标地点：滁州市琅琊区经济技术开发区苏州南路789号</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27.3</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开标程序</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开标顺序：</w:t>
            </w:r>
            <w:r>
              <w:rPr>
                <w:rFonts w:hint="eastAsia" w:ascii="宋体" w:hAnsi="宋体" w:eastAsia="Times New Roman" w:cs="宋体"/>
                <w:color w:val="auto"/>
                <w:szCs w:val="21"/>
                <w:highlight w:val="none"/>
                <w:lang w:eastAsia="zh-CN"/>
              </w:rPr>
              <w:t>投标文件</w:t>
            </w:r>
            <w:r>
              <w:rPr>
                <w:rFonts w:hint="eastAsia" w:ascii="宋体" w:hAnsi="宋体" w:eastAsia="Times New Roman" w:cs="宋体"/>
                <w:color w:val="auto"/>
                <w:szCs w:val="21"/>
                <w:highlight w:val="none"/>
                <w:lang w:val="en-US" w:eastAsia="zh-CN"/>
              </w:rPr>
              <w:t>拆解</w:t>
            </w:r>
            <w:r>
              <w:rPr>
                <w:rFonts w:hint="eastAsia" w:ascii="宋体" w:hAnsi="宋体" w:eastAsia="Times New Roman" w:cs="宋体"/>
                <w:color w:val="auto"/>
                <w:szCs w:val="21"/>
                <w:highlight w:val="none"/>
              </w:rPr>
              <w:t>后，由</w:t>
            </w:r>
            <w:r>
              <w:rPr>
                <w:rFonts w:hint="eastAsia" w:ascii="宋体" w:hAnsi="宋体" w:eastAsia="Times New Roman" w:cs="宋体"/>
                <w:color w:val="auto"/>
                <w:szCs w:val="21"/>
                <w:highlight w:val="none"/>
                <w:lang w:val="en-US" w:eastAsia="zh-CN"/>
              </w:rPr>
              <w:t>评审小组</w:t>
            </w:r>
            <w:r>
              <w:rPr>
                <w:rFonts w:hint="eastAsia" w:ascii="宋体" w:hAnsi="宋体" w:eastAsia="Times New Roman" w:cs="宋体"/>
                <w:color w:val="auto"/>
                <w:szCs w:val="21"/>
                <w:highlight w:val="none"/>
              </w:rPr>
              <w:t>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28.1</w:t>
            </w:r>
          </w:p>
        </w:tc>
        <w:tc>
          <w:tcPr>
            <w:tcW w:w="2114" w:type="dxa"/>
            <w:gridSpan w:val="2"/>
            <w:noWrap w:val="0"/>
            <w:vAlign w:val="center"/>
          </w:tcPr>
          <w:p>
            <w:pPr>
              <w:pStyle w:val="298"/>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Style w:val="104"/>
                <w:rFonts w:hint="eastAsia" w:hAnsi="宋体" w:eastAsia="宋体" w:cs="宋体"/>
                <w:b/>
                <w:bCs/>
                <w:color w:val="auto"/>
                <w:szCs w:val="21"/>
                <w:highlight w:val="none"/>
                <w:lang w:val="en-US" w:eastAsia="zh-CN"/>
              </w:rPr>
              <w:t>评审</w:t>
            </w:r>
            <w:r>
              <w:rPr>
                <w:rStyle w:val="104"/>
                <w:rFonts w:hint="eastAsia" w:hAnsi="宋体" w:eastAsia="宋体" w:cs="宋体"/>
                <w:b/>
                <w:bCs/>
                <w:color w:val="auto"/>
                <w:szCs w:val="21"/>
                <w:highlight w:val="none"/>
              </w:rPr>
              <w:t>小组的组建</w:t>
            </w:r>
          </w:p>
        </w:tc>
        <w:tc>
          <w:tcPr>
            <w:tcW w:w="6830" w:type="dxa"/>
            <w:noWrap w:val="0"/>
            <w:vAlign w:val="top"/>
          </w:tcPr>
          <w:p>
            <w:pPr>
              <w:pStyle w:val="298"/>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hAnsi="宋体" w:eastAsia="Times New Roman" w:cs="宋体"/>
                <w:color w:val="auto"/>
                <w:szCs w:val="21"/>
                <w:highlight w:val="none"/>
              </w:rPr>
            </w:pPr>
            <w:r>
              <w:rPr>
                <w:rFonts w:hint="eastAsia" w:hAnsi="Times New Roman" w:eastAsia="Times New Roman" w:cs="Times New Roman"/>
                <w:color w:val="auto"/>
                <w:szCs w:val="21"/>
                <w:highlight w:val="none"/>
                <w:lang w:eastAsia="zh-CN"/>
              </w:rPr>
              <w:t>评审</w:t>
            </w:r>
            <w:r>
              <w:rPr>
                <w:rFonts w:hint="eastAsia" w:hAnsi="Times New Roman" w:eastAsia="Times New Roman" w:cs="Times New Roman"/>
                <w:color w:val="auto"/>
                <w:szCs w:val="21"/>
                <w:highlight w:val="none"/>
                <w:lang w:val="en-US" w:eastAsia="zh-CN"/>
              </w:rPr>
              <w:t>小组</w:t>
            </w:r>
            <w:r>
              <w:rPr>
                <w:rFonts w:hint="eastAsia" w:hAnsi="Times New Roman" w:eastAsia="Times New Roman" w:cs="Times New Roman"/>
                <w:color w:val="auto"/>
                <w:szCs w:val="21"/>
                <w:highlight w:val="none"/>
              </w:rPr>
              <w:t>由采购人</w:t>
            </w:r>
            <w:r>
              <w:rPr>
                <w:rFonts w:hint="eastAsia" w:eastAsia="宋体" w:cs="Times New Roman"/>
                <w:color w:val="auto"/>
                <w:szCs w:val="21"/>
                <w:highlight w:val="none"/>
                <w:lang w:val="en-US" w:eastAsia="zh-CN"/>
              </w:rPr>
              <w:t>自行</w:t>
            </w:r>
            <w:r>
              <w:rPr>
                <w:rFonts w:hint="eastAsia" w:hAnsi="Times New Roman" w:eastAsia="Times New Roman" w:cs="Times New Roman"/>
                <w:color w:val="auto"/>
                <w:szCs w:val="21"/>
                <w:highlight w:val="none"/>
              </w:rPr>
              <w:t>组建；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 w:hRule="atLeast"/>
        </w:trPr>
        <w:tc>
          <w:tcPr>
            <w:tcW w:w="1036"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center"/>
              <w:rPr>
                <w:rFonts w:hint="eastAsia" w:hAnsi="宋体" w:eastAsia="Times New Roman" w:cs="宋体"/>
                <w:color w:val="auto"/>
                <w:szCs w:val="21"/>
                <w:highlight w:val="none"/>
              </w:rPr>
            </w:pPr>
            <w:r>
              <w:rPr>
                <w:rFonts w:hint="eastAsia" w:hAnsi="宋体" w:eastAsia="Times New Roman" w:cs="宋体"/>
                <w:color w:val="auto"/>
                <w:szCs w:val="21"/>
                <w:highlight w:val="none"/>
              </w:rPr>
              <w:t>30.1.1</w:t>
            </w:r>
          </w:p>
        </w:tc>
        <w:tc>
          <w:tcPr>
            <w:tcW w:w="2114" w:type="dxa"/>
            <w:gridSpan w:val="2"/>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jc w:val="left"/>
              <w:rPr>
                <w:rFonts w:hint="eastAsia" w:hAnsi="宋体" w:eastAsia="Times New Roman" w:cs="宋体"/>
                <w:color w:val="auto"/>
                <w:szCs w:val="21"/>
                <w:highlight w:val="none"/>
              </w:rPr>
            </w:pPr>
            <w:r>
              <w:rPr>
                <w:rFonts w:hint="eastAsia" w:hAnsi="宋体" w:eastAsia="宋体" w:cs="宋体"/>
                <w:color w:val="auto"/>
                <w:szCs w:val="21"/>
                <w:highlight w:val="none"/>
              </w:rPr>
              <w:t>是否授权</w:t>
            </w:r>
            <w:r>
              <w:rPr>
                <w:rFonts w:hint="eastAsia" w:hAnsi="宋体" w:eastAsia="宋体" w:cs="宋体"/>
                <w:color w:val="auto"/>
                <w:szCs w:val="21"/>
                <w:highlight w:val="none"/>
                <w:lang w:eastAsia="zh-CN"/>
              </w:rPr>
              <w:t>评审小组</w:t>
            </w:r>
            <w:r>
              <w:rPr>
                <w:rFonts w:hint="eastAsia" w:hAnsi="宋体" w:eastAsia="宋体" w:cs="宋体"/>
                <w:color w:val="auto"/>
                <w:szCs w:val="21"/>
                <w:highlight w:val="none"/>
              </w:rPr>
              <w:t>确定</w:t>
            </w:r>
            <w:r>
              <w:rPr>
                <w:rFonts w:hint="eastAsia" w:hAnsi="宋体" w:eastAsia="宋体" w:cs="宋体"/>
                <w:color w:val="auto"/>
                <w:szCs w:val="21"/>
                <w:highlight w:val="none"/>
                <w:lang w:val="en-US" w:eastAsia="zh-CN"/>
              </w:rPr>
              <w:t>中标</w:t>
            </w:r>
            <w:r>
              <w:rPr>
                <w:rFonts w:hint="eastAsia" w:hAnsi="宋体" w:eastAsia="宋体" w:cs="宋体"/>
                <w:color w:val="auto"/>
                <w:szCs w:val="21"/>
                <w:highlight w:val="none"/>
              </w:rPr>
              <w:t>候选人</w:t>
            </w:r>
          </w:p>
        </w:tc>
        <w:tc>
          <w:tcPr>
            <w:tcW w:w="6830" w:type="dxa"/>
            <w:noWrap w:val="0"/>
            <w:vAlign w:val="center"/>
          </w:tcPr>
          <w:p>
            <w:pPr>
              <w:pStyle w:val="25"/>
              <w:keepNext w:val="0"/>
              <w:keepLines w:val="0"/>
              <w:pageBreakBefore w:val="0"/>
              <w:suppressLineNumbers w:val="0"/>
              <w:kinsoku/>
              <w:overflowPunct/>
              <w:autoSpaceDE/>
              <w:autoSpaceDN/>
              <w:bidi w:val="0"/>
              <w:spacing w:before="0" w:beforeAutospacing="0" w:after="0" w:afterAutospacing="0" w:line="380" w:lineRule="exact"/>
              <w:ind w:left="0" w:right="0"/>
              <w:rPr>
                <w:rFonts w:hint="eastAsia" w:hAnsi="宋体" w:eastAsia="Times New Roman" w:cs="宋体"/>
                <w:color w:val="auto"/>
                <w:szCs w:val="21"/>
                <w:highlight w:val="none"/>
              </w:rPr>
            </w:pPr>
            <w:r>
              <w:rPr>
                <w:rFonts w:hint="eastAsia" w:hAnsi="宋体" w:eastAsia="宋体" w:cs="宋体"/>
                <w:color w:val="auto"/>
                <w:szCs w:val="21"/>
                <w:highlight w:val="none"/>
              </w:rPr>
              <w:t>是，</w:t>
            </w:r>
            <w:r>
              <w:rPr>
                <w:rFonts w:hint="eastAsia" w:hAnsi="宋体" w:eastAsia="宋体" w:cs="宋体"/>
                <w:color w:val="auto"/>
                <w:szCs w:val="21"/>
                <w:highlight w:val="none"/>
                <w:lang w:eastAsia="zh-CN"/>
              </w:rPr>
              <w:t>评审小组</w:t>
            </w:r>
            <w:r>
              <w:rPr>
                <w:rFonts w:hint="eastAsia" w:hAnsi="宋体" w:eastAsia="宋体" w:cs="宋体"/>
                <w:color w:val="auto"/>
                <w:szCs w:val="21"/>
                <w:highlight w:val="none"/>
              </w:rPr>
              <w:t>推荐</w:t>
            </w:r>
            <w:r>
              <w:rPr>
                <w:rFonts w:hint="eastAsia" w:hAnsi="宋体" w:eastAsia="宋体" w:cs="宋体"/>
                <w:color w:val="auto"/>
                <w:szCs w:val="21"/>
                <w:highlight w:val="none"/>
                <w:u w:val="single"/>
              </w:rPr>
              <w:t xml:space="preserve"> </w:t>
            </w:r>
            <w:r>
              <w:rPr>
                <w:rFonts w:hint="eastAsia" w:hAnsi="宋体" w:cs="宋体"/>
                <w:color w:val="auto"/>
                <w:szCs w:val="21"/>
                <w:highlight w:val="none"/>
                <w:u w:val="single"/>
                <w:lang w:val="en-US" w:eastAsia="zh-CN"/>
              </w:rPr>
              <w:t>2</w:t>
            </w:r>
            <w:r>
              <w:rPr>
                <w:rFonts w:hint="eastAsia" w:hAnsi="宋体" w:eastAsia="宋体" w:cs="宋体"/>
                <w:color w:val="auto"/>
                <w:szCs w:val="21"/>
                <w:highlight w:val="none"/>
                <w:u w:val="single"/>
              </w:rPr>
              <w:t xml:space="preserve"> </w:t>
            </w:r>
            <w:r>
              <w:rPr>
                <w:rFonts w:hint="eastAsia" w:hAnsi="宋体" w:eastAsia="宋体" w:cs="宋体"/>
                <w:color w:val="auto"/>
                <w:szCs w:val="21"/>
                <w:highlight w:val="none"/>
              </w:rPr>
              <w:t>名</w:t>
            </w:r>
            <w:r>
              <w:rPr>
                <w:rFonts w:hint="eastAsia" w:hAnsi="宋体" w:eastAsia="宋体" w:cs="宋体"/>
                <w:color w:val="auto"/>
                <w:szCs w:val="21"/>
                <w:highlight w:val="none"/>
                <w:lang w:eastAsia="zh-CN"/>
              </w:rPr>
              <w:t>中标候选人</w:t>
            </w:r>
            <w:r>
              <w:rPr>
                <w:rFonts w:hint="eastAsia" w:hAnsi="宋体" w:eastAsia="宋体" w:cs="宋体"/>
                <w:color w:val="auto"/>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5"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30.2</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lang w:val="en-US" w:eastAsia="zh-CN"/>
              </w:rPr>
              <w:t>中标</w:t>
            </w:r>
            <w:r>
              <w:rPr>
                <w:rFonts w:hint="eastAsia" w:ascii="宋体" w:hAnsi="宋体" w:eastAsia="Times New Roman" w:cs="宋体"/>
                <w:color w:val="auto"/>
                <w:szCs w:val="21"/>
                <w:highlight w:val="none"/>
              </w:rPr>
              <w:t>通知书</w:t>
            </w:r>
          </w:p>
        </w:tc>
        <w:tc>
          <w:tcPr>
            <w:tcW w:w="6830"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宋体" w:cs="宋体"/>
                <w:color w:val="auto"/>
                <w:szCs w:val="21"/>
                <w:highlight w:val="none"/>
                <w:lang w:eastAsia="zh-CN"/>
              </w:rPr>
            </w:pPr>
            <w:r>
              <w:rPr>
                <w:rFonts w:hint="eastAsia" w:ascii="宋体" w:hAnsi="宋体" w:eastAsia="Times New Roman" w:cs="宋体"/>
                <w:color w:val="auto"/>
                <w:szCs w:val="21"/>
                <w:highlight w:val="none"/>
                <w:lang w:val="en-US" w:eastAsia="zh-CN"/>
              </w:rPr>
              <w:t>中标</w:t>
            </w:r>
            <w:r>
              <w:rPr>
                <w:rFonts w:hint="eastAsia" w:ascii="宋体" w:hAnsi="宋体" w:eastAsia="Times New Roman" w:cs="宋体"/>
                <w:color w:val="auto"/>
                <w:szCs w:val="21"/>
                <w:highlight w:val="none"/>
              </w:rPr>
              <w:t>通知书须</w:t>
            </w:r>
            <w:r>
              <w:rPr>
                <w:rFonts w:hint="eastAsia" w:ascii="宋体" w:hAnsi="宋体" w:eastAsia="宋体" w:cs="宋体"/>
                <w:color w:val="auto"/>
                <w:szCs w:val="21"/>
                <w:highlight w:val="none"/>
              </w:rPr>
              <w:t>加盖</w:t>
            </w:r>
            <w:r>
              <w:rPr>
                <w:rFonts w:hint="eastAsia" w:ascii="宋体" w:hAnsi="宋体" w:eastAsia="宋体" w:cs="宋体"/>
                <w:color w:val="auto"/>
                <w:szCs w:val="21"/>
                <w:highlight w:val="none"/>
                <w:lang w:val="en-US" w:eastAsia="zh-CN"/>
              </w:rPr>
              <w:t>采购人公章</w:t>
            </w:r>
            <w:r>
              <w:rPr>
                <w:rFonts w:hint="eastAsia" w:ascii="宋体" w:hAnsi="宋体" w:eastAsia="宋体" w:cs="宋体"/>
                <w:color w:val="auto"/>
                <w:szCs w:val="21"/>
                <w:highlight w:val="none"/>
              </w:rPr>
              <w:t>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4"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34.1</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textAlignment w:val="auto"/>
              <w:rPr>
                <w:rFonts w:hint="eastAsia" w:ascii="宋体" w:hAnsi="宋体" w:eastAsia="Times New Roman" w:cs="宋体"/>
                <w:color w:val="auto"/>
                <w:szCs w:val="21"/>
                <w:highlight w:val="none"/>
              </w:rPr>
            </w:pPr>
            <w:r>
              <w:rPr>
                <w:rFonts w:hint="eastAsia" w:ascii="宋体" w:hAnsi="宋体" w:eastAsia="宋体" w:cs="宋体"/>
                <w:color w:val="auto"/>
                <w:szCs w:val="21"/>
                <w:highlight w:val="none"/>
              </w:rPr>
              <w:t>履约担保</w:t>
            </w:r>
          </w:p>
        </w:tc>
        <w:tc>
          <w:tcPr>
            <w:tcW w:w="6830" w:type="dxa"/>
            <w:noWrap w:val="0"/>
            <w:vAlign w:val="center"/>
          </w:tcPr>
          <w:p>
            <w:pPr>
              <w:keepNext w:val="0"/>
              <w:keepLines w:val="0"/>
              <w:pageBreakBefore w:val="0"/>
              <w:widowControl/>
              <w:suppressLineNumbers w:val="0"/>
              <w:tabs>
                <w:tab w:val="left" w:pos="5034"/>
              </w:tabs>
              <w:kinsoku/>
              <w:overflowPunct/>
              <w:autoSpaceDE/>
              <w:autoSpaceDN/>
              <w:bidi w:val="0"/>
              <w:spacing w:before="0" w:beforeAutospacing="0" w:after="0" w:afterAutospacing="0" w:line="380" w:lineRule="exact"/>
              <w:ind w:left="0" w:right="0"/>
              <w:rPr>
                <w:rFonts w:hint="default" w:ascii="Times New Roman" w:hAnsi="Times New Roman" w:eastAsia="宋体" w:cs="Times New Roman"/>
                <w:color w:val="auto"/>
                <w:szCs w:val="20"/>
                <w:highlight w:val="none"/>
              </w:rPr>
            </w:pPr>
            <w:r>
              <w:rPr>
                <w:rFonts w:hint="eastAsia" w:ascii="宋体" w:hAnsi="宋体" w:eastAsia="Times New Roman" w:cs="Times New Roman"/>
                <w:color w:val="auto"/>
                <w:szCs w:val="21"/>
                <w:highlight w:val="none"/>
              </w:rPr>
              <w:t>是否收取履约担保：□</w:t>
            </w:r>
            <w:r>
              <w:rPr>
                <w:rFonts w:hint="eastAsia" w:ascii="Times New Roman" w:hAnsi="Times New Roman" w:eastAsia="Times New Roman" w:cs="Times New Roman"/>
                <w:color w:val="auto"/>
                <w:szCs w:val="20"/>
                <w:highlight w:val="none"/>
              </w:rPr>
              <w:t>收取，</w:t>
            </w:r>
            <w:r>
              <w:rPr>
                <w:rFonts w:hint="eastAsia" w:ascii="MS Gothic" w:hAnsi="MS Gothic" w:eastAsia="MS Gothic" w:cs="MS Gothic"/>
                <w:color w:val="auto"/>
                <w:szCs w:val="20"/>
                <w:highlight w:val="none"/>
              </w:rPr>
              <w:t>☑</w:t>
            </w:r>
            <w:r>
              <w:rPr>
                <w:rFonts w:hint="eastAsia" w:ascii="Times New Roman" w:hAnsi="Times New Roman" w:eastAsia="Times New Roman" w:cs="Times New Roman"/>
                <w:color w:val="auto"/>
                <w:szCs w:val="20"/>
                <w:highlight w:val="none"/>
              </w:rPr>
              <w:t>不收取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4"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Times New Roman" w:eastAsia="Times New Roman" w:cs="宋体"/>
                <w:color w:val="auto"/>
                <w:szCs w:val="21"/>
                <w:highlight w:val="none"/>
              </w:rPr>
              <w:t>39.2</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宋体" w:hAnsi="宋体" w:eastAsia="宋体" w:cs="宋体"/>
                <w:color w:val="auto"/>
                <w:szCs w:val="21"/>
                <w:highlight w:val="none"/>
              </w:rPr>
            </w:pPr>
            <w:r>
              <w:rPr>
                <w:rFonts w:hint="eastAsia" w:ascii="Times New Roman" w:hAnsi="Times New Roman" w:eastAsia="Times New Roman" w:cs="Times New Roman"/>
                <w:color w:val="auto"/>
                <w:szCs w:val="21"/>
                <w:highlight w:val="none"/>
              </w:rPr>
              <w:t>供应商对</w:t>
            </w:r>
            <w:r>
              <w:rPr>
                <w:rFonts w:hint="eastAsia" w:ascii="Times New Roman" w:hAnsi="Times New Roman" w:eastAsia="Times New Roman" w:cs="Times New Roman"/>
                <w:color w:val="auto"/>
                <w:szCs w:val="21"/>
                <w:highlight w:val="none"/>
                <w:lang w:eastAsia="zh-CN"/>
              </w:rPr>
              <w:t>招标文件</w:t>
            </w:r>
            <w:r>
              <w:rPr>
                <w:rFonts w:hint="eastAsia" w:ascii="Times New Roman" w:hAnsi="Times New Roman" w:eastAsia="Times New Roman" w:cs="Times New Roman"/>
                <w:color w:val="auto"/>
                <w:szCs w:val="21"/>
                <w:highlight w:val="none"/>
              </w:rPr>
              <w:t>提出</w:t>
            </w:r>
            <w:r>
              <w:rPr>
                <w:rFonts w:hint="eastAsia" w:ascii="Times New Roman" w:hAnsi="Times New Roman" w:eastAsia="Times New Roman" w:cs="Times New Roman"/>
                <w:color w:val="auto"/>
                <w:szCs w:val="21"/>
                <w:highlight w:val="none"/>
                <w:u w:val="single"/>
              </w:rPr>
              <w:t>质疑</w:t>
            </w:r>
            <w:r>
              <w:rPr>
                <w:rFonts w:hint="eastAsia" w:ascii="Times New Roman" w:hAnsi="Times New Roman" w:eastAsia="Times New Roman" w:cs="Times New Roman"/>
                <w:color w:val="auto"/>
                <w:szCs w:val="21"/>
                <w:highlight w:val="none"/>
              </w:rPr>
              <w:t>的截止时间及方式</w:t>
            </w:r>
          </w:p>
        </w:tc>
        <w:tc>
          <w:tcPr>
            <w:tcW w:w="6830" w:type="dxa"/>
            <w:noWrap w:val="0"/>
            <w:vAlign w:val="center"/>
          </w:tcPr>
          <w:p>
            <w:pPr>
              <w:pStyle w:val="25"/>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360" w:lineRule="exact"/>
              <w:ind w:left="0" w:right="0"/>
              <w:textAlignment w:val="auto"/>
              <w:rPr>
                <w:rFonts w:hint="default" w:hAnsi="宋体" w:eastAsia="宋体" w:cs="Times New Roman"/>
                <w:color w:val="auto"/>
                <w:szCs w:val="21"/>
                <w:highlight w:val="none"/>
                <w:lang w:val="en-US" w:eastAsia="zh-CN"/>
              </w:rPr>
            </w:pPr>
            <w:r>
              <w:rPr>
                <w:rFonts w:hint="default" w:eastAsia="Times New Roman" w:cs="Times New Roman"/>
                <w:b w:val="0"/>
                <w:bCs w:val="0"/>
                <w:color w:val="auto"/>
                <w:szCs w:val="20"/>
                <w:highlight w:val="none"/>
              </w:rPr>
              <w:t>如</w:t>
            </w:r>
            <w:r>
              <w:rPr>
                <w:rFonts w:hint="eastAsia" w:eastAsia="Times New Roman" w:cs="Times New Roman"/>
                <w:b w:val="0"/>
                <w:bCs w:val="0"/>
                <w:color w:val="auto"/>
                <w:szCs w:val="20"/>
                <w:highlight w:val="none"/>
                <w:lang w:val="en-US" w:eastAsia="zh-CN"/>
              </w:rPr>
              <w:t>供应商</w:t>
            </w:r>
            <w:r>
              <w:rPr>
                <w:rFonts w:hint="default" w:eastAsia="Times New Roman" w:cs="Times New Roman"/>
                <w:b w:val="0"/>
                <w:bCs w:val="0"/>
                <w:color w:val="auto"/>
                <w:szCs w:val="20"/>
                <w:highlight w:val="none"/>
              </w:rPr>
              <w:t>对</w:t>
            </w:r>
            <w:r>
              <w:rPr>
                <w:rFonts w:hint="eastAsia" w:eastAsia="Times New Roman" w:cs="Times New Roman"/>
                <w:b w:val="0"/>
                <w:bCs w:val="0"/>
                <w:color w:val="auto"/>
                <w:szCs w:val="20"/>
                <w:highlight w:val="none"/>
                <w:lang w:val="en-US" w:eastAsia="zh-CN"/>
              </w:rPr>
              <w:t>招标文件</w:t>
            </w:r>
            <w:r>
              <w:rPr>
                <w:rFonts w:hint="default" w:eastAsia="Times New Roman" w:cs="Times New Roman"/>
                <w:b w:val="0"/>
                <w:bCs w:val="0"/>
                <w:color w:val="auto"/>
                <w:szCs w:val="20"/>
                <w:highlight w:val="none"/>
              </w:rPr>
              <w:t>有疑问，请于</w:t>
            </w:r>
            <w:r>
              <w:rPr>
                <w:rFonts w:hint="default" w:eastAsia="Times New Roman" w:cs="Times New Roman"/>
                <w:b w:val="0"/>
                <w:bCs w:val="0"/>
                <w:color w:val="auto"/>
                <w:szCs w:val="20"/>
                <w:highlight w:val="none"/>
                <w:lang w:val="en-US"/>
              </w:rPr>
              <w:t>202</w:t>
            </w:r>
            <w:r>
              <w:rPr>
                <w:rFonts w:hint="eastAsia" w:eastAsia="Times New Roman" w:cs="Times New Roman"/>
                <w:b w:val="0"/>
                <w:bCs w:val="0"/>
                <w:color w:val="auto"/>
                <w:szCs w:val="20"/>
                <w:highlight w:val="none"/>
                <w:lang w:val="en-US" w:eastAsia="zh-CN"/>
              </w:rPr>
              <w:t>3</w:t>
            </w:r>
            <w:r>
              <w:rPr>
                <w:rFonts w:hint="default" w:eastAsia="Times New Roman" w:cs="Times New Roman"/>
                <w:b w:val="0"/>
                <w:bCs w:val="0"/>
                <w:color w:val="auto"/>
                <w:szCs w:val="20"/>
                <w:highlight w:val="none"/>
              </w:rPr>
              <w:t>年</w:t>
            </w:r>
            <w:r>
              <w:rPr>
                <w:rFonts w:hint="eastAsia" w:eastAsia="宋体" w:cs="Times New Roman"/>
                <w:b w:val="0"/>
                <w:bCs w:val="0"/>
                <w:color w:val="auto"/>
                <w:szCs w:val="20"/>
                <w:highlight w:val="none"/>
                <w:lang w:val="en-US" w:eastAsia="zh-CN"/>
              </w:rPr>
              <w:t>12</w:t>
            </w:r>
            <w:r>
              <w:rPr>
                <w:rFonts w:hint="default" w:eastAsia="Times New Roman" w:cs="Times New Roman"/>
                <w:b w:val="0"/>
                <w:bCs w:val="0"/>
                <w:color w:val="auto"/>
                <w:szCs w:val="20"/>
                <w:highlight w:val="none"/>
              </w:rPr>
              <w:t>月</w:t>
            </w:r>
            <w:r>
              <w:rPr>
                <w:rFonts w:hint="eastAsia" w:eastAsia="宋体" w:cs="Times New Roman"/>
                <w:b w:val="0"/>
                <w:bCs w:val="0"/>
                <w:color w:val="auto"/>
                <w:szCs w:val="20"/>
                <w:highlight w:val="none"/>
                <w:lang w:val="en-US" w:eastAsia="zh-CN"/>
              </w:rPr>
              <w:t>2</w:t>
            </w:r>
            <w:r>
              <w:rPr>
                <w:rFonts w:hint="eastAsia" w:cs="Times New Roman"/>
                <w:b w:val="0"/>
                <w:bCs w:val="0"/>
                <w:color w:val="auto"/>
                <w:szCs w:val="20"/>
                <w:highlight w:val="none"/>
                <w:lang w:val="en-US" w:eastAsia="zh-CN"/>
              </w:rPr>
              <w:t>1</w:t>
            </w:r>
            <w:r>
              <w:rPr>
                <w:rFonts w:hint="default" w:eastAsia="Times New Roman" w:cs="Times New Roman"/>
                <w:b w:val="0"/>
                <w:bCs w:val="0"/>
                <w:color w:val="auto"/>
                <w:szCs w:val="20"/>
                <w:highlight w:val="none"/>
              </w:rPr>
              <w:t>日</w:t>
            </w:r>
            <w:r>
              <w:rPr>
                <w:rFonts w:hint="eastAsia" w:hAnsi="Times New Roman" w:eastAsia="宋体" w:cs="Times New Roman"/>
                <w:b w:val="0"/>
                <w:bCs w:val="0"/>
                <w:color w:val="auto"/>
                <w:szCs w:val="20"/>
                <w:highlight w:val="none"/>
                <w:lang w:val="en-US" w:eastAsia="zh-CN"/>
              </w:rPr>
              <w:t>17</w:t>
            </w:r>
            <w:r>
              <w:rPr>
                <w:rFonts w:hint="default" w:hAnsi="Times New Roman" w:eastAsia="Times New Roman" w:cs="Times New Roman"/>
                <w:b w:val="0"/>
                <w:bCs w:val="0"/>
                <w:color w:val="auto"/>
                <w:szCs w:val="20"/>
                <w:highlight w:val="none"/>
              </w:rPr>
              <w:t>时前</w:t>
            </w:r>
            <w:r>
              <w:rPr>
                <w:rFonts w:hint="default" w:eastAsia="Times New Roman" w:cs="Times New Roman"/>
                <w:b w:val="0"/>
                <w:bCs w:val="0"/>
                <w:color w:val="auto"/>
                <w:szCs w:val="20"/>
                <w:highlight w:val="none"/>
              </w:rPr>
              <w:t>将疑问内容以书面的形式加盖投标单位公章，</w:t>
            </w:r>
            <w:r>
              <w:rPr>
                <w:rFonts w:hint="eastAsia" w:eastAsia="宋体" w:cs="Times New Roman"/>
                <w:b w:val="0"/>
                <w:bCs w:val="0"/>
                <w:color w:val="auto"/>
                <w:szCs w:val="20"/>
                <w:highlight w:val="none"/>
                <w:lang w:val="en-US" w:eastAsia="zh-CN"/>
              </w:rPr>
              <w:t>送</w:t>
            </w:r>
            <w:r>
              <w:rPr>
                <w:rFonts w:hint="eastAsia" w:cs="Times New Roman"/>
                <w:b w:val="0"/>
                <w:bCs w:val="0"/>
                <w:color w:val="auto"/>
                <w:szCs w:val="20"/>
                <w:highlight w:val="none"/>
                <w:lang w:val="en-US" w:eastAsia="zh-CN"/>
              </w:rPr>
              <w:t>至</w:t>
            </w:r>
            <w:r>
              <w:rPr>
                <w:rFonts w:hint="eastAsia" w:eastAsia="宋体" w:cs="Times New Roman"/>
                <w:b w:val="0"/>
                <w:bCs w:val="0"/>
                <w:color w:val="auto"/>
                <w:szCs w:val="20"/>
                <w:highlight w:val="none"/>
                <w:lang w:val="en-US" w:eastAsia="zh-CN"/>
              </w:rPr>
              <w:t>招标人处，地址为</w:t>
            </w:r>
            <w:r>
              <w:rPr>
                <w:rFonts w:hint="default" w:eastAsia="Times New Roman" w:cs="Times New Roman"/>
                <w:b w:val="0"/>
                <w:bCs w:val="0"/>
                <w:color w:val="auto"/>
                <w:szCs w:val="20"/>
                <w:highlight w:val="none"/>
              </w:rPr>
              <w:t>滁州市琅琊区经济技术开发区苏州南路789号</w:t>
            </w:r>
            <w:r>
              <w:rPr>
                <w:rFonts w:hint="eastAsia" w:eastAsia="宋体" w:cs="Times New Roman"/>
                <w:b w:val="0"/>
                <w:bCs w:val="0"/>
                <w:color w:val="auto"/>
                <w:szCs w:val="20"/>
                <w:highlight w:val="none"/>
                <w:lang w:eastAsia="zh-CN"/>
              </w:rPr>
              <w:t>，</w:t>
            </w:r>
            <w:r>
              <w:rPr>
                <w:rFonts w:hint="eastAsia" w:eastAsia="宋体" w:cs="Times New Roman"/>
                <w:b w:val="0"/>
                <w:bCs w:val="0"/>
                <w:color w:val="auto"/>
                <w:szCs w:val="20"/>
                <w:highlight w:val="none"/>
                <w:lang w:val="en-US" w:eastAsia="zh-CN"/>
              </w:rPr>
              <w:t>联系人：牟永春，联系方式：18555125618。</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4" w:hRule="atLeast"/>
        </w:trPr>
        <w:tc>
          <w:tcPr>
            <w:tcW w:w="1036" w:type="dxa"/>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Times New Roman" w:eastAsia="Times New Roman" w:cs="宋体"/>
                <w:color w:val="auto"/>
                <w:szCs w:val="21"/>
                <w:highlight w:val="none"/>
              </w:rPr>
            </w:pPr>
            <w:r>
              <w:rPr>
                <w:rFonts w:hint="eastAsia" w:ascii="宋体" w:hAnsi="Times New Roman" w:eastAsia="Times New Roman" w:cs="宋体"/>
                <w:color w:val="auto"/>
                <w:szCs w:val="21"/>
                <w:highlight w:val="none"/>
              </w:rPr>
              <w:t>39.6</w:t>
            </w:r>
          </w:p>
        </w:tc>
        <w:tc>
          <w:tcPr>
            <w:tcW w:w="2114"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left"/>
              <w:rPr>
                <w:rFonts w:hint="eastAsia" w:ascii="Times New Roman" w:hAnsi="Times New Roman" w:eastAsia="Times New Roman" w:cs="Times New Roman"/>
                <w:color w:val="auto"/>
                <w:szCs w:val="21"/>
                <w:highlight w:val="none"/>
              </w:rPr>
            </w:pPr>
            <w:r>
              <w:rPr>
                <w:rFonts w:hint="eastAsia" w:ascii="Times New Roman" w:hAnsi="Times New Roman" w:eastAsia="Times New Roman" w:cs="Times New Roman"/>
                <w:color w:val="auto"/>
                <w:szCs w:val="21"/>
                <w:highlight w:val="none"/>
              </w:rPr>
              <w:t>采购人答复在线质疑的时间及方式</w:t>
            </w:r>
          </w:p>
        </w:tc>
        <w:tc>
          <w:tcPr>
            <w:tcW w:w="6830" w:type="dxa"/>
            <w:noWrap w:val="0"/>
            <w:vAlign w:val="center"/>
          </w:tcPr>
          <w:p>
            <w:pPr>
              <w:keepNext w:val="0"/>
              <w:keepLines w:val="0"/>
              <w:pageBreakBefore w:val="0"/>
              <w:widowControl w:val="0"/>
              <w:suppressLineNumbers w:val="0"/>
              <w:kinsoku/>
              <w:wordWrap w:val="0"/>
              <w:overflowPunct/>
              <w:topLinePunct w:val="0"/>
              <w:autoSpaceDE w:val="0"/>
              <w:autoSpaceDN/>
              <w:bidi w:val="0"/>
              <w:adjustRightInd/>
              <w:snapToGrid/>
              <w:spacing w:before="0" w:beforeAutospacing="0" w:after="0" w:afterAutospacing="0" w:line="360" w:lineRule="exact"/>
              <w:ind w:left="0" w:leftChars="0" w:right="0" w:rightChars="0"/>
              <w:jc w:val="both"/>
              <w:textAlignment w:val="auto"/>
              <w:rPr>
                <w:rFonts w:hint="eastAsia" w:ascii="Times New Roman" w:hAnsi="Times New Roman" w:eastAsia="Times New Roman" w:cs="Times New Roman"/>
                <w:color w:val="auto"/>
                <w:szCs w:val="21"/>
                <w:highlight w:val="none"/>
                <w:u w:val="single"/>
              </w:rPr>
            </w:pPr>
            <w:r>
              <w:rPr>
                <w:rFonts w:hint="eastAsia" w:ascii="宋体" w:hAnsi="宋体" w:eastAsia="宋体" w:cs="宋体"/>
                <w:b w:val="0"/>
                <w:bCs w:val="0"/>
                <w:color w:val="auto"/>
                <w:kern w:val="2"/>
                <w:sz w:val="21"/>
                <w:szCs w:val="21"/>
                <w:highlight w:val="none"/>
                <w:lang w:val="en-US" w:eastAsia="zh-CN" w:bidi="ar"/>
              </w:rPr>
              <w:t>招标人将在</w:t>
            </w:r>
            <w:r>
              <w:rPr>
                <w:rFonts w:hint="eastAsia" w:ascii="宋体" w:hAnsi="宋体" w:eastAsia="宋体" w:cs="Times New Roman"/>
                <w:b w:val="0"/>
                <w:bCs w:val="0"/>
                <w:color w:val="auto"/>
                <w:kern w:val="2"/>
                <w:sz w:val="21"/>
                <w:szCs w:val="21"/>
                <w:highlight w:val="none"/>
                <w:lang w:val="en-US" w:eastAsia="zh-CN" w:bidi="ar"/>
              </w:rPr>
              <w:t>2023年</w:t>
            </w:r>
            <w:r>
              <w:rPr>
                <w:rFonts w:hint="eastAsia" w:ascii="宋体" w:hAnsi="宋体" w:cs="Times New Roman"/>
                <w:b w:val="0"/>
                <w:bCs w:val="0"/>
                <w:color w:val="auto"/>
                <w:kern w:val="2"/>
                <w:sz w:val="21"/>
                <w:szCs w:val="21"/>
                <w:highlight w:val="none"/>
                <w:lang w:val="en-US" w:eastAsia="zh-CN" w:bidi="ar"/>
              </w:rPr>
              <w:t>12</w:t>
            </w:r>
            <w:r>
              <w:rPr>
                <w:rFonts w:hint="eastAsia" w:ascii="宋体" w:hAnsi="宋体" w:eastAsia="宋体" w:cs="Times New Roman"/>
                <w:b w:val="0"/>
                <w:bCs w:val="0"/>
                <w:color w:val="auto"/>
                <w:kern w:val="2"/>
                <w:sz w:val="21"/>
                <w:szCs w:val="21"/>
                <w:highlight w:val="none"/>
                <w:lang w:val="en-US" w:eastAsia="zh-CN" w:bidi="ar"/>
              </w:rPr>
              <w:t>月</w:t>
            </w:r>
            <w:r>
              <w:rPr>
                <w:rFonts w:hint="eastAsia" w:ascii="宋体" w:hAnsi="宋体" w:cs="Times New Roman"/>
                <w:b w:val="0"/>
                <w:bCs w:val="0"/>
                <w:color w:val="auto"/>
                <w:kern w:val="2"/>
                <w:sz w:val="21"/>
                <w:szCs w:val="21"/>
                <w:highlight w:val="none"/>
                <w:lang w:val="en-US" w:eastAsia="zh-CN" w:bidi="ar"/>
              </w:rPr>
              <w:t>22</w:t>
            </w:r>
            <w:r>
              <w:rPr>
                <w:rFonts w:hint="eastAsia" w:ascii="宋体" w:hAnsi="宋体" w:eastAsia="宋体" w:cs="Times New Roman"/>
                <w:b w:val="0"/>
                <w:bCs w:val="0"/>
                <w:color w:val="auto"/>
                <w:kern w:val="2"/>
                <w:sz w:val="21"/>
                <w:szCs w:val="21"/>
                <w:highlight w:val="none"/>
                <w:lang w:val="en-US" w:eastAsia="zh-CN" w:bidi="ar"/>
              </w:rPr>
              <w:t>日</w:t>
            </w:r>
            <w:r>
              <w:rPr>
                <w:rFonts w:hint="eastAsia" w:ascii="宋体" w:hAnsi="宋体" w:cs="Times New Roman"/>
                <w:b w:val="0"/>
                <w:bCs w:val="0"/>
                <w:color w:val="auto"/>
                <w:kern w:val="2"/>
                <w:sz w:val="21"/>
                <w:szCs w:val="21"/>
                <w:highlight w:val="none"/>
                <w:lang w:val="en-US" w:eastAsia="zh-CN" w:bidi="ar"/>
              </w:rPr>
              <w:t>17</w:t>
            </w:r>
            <w:r>
              <w:rPr>
                <w:rFonts w:hint="eastAsia" w:ascii="宋体" w:hAnsi="宋体" w:eastAsia="宋体" w:cs="Times New Roman"/>
                <w:b w:val="0"/>
                <w:bCs w:val="0"/>
                <w:color w:val="auto"/>
                <w:kern w:val="2"/>
                <w:sz w:val="21"/>
                <w:szCs w:val="21"/>
                <w:highlight w:val="none"/>
                <w:lang w:val="en-US" w:eastAsia="zh-CN" w:bidi="ar"/>
              </w:rPr>
              <w:t>时后</w:t>
            </w:r>
            <w:r>
              <w:rPr>
                <w:rFonts w:hint="eastAsia" w:ascii="宋体" w:hAnsi="宋体" w:eastAsia="宋体" w:cs="宋体"/>
                <w:b w:val="0"/>
                <w:bCs w:val="0"/>
                <w:color w:val="auto"/>
                <w:kern w:val="2"/>
                <w:sz w:val="21"/>
                <w:szCs w:val="21"/>
                <w:highlight w:val="none"/>
                <w:lang w:val="en-US" w:eastAsia="zh-CN" w:bidi="ar"/>
              </w:rPr>
              <w:t>以澄清公告形式在滁州市工投公司公众号或中国扬子集团公司网站（http://www.yangzigroup.cn）</w:t>
            </w:r>
            <w:r>
              <w:rPr>
                <w:rFonts w:hint="eastAsia" w:ascii="宋体" w:hAnsi="Times New Roman" w:eastAsia="Times New Roman" w:cs="宋体"/>
                <w:color w:val="auto"/>
                <w:szCs w:val="21"/>
                <w:highlight w:val="none"/>
              </w:rPr>
              <w:t>发布。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5" w:hRule="atLeast"/>
        </w:trPr>
        <w:tc>
          <w:tcPr>
            <w:tcW w:w="1903" w:type="dxa"/>
            <w:gridSpan w:val="2"/>
            <w:noWrap w:val="0"/>
            <w:vAlign w:val="center"/>
          </w:tcPr>
          <w:p>
            <w:pPr>
              <w:keepNext w:val="0"/>
              <w:keepLines w:val="0"/>
              <w:pageBreakBefore w:val="0"/>
              <w:widowControl/>
              <w:suppressLineNumbers w:val="0"/>
              <w:tabs>
                <w:tab w:val="left" w:pos="5034"/>
              </w:tabs>
              <w:kinsoku/>
              <w:overflowPunct/>
              <w:autoSpaceDE/>
              <w:autoSpaceDN/>
              <w:bidi w:val="0"/>
              <w:spacing w:before="0" w:beforeAutospacing="0" w:after="0" w:afterAutospacing="0" w:line="380" w:lineRule="exact"/>
              <w:ind w:left="0" w:right="0"/>
              <w:jc w:val="center"/>
              <w:rPr>
                <w:rFonts w:hint="eastAsia" w:ascii="宋体" w:hAnsi="宋体" w:eastAsia="宋体" w:cs="Times New Roman"/>
                <w:b/>
                <w:bCs/>
                <w:color w:val="auto"/>
                <w:szCs w:val="21"/>
                <w:highlight w:val="none"/>
              </w:rPr>
            </w:pPr>
            <w:r>
              <w:rPr>
                <w:rFonts w:hint="eastAsia" w:ascii="宋体" w:hAnsi="Times New Roman" w:eastAsia="Times New Roman" w:cs="Times New Roman"/>
                <w:b/>
                <w:bCs/>
                <w:color w:val="auto"/>
                <w:szCs w:val="21"/>
                <w:highlight w:val="none"/>
              </w:rPr>
              <w:t>付款方式、时间、条件</w:t>
            </w:r>
          </w:p>
        </w:tc>
        <w:tc>
          <w:tcPr>
            <w:tcW w:w="8077" w:type="dxa"/>
            <w:gridSpan w:val="2"/>
            <w:noWrap w:val="0"/>
            <w:vAlign w:val="center"/>
          </w:tcPr>
          <w:p>
            <w:pPr>
              <w:keepNext w:val="0"/>
              <w:keepLines w:val="0"/>
              <w:pageBreakBefore w:val="0"/>
              <w:widowControl/>
              <w:suppressLineNumbers w:val="0"/>
              <w:tabs>
                <w:tab w:val="left" w:pos="5034"/>
              </w:tabs>
              <w:kinsoku/>
              <w:overflowPunct/>
              <w:autoSpaceDE/>
              <w:autoSpaceDN/>
              <w:bidi w:val="0"/>
              <w:spacing w:before="0" w:beforeAutospacing="0" w:after="0" w:afterAutospacing="0" w:line="380" w:lineRule="exact"/>
              <w:ind w:left="0" w:right="0"/>
              <w:rPr>
                <w:rFonts w:hint="default" w:ascii="Times New Roman" w:hAnsi="Times New Roman" w:eastAsia="宋体" w:cs="Times New Roman"/>
                <w:b/>
                <w:bCs/>
                <w:color w:val="auto"/>
                <w:szCs w:val="20"/>
                <w:highlight w:val="none"/>
                <w:lang w:val="en-US" w:eastAsia="zh-CN"/>
              </w:rPr>
            </w:pPr>
            <w:r>
              <w:rPr>
                <w:rFonts w:hint="eastAsia" w:ascii="Times New Roman" w:hAnsi="Times New Roman" w:eastAsia="Times New Roman" w:cs="Times New Roman"/>
                <w:b/>
                <w:bCs/>
                <w:color w:val="auto"/>
                <w:szCs w:val="20"/>
                <w:highlight w:val="none"/>
                <w:lang w:val="en-US" w:eastAsia="zh-CN"/>
              </w:rPr>
              <w:t>无预付款，出具合格的审计报告</w:t>
            </w:r>
            <w:r>
              <w:rPr>
                <w:rFonts w:hint="eastAsia" w:eastAsia="Times New Roman" w:cs="Times New Roman"/>
                <w:b/>
                <w:bCs/>
                <w:color w:val="auto"/>
                <w:szCs w:val="20"/>
                <w:highlight w:val="none"/>
                <w:lang w:val="en-US" w:eastAsia="zh-CN"/>
              </w:rPr>
              <w:t>和评估报告</w:t>
            </w:r>
            <w:r>
              <w:rPr>
                <w:rFonts w:hint="eastAsia" w:ascii="Times New Roman" w:hAnsi="Times New Roman" w:eastAsia="Times New Roman" w:cs="Times New Roman"/>
                <w:b/>
                <w:bCs/>
                <w:color w:val="auto"/>
                <w:szCs w:val="20"/>
                <w:highlight w:val="none"/>
                <w:lang w:val="en-US" w:eastAsia="zh-CN"/>
              </w:rPr>
              <w:t>且提供发票后一次性付清费用。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0" w:hRule="atLeast"/>
        </w:trPr>
        <w:tc>
          <w:tcPr>
            <w:tcW w:w="1903"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获取方式和时间</w:t>
            </w:r>
          </w:p>
        </w:tc>
        <w:tc>
          <w:tcPr>
            <w:tcW w:w="8077" w:type="dxa"/>
            <w:gridSpan w:val="2"/>
            <w:noWrap w:val="0"/>
            <w:vAlign w:val="top"/>
          </w:tcPr>
          <w:p>
            <w:pPr>
              <w:keepNext w:val="0"/>
              <w:keepLines w:val="0"/>
              <w:pageBreakBefore w:val="0"/>
              <w:widowControl/>
              <w:suppressLineNumbers w:val="0"/>
              <w:kinsoku/>
              <w:overflowPunct/>
              <w:topLinePunct/>
              <w:autoSpaceDE/>
              <w:autoSpaceDN/>
              <w:bidi w:val="0"/>
              <w:spacing w:before="0" w:beforeAutospacing="0" w:after="0" w:afterAutospacing="0" w:line="38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获取方式：网上下载；</w:t>
            </w:r>
          </w:p>
          <w:p>
            <w:pPr>
              <w:keepNext w:val="0"/>
              <w:keepLines w:val="0"/>
              <w:pageBreakBefore w:val="0"/>
              <w:widowControl/>
              <w:suppressLineNumbers w:val="0"/>
              <w:kinsoku/>
              <w:overflowPunct/>
              <w:topLinePunct/>
              <w:autoSpaceDE/>
              <w:autoSpaceDN/>
              <w:bidi w:val="0"/>
              <w:spacing w:before="0" w:beforeAutospacing="0" w:after="0" w:afterAutospacing="0" w:line="380" w:lineRule="exact"/>
              <w:ind w:left="0" w:right="0"/>
              <w:rPr>
                <w:rFonts w:hint="eastAsia" w:ascii="宋体" w:hAnsi="宋体" w:eastAsia="Times New Roman" w:cs="宋体"/>
                <w:color w:val="auto"/>
                <w:szCs w:val="21"/>
                <w:highlight w:val="none"/>
              </w:rPr>
            </w:pPr>
            <w:r>
              <w:rPr>
                <w:rFonts w:hint="eastAsia" w:ascii="宋体" w:hAnsi="宋体" w:eastAsia="宋体" w:cs="宋体"/>
                <w:color w:val="auto"/>
                <w:szCs w:val="21"/>
                <w:highlight w:val="none"/>
              </w:rPr>
              <w:t>获取时间：</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发布至响应截止时间。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0" w:hRule="atLeast"/>
        </w:trPr>
        <w:tc>
          <w:tcPr>
            <w:tcW w:w="1903"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Times New Roman" w:cs="宋体"/>
                <w:color w:val="auto"/>
                <w:szCs w:val="21"/>
                <w:highlight w:val="none"/>
              </w:rPr>
            </w:pPr>
            <w:r>
              <w:rPr>
                <w:rFonts w:hint="eastAsia" w:ascii="宋体" w:hAnsi="宋体" w:eastAsia="Times New Roman" w:cs="宋体"/>
                <w:color w:val="auto"/>
                <w:szCs w:val="21"/>
                <w:highlight w:val="none"/>
              </w:rPr>
              <w:t>同义词语</w:t>
            </w:r>
          </w:p>
        </w:tc>
        <w:tc>
          <w:tcPr>
            <w:tcW w:w="8077"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Times New Roman" w:hAnsi="Times New Roman" w:eastAsia="Times New Roman" w:cs="Times New Roman"/>
                <w:color w:val="auto"/>
                <w:szCs w:val="20"/>
                <w:highlight w:val="none"/>
              </w:rPr>
            </w:pPr>
            <w:r>
              <w:rPr>
                <w:rFonts w:hint="eastAsia" w:ascii="宋体" w:hAnsi="宋体" w:eastAsia="Times New Roman" w:cs="宋体"/>
                <w:color w:val="auto"/>
                <w:szCs w:val="21"/>
                <w:highlight w:val="none"/>
                <w:lang w:eastAsia="zh-CN"/>
              </w:rPr>
              <w:t>招标文件</w:t>
            </w:r>
            <w:r>
              <w:rPr>
                <w:rFonts w:hint="eastAsia" w:ascii="宋体" w:hAnsi="宋体" w:eastAsia="Times New Roman" w:cs="宋体"/>
                <w:color w:val="auto"/>
                <w:szCs w:val="21"/>
                <w:highlight w:val="none"/>
              </w:rPr>
              <w:t>第六章</w:t>
            </w:r>
            <w:r>
              <w:rPr>
                <w:rFonts w:hint="eastAsia" w:ascii="宋体" w:hAnsi="宋体" w:eastAsia="Times New Roman" w:cs="宋体"/>
                <w:color w:val="auto"/>
                <w:szCs w:val="21"/>
                <w:highlight w:val="none"/>
                <w:lang w:eastAsia="zh-CN"/>
              </w:rPr>
              <w:t>投标文件</w:t>
            </w:r>
            <w:r>
              <w:rPr>
                <w:rFonts w:hint="eastAsia" w:ascii="宋体" w:hAnsi="宋体" w:eastAsia="Times New Roman" w:cs="宋体"/>
                <w:color w:val="auto"/>
                <w:szCs w:val="21"/>
                <w:highlight w:val="none"/>
              </w:rPr>
              <w:t>格式、附件1“关于联合惩戒失信行为 加强信用查询管理的通知”等章节中 “招标人”、“投标人”，等同于“采购人”、“供应商”。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0" w:hRule="atLeast"/>
        </w:trPr>
        <w:tc>
          <w:tcPr>
            <w:tcW w:w="1903" w:type="dxa"/>
            <w:gridSpan w:val="2"/>
            <w:noWrap w:val="0"/>
            <w:vAlign w:val="center"/>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jc w:val="center"/>
              <w:rPr>
                <w:rFonts w:hint="eastAsia" w:ascii="宋体" w:hAnsi="宋体" w:eastAsia="宋体" w:cs="宋体"/>
                <w:color w:val="auto"/>
                <w:szCs w:val="21"/>
                <w:highlight w:val="none"/>
              </w:rPr>
            </w:pPr>
            <w:r>
              <w:rPr>
                <w:rFonts w:hint="eastAsia" w:ascii="宋体" w:hAnsi="宋体" w:eastAsia="Times New Roman" w:cs="宋体"/>
                <w:color w:val="auto"/>
                <w:szCs w:val="21"/>
                <w:highlight w:val="none"/>
              </w:rPr>
              <w:t>其他说明</w:t>
            </w:r>
          </w:p>
        </w:tc>
        <w:tc>
          <w:tcPr>
            <w:tcW w:w="8077" w:type="dxa"/>
            <w:gridSpan w:val="2"/>
            <w:noWrap w:val="0"/>
            <w:vAlign w:val="top"/>
          </w:tcPr>
          <w:p>
            <w:pPr>
              <w:keepNext w:val="0"/>
              <w:keepLines w:val="0"/>
              <w:pageBreakBefore w:val="0"/>
              <w:widowControl/>
              <w:suppressLineNumbers w:val="0"/>
              <w:kinsoku/>
              <w:overflowPunct/>
              <w:autoSpaceDE/>
              <w:autoSpaceDN/>
              <w:bidi w:val="0"/>
              <w:spacing w:before="0" w:beforeAutospacing="0" w:after="0" w:afterAutospacing="0" w:line="380" w:lineRule="exact"/>
              <w:ind w:left="0" w:right="0"/>
              <w:rPr>
                <w:rFonts w:hint="eastAsia" w:ascii="宋体" w:hAnsi="宋体" w:eastAsia="宋体" w:cs="宋体"/>
                <w:color w:val="auto"/>
                <w:szCs w:val="21"/>
                <w:highlight w:val="none"/>
              </w:rPr>
            </w:pPr>
            <w:r>
              <w:rPr>
                <w:rFonts w:hint="eastAsia" w:ascii="Times New Roman" w:hAnsi="Times New Roman" w:eastAsia="宋体" w:cs="Times New Roman"/>
                <w:color w:val="auto"/>
                <w:szCs w:val="20"/>
                <w:highlight w:val="none"/>
                <w:lang w:val="en-US" w:eastAsia="zh-CN"/>
              </w:rPr>
              <w:t>中标</w:t>
            </w:r>
            <w:r>
              <w:rPr>
                <w:rFonts w:hint="eastAsia" w:ascii="Times New Roman" w:hAnsi="Times New Roman" w:eastAsia="宋体" w:cs="Times New Roman"/>
                <w:color w:val="auto"/>
                <w:szCs w:val="20"/>
                <w:highlight w:val="none"/>
              </w:rPr>
              <w:t>人</w:t>
            </w:r>
            <w:r>
              <w:rPr>
                <w:rFonts w:hint="eastAsia" w:ascii="Times New Roman" w:hAnsi="Times New Roman" w:eastAsia="宋体" w:cs="Times New Roman"/>
                <w:color w:val="auto"/>
                <w:szCs w:val="20"/>
                <w:highlight w:val="none"/>
                <w:lang w:val="en-US" w:eastAsia="zh-CN"/>
              </w:rPr>
              <w:t>中标</w:t>
            </w:r>
            <w:r>
              <w:rPr>
                <w:rFonts w:hint="eastAsia" w:ascii="Times New Roman" w:hAnsi="Times New Roman" w:eastAsia="宋体" w:cs="Times New Roman"/>
                <w:color w:val="auto"/>
                <w:szCs w:val="20"/>
                <w:highlight w:val="none"/>
              </w:rPr>
              <w:t>后不允许分包和非主体、非关键性工作。</w:t>
            </w:r>
          </w:p>
        </w:tc>
      </w:tr>
      <w:bookmarkEnd w:id="37"/>
      <w:bookmarkEnd w:id="38"/>
    </w:tbl>
    <w:p>
      <w:pPr>
        <w:pageBreakBefore/>
        <w:spacing w:before="156" w:beforeLines="50" w:after="156" w:afterLines="50" w:line="440" w:lineRule="exact"/>
        <w:jc w:val="center"/>
        <w:outlineLvl w:val="1"/>
        <w:rPr>
          <w:rFonts w:hint="eastAsia" w:ascii="宋体" w:hAnsi="宋体" w:cs="宋体"/>
          <w:b/>
          <w:color w:val="auto"/>
          <w:sz w:val="32"/>
          <w:szCs w:val="32"/>
          <w:highlight w:val="none"/>
        </w:rPr>
      </w:pPr>
      <w:bookmarkStart w:id="39" w:name="_Toc14459"/>
      <w:bookmarkStart w:id="40" w:name="_Toc469495723"/>
      <w:bookmarkStart w:id="41" w:name="_Toc14599"/>
      <w:bookmarkStart w:id="42" w:name="_Toc29210"/>
      <w:bookmarkStart w:id="43" w:name="_Toc20743"/>
      <w:bookmarkStart w:id="44" w:name="_Toc11375"/>
      <w:bookmarkStart w:id="45" w:name="_Toc20609"/>
      <w:r>
        <w:rPr>
          <w:rFonts w:hint="eastAsia" w:ascii="宋体" w:hAnsi="宋体" w:cs="宋体"/>
          <w:b/>
          <w:color w:val="auto"/>
          <w:sz w:val="32"/>
          <w:szCs w:val="32"/>
          <w:highlight w:val="none"/>
        </w:rPr>
        <w:t>二、</w:t>
      </w:r>
      <w:bookmarkEnd w:id="39"/>
      <w:bookmarkEnd w:id="40"/>
      <w:r>
        <w:rPr>
          <w:rFonts w:hint="eastAsia" w:ascii="宋体" w:hAnsi="宋体" w:cs="宋体"/>
          <w:b/>
          <w:color w:val="auto"/>
          <w:sz w:val="32"/>
          <w:szCs w:val="32"/>
          <w:highlight w:val="none"/>
        </w:rPr>
        <w:t>供应商须知</w:t>
      </w:r>
      <w:bookmarkEnd w:id="41"/>
      <w:bookmarkEnd w:id="42"/>
      <w:bookmarkEnd w:id="43"/>
    </w:p>
    <w:p>
      <w:pPr>
        <w:spacing w:before="156" w:beforeLines="50" w:after="156" w:afterLines="50" w:line="440" w:lineRule="exact"/>
        <w:jc w:val="center"/>
        <w:outlineLvl w:val="1"/>
        <w:rPr>
          <w:rFonts w:hint="eastAsia" w:ascii="宋体" w:hAnsi="宋体" w:cs="宋体"/>
          <w:b/>
          <w:color w:val="auto"/>
          <w:sz w:val="24"/>
          <w:szCs w:val="24"/>
          <w:highlight w:val="none"/>
        </w:rPr>
      </w:pPr>
      <w:bookmarkStart w:id="46" w:name="_Toc17637"/>
      <w:bookmarkStart w:id="47" w:name="_Toc11818"/>
      <w:bookmarkStart w:id="48" w:name="_Toc29689"/>
      <w:bookmarkStart w:id="49" w:name="_Toc27658"/>
      <w:r>
        <w:rPr>
          <w:rFonts w:hint="eastAsia" w:ascii="宋体" w:hAnsi="宋体" w:cs="宋体"/>
          <w:b/>
          <w:color w:val="auto"/>
          <w:sz w:val="24"/>
          <w:szCs w:val="24"/>
          <w:highlight w:val="none"/>
        </w:rPr>
        <w:t>（一）总  则</w:t>
      </w:r>
      <w:bookmarkEnd w:id="44"/>
      <w:bookmarkEnd w:id="45"/>
      <w:bookmarkEnd w:id="46"/>
      <w:bookmarkEnd w:id="47"/>
      <w:bookmarkEnd w:id="48"/>
      <w:bookmarkEnd w:id="49"/>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1.项目概况</w:t>
      </w:r>
    </w:p>
    <w:p>
      <w:pPr>
        <w:snapToGrid w:val="0"/>
        <w:spacing w:line="440" w:lineRule="exact"/>
        <w:ind w:firstLine="420" w:firstLineChars="200"/>
        <w:jc w:val="left"/>
        <w:rPr>
          <w:rFonts w:hint="eastAsia" w:ascii="宋体" w:hAnsi="宋体" w:cs="宋体"/>
          <w:bCs/>
          <w:color w:val="auto"/>
          <w:szCs w:val="21"/>
          <w:highlight w:val="none"/>
        </w:rPr>
      </w:pPr>
      <w:bookmarkStart w:id="50" w:name="_Toc7760"/>
      <w:bookmarkStart w:id="51" w:name="_Toc15032"/>
      <w:r>
        <w:rPr>
          <w:rFonts w:hint="eastAsia" w:ascii="宋体" w:hAnsi="宋体" w:cs="宋体"/>
          <w:bCs/>
          <w:color w:val="auto"/>
          <w:szCs w:val="21"/>
          <w:highlight w:val="none"/>
        </w:rPr>
        <w:t>1.1本次采购项目名称：见供应商须知前附表。</w:t>
      </w:r>
      <w:bookmarkEnd w:id="50"/>
      <w:bookmarkEnd w:id="51"/>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           项目编号：见供应商须知前附表。</w:t>
      </w:r>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             采购人：见供应商须知前附表。</w:t>
      </w:r>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供货期（合同履行期限）：见供应商须知前附表。</w:t>
      </w:r>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            供货地点：见供应商须知前附表。</w:t>
      </w:r>
    </w:p>
    <w:p>
      <w:pPr>
        <w:snapToGrid w:val="0"/>
        <w:spacing w:line="440" w:lineRule="exact"/>
        <w:ind w:firstLine="420" w:firstLineChars="200"/>
        <w:jc w:val="left"/>
        <w:rPr>
          <w:rFonts w:hint="eastAsia" w:ascii="宋体" w:hAnsi="宋体" w:cs="宋体"/>
          <w:bCs/>
          <w:color w:val="auto"/>
          <w:szCs w:val="21"/>
          <w:highlight w:val="none"/>
        </w:rPr>
      </w:pPr>
      <w:bookmarkStart w:id="52" w:name="_Toc5597"/>
      <w:bookmarkStart w:id="53" w:name="_Toc30074"/>
      <w:r>
        <w:rPr>
          <w:rFonts w:hint="eastAsia" w:ascii="宋体" w:hAnsi="宋体" w:cs="宋体"/>
          <w:bCs/>
          <w:color w:val="auto"/>
          <w:szCs w:val="21"/>
          <w:highlight w:val="none"/>
        </w:rPr>
        <w:t>1.2采购人及联系人</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 xml:space="preserve"> 见供应商须知前附表。</w:t>
      </w:r>
      <w:bookmarkEnd w:id="52"/>
      <w:bookmarkEnd w:id="53"/>
    </w:p>
    <w:p>
      <w:pPr>
        <w:snapToGrid w:val="0"/>
        <w:spacing w:line="440" w:lineRule="exact"/>
        <w:ind w:firstLine="630" w:firstLineChars="3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 采购代理机构及联系人</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 xml:space="preserve"> 见供应商须知前附表。</w:t>
      </w:r>
    </w:p>
    <w:p>
      <w:pPr>
        <w:snapToGrid w:val="0"/>
        <w:spacing w:line="440" w:lineRule="exact"/>
        <w:ind w:firstLine="420" w:firstLineChars="200"/>
        <w:jc w:val="left"/>
        <w:rPr>
          <w:rFonts w:hint="eastAsia" w:ascii="宋体" w:hAnsi="宋体" w:cs="宋体"/>
          <w:bCs/>
          <w:color w:val="auto"/>
          <w:szCs w:val="21"/>
          <w:highlight w:val="none"/>
        </w:rPr>
      </w:pPr>
      <w:bookmarkStart w:id="54" w:name="_Toc12932"/>
      <w:bookmarkStart w:id="55" w:name="_Toc25286"/>
      <w:r>
        <w:rPr>
          <w:rFonts w:hint="eastAsia" w:ascii="宋体" w:hAnsi="宋体" w:cs="宋体"/>
          <w:bCs/>
          <w:color w:val="auto"/>
          <w:szCs w:val="21"/>
          <w:highlight w:val="none"/>
        </w:rPr>
        <w:t>1.3资金来源：见供应商须知前附表。</w:t>
      </w:r>
      <w:bookmarkEnd w:id="54"/>
      <w:bookmarkEnd w:id="55"/>
    </w:p>
    <w:p>
      <w:pPr>
        <w:snapToGrid w:val="0"/>
        <w:spacing w:line="440" w:lineRule="exact"/>
        <w:ind w:firstLine="420" w:firstLineChars="200"/>
        <w:jc w:val="left"/>
        <w:rPr>
          <w:rFonts w:hint="eastAsia" w:ascii="宋体" w:hAnsi="宋体" w:cs="宋体"/>
          <w:bCs/>
          <w:color w:val="auto"/>
          <w:szCs w:val="21"/>
          <w:highlight w:val="none"/>
        </w:rPr>
      </w:pPr>
      <w:bookmarkStart w:id="56" w:name="_Toc5875"/>
      <w:bookmarkStart w:id="57" w:name="_Toc8183"/>
      <w:r>
        <w:rPr>
          <w:rFonts w:hint="eastAsia" w:ascii="宋体" w:hAnsi="宋体" w:cs="宋体"/>
          <w:bCs/>
          <w:color w:val="auto"/>
          <w:szCs w:val="21"/>
          <w:highlight w:val="none"/>
        </w:rPr>
        <w:t>1.4本项目预算：见供应商须知前附表。</w:t>
      </w:r>
      <w:bookmarkEnd w:id="56"/>
      <w:bookmarkEnd w:id="57"/>
    </w:p>
    <w:p>
      <w:pPr>
        <w:snapToGrid w:val="0"/>
        <w:spacing w:line="440" w:lineRule="exact"/>
        <w:ind w:firstLine="420" w:firstLineChars="200"/>
        <w:jc w:val="left"/>
        <w:rPr>
          <w:rFonts w:hint="eastAsia" w:ascii="宋体" w:hAnsi="宋体" w:cs="宋体"/>
          <w:bCs/>
          <w:color w:val="auto"/>
          <w:szCs w:val="21"/>
          <w:highlight w:val="none"/>
        </w:rPr>
      </w:pPr>
      <w:bookmarkStart w:id="58" w:name="_Toc18666"/>
      <w:bookmarkStart w:id="59" w:name="_Toc25684"/>
      <w:r>
        <w:rPr>
          <w:rFonts w:hint="eastAsia" w:ascii="宋体" w:hAnsi="宋体" w:cs="宋体"/>
          <w:bCs/>
          <w:color w:val="auto"/>
          <w:szCs w:val="21"/>
          <w:highlight w:val="none"/>
        </w:rPr>
        <w:t>1.5本项目最高限价：见供应商须知前附表。</w:t>
      </w:r>
      <w:bookmarkEnd w:id="58"/>
      <w:bookmarkEnd w:id="59"/>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2.采购范围：</w:t>
      </w:r>
    </w:p>
    <w:p>
      <w:pPr>
        <w:snapToGrid w:val="0"/>
        <w:spacing w:line="440" w:lineRule="exact"/>
        <w:ind w:firstLine="420" w:firstLineChars="200"/>
        <w:jc w:val="left"/>
        <w:rPr>
          <w:rFonts w:hint="eastAsia" w:ascii="宋体" w:hAnsi="宋体" w:cs="宋体"/>
          <w:bCs/>
          <w:color w:val="auto"/>
          <w:szCs w:val="21"/>
          <w:highlight w:val="none"/>
          <w:u w:val="single" w:color="auto"/>
        </w:rPr>
      </w:pPr>
      <w:bookmarkStart w:id="60" w:name="_Toc11342"/>
      <w:bookmarkStart w:id="61" w:name="_Toc16253"/>
      <w:r>
        <w:rPr>
          <w:rFonts w:hint="eastAsia" w:ascii="宋体" w:hAnsi="宋体" w:cs="宋体"/>
          <w:bCs/>
          <w:color w:val="auto"/>
          <w:szCs w:val="21"/>
          <w:highlight w:val="none"/>
        </w:rPr>
        <w:t>2.1 采购内容：见供应商须知前附表。</w:t>
      </w:r>
      <w:bookmarkEnd w:id="60"/>
      <w:bookmarkEnd w:id="61"/>
    </w:p>
    <w:p>
      <w:pPr>
        <w:snapToGrid w:val="0"/>
        <w:spacing w:line="440" w:lineRule="exact"/>
        <w:ind w:firstLine="420" w:firstLineChars="200"/>
        <w:jc w:val="left"/>
        <w:rPr>
          <w:rFonts w:hint="eastAsia" w:ascii="宋体" w:hAnsi="宋体" w:cs="宋体"/>
          <w:bCs/>
          <w:color w:val="auto"/>
          <w:szCs w:val="21"/>
          <w:highlight w:val="none"/>
          <w:u w:val="none" w:color="auto"/>
        </w:rPr>
      </w:pPr>
      <w:bookmarkStart w:id="62" w:name="_Toc3725"/>
      <w:bookmarkStart w:id="63" w:name="_Toc9118"/>
      <w:r>
        <w:rPr>
          <w:rFonts w:hint="eastAsia" w:ascii="宋体" w:hAnsi="宋体" w:cs="宋体"/>
          <w:bCs/>
          <w:color w:val="auto"/>
          <w:szCs w:val="21"/>
          <w:highlight w:val="none"/>
        </w:rPr>
        <w:t>2.2技术要求：详</w:t>
      </w:r>
      <w:r>
        <w:rPr>
          <w:rFonts w:hint="eastAsia" w:ascii="宋体" w:hAnsi="宋体" w:cs="宋体"/>
          <w:bCs/>
          <w:color w:val="auto"/>
          <w:szCs w:val="21"/>
          <w:highlight w:val="none"/>
          <w:u w:val="none" w:color="auto"/>
        </w:rPr>
        <w:t>见</w:t>
      </w:r>
      <w:r>
        <w:rPr>
          <w:rFonts w:hint="eastAsia" w:ascii="宋体" w:hAnsi="宋体" w:cs="宋体"/>
          <w:bCs/>
          <w:color w:val="auto"/>
          <w:szCs w:val="21"/>
          <w:highlight w:val="none"/>
          <w:u w:val="none" w:color="auto"/>
          <w:lang w:eastAsia="zh-CN"/>
        </w:rPr>
        <w:t>招标文件</w:t>
      </w:r>
      <w:r>
        <w:rPr>
          <w:rFonts w:hint="eastAsia" w:ascii="宋体" w:hAnsi="宋体" w:cs="宋体"/>
          <w:bCs/>
          <w:color w:val="auto"/>
          <w:szCs w:val="21"/>
          <w:highlight w:val="none"/>
          <w:u w:val="none" w:color="auto"/>
        </w:rPr>
        <w:t>第四章《采购内容及服务需求》。</w:t>
      </w:r>
      <w:bookmarkEnd w:id="62"/>
      <w:bookmarkEnd w:id="63"/>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u w:val="none" w:color="auto"/>
        </w:rPr>
        <w:t>3.</w:t>
      </w:r>
      <w:r>
        <w:rPr>
          <w:rFonts w:hint="eastAsia" w:ascii="宋体" w:hAnsi="宋体" w:cs="宋体"/>
          <w:bCs/>
          <w:color w:val="auto"/>
          <w:szCs w:val="21"/>
          <w:highlight w:val="none"/>
        </w:rPr>
        <w:t>标包划分：</w:t>
      </w:r>
    </w:p>
    <w:p>
      <w:pPr>
        <w:snapToGrid w:val="0"/>
        <w:spacing w:line="440" w:lineRule="exact"/>
        <w:ind w:firstLine="420" w:firstLineChars="200"/>
        <w:jc w:val="left"/>
        <w:rPr>
          <w:rFonts w:hint="eastAsia" w:ascii="宋体" w:hAnsi="宋体" w:cs="宋体"/>
          <w:bCs/>
          <w:color w:val="auto"/>
          <w:szCs w:val="21"/>
          <w:highlight w:val="none"/>
          <w:u w:val="none" w:color="auto"/>
        </w:rPr>
      </w:pPr>
      <w:bookmarkStart w:id="64" w:name="_Toc16504"/>
      <w:bookmarkStart w:id="65" w:name="_Toc25767"/>
      <w:r>
        <w:rPr>
          <w:rFonts w:hint="eastAsia" w:ascii="宋体" w:hAnsi="宋体" w:cs="宋体"/>
          <w:bCs/>
          <w:color w:val="auto"/>
          <w:szCs w:val="21"/>
          <w:highlight w:val="none"/>
        </w:rPr>
        <w:t>3.1本项目划分：</w:t>
      </w:r>
      <w:bookmarkEnd w:id="64"/>
      <w:bookmarkEnd w:id="65"/>
      <w:r>
        <w:rPr>
          <w:rFonts w:hint="eastAsia" w:ascii="宋体"/>
          <w:color w:val="auto"/>
          <w:szCs w:val="21"/>
          <w:highlight w:val="none"/>
        </w:rPr>
        <w:t>见</w:t>
      </w:r>
      <w:r>
        <w:rPr>
          <w:rFonts w:hint="eastAsia" w:ascii="宋体" w:hAnsi="宋体" w:cs="宋体"/>
          <w:bCs/>
          <w:color w:val="auto"/>
          <w:szCs w:val="21"/>
          <w:highlight w:val="none"/>
        </w:rPr>
        <w:t>供应商须知前附表</w:t>
      </w:r>
      <w:r>
        <w:rPr>
          <w:rFonts w:hint="eastAsia" w:ascii="宋体"/>
          <w:color w:val="auto"/>
          <w:szCs w:val="21"/>
          <w:highlight w:val="none"/>
        </w:rPr>
        <w:t>。</w:t>
      </w:r>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4.采购方式：</w:t>
      </w:r>
    </w:p>
    <w:p>
      <w:pPr>
        <w:snapToGrid w:val="0"/>
        <w:spacing w:line="440" w:lineRule="exact"/>
        <w:ind w:firstLine="420" w:firstLineChars="200"/>
        <w:jc w:val="left"/>
        <w:rPr>
          <w:rFonts w:hint="eastAsia" w:ascii="宋体" w:hAnsi="宋体" w:cs="宋体"/>
          <w:bCs/>
          <w:color w:val="auto"/>
          <w:szCs w:val="21"/>
          <w:highlight w:val="none"/>
        </w:rPr>
      </w:pPr>
      <w:bookmarkStart w:id="66" w:name="_Toc11924"/>
      <w:bookmarkStart w:id="67" w:name="_Toc26390"/>
      <w:r>
        <w:rPr>
          <w:rFonts w:hint="eastAsia" w:ascii="宋体" w:hAnsi="宋体" w:cs="宋体"/>
          <w:bCs/>
          <w:color w:val="auto"/>
          <w:szCs w:val="21"/>
          <w:highlight w:val="none"/>
        </w:rPr>
        <w:t>4.1本项目采购方式：见供应商须知前附表。</w:t>
      </w:r>
      <w:bookmarkEnd w:id="66"/>
      <w:bookmarkEnd w:id="67"/>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5.计价方式：</w:t>
      </w:r>
    </w:p>
    <w:p>
      <w:pPr>
        <w:snapToGrid w:val="0"/>
        <w:spacing w:line="440" w:lineRule="exact"/>
        <w:ind w:firstLine="420" w:firstLineChars="200"/>
        <w:jc w:val="left"/>
        <w:rPr>
          <w:rFonts w:hint="eastAsia" w:ascii="宋体" w:hAnsi="宋体" w:cs="宋体"/>
          <w:bCs/>
          <w:color w:val="auto"/>
          <w:szCs w:val="21"/>
          <w:highlight w:val="none"/>
        </w:rPr>
      </w:pPr>
      <w:bookmarkStart w:id="68" w:name="_Toc12555"/>
      <w:bookmarkStart w:id="69" w:name="_Toc25570"/>
      <w:r>
        <w:rPr>
          <w:rFonts w:hint="eastAsia" w:ascii="宋体" w:hAnsi="宋体" w:cs="宋体"/>
          <w:bCs/>
          <w:color w:val="auto"/>
          <w:szCs w:val="21"/>
          <w:highlight w:val="none"/>
        </w:rPr>
        <w:t>5.1本次采购项目合同采用</w:t>
      </w:r>
      <w:r>
        <w:rPr>
          <w:rFonts w:hint="eastAsia" w:ascii="宋体" w:hAnsi="宋体" w:cs="宋体"/>
          <w:bCs/>
          <w:color w:val="auto"/>
          <w:szCs w:val="21"/>
          <w:highlight w:val="none"/>
          <w:u w:val="single"/>
        </w:rPr>
        <w:t xml:space="preserve"> </w:t>
      </w:r>
      <w:bookmarkEnd w:id="68"/>
      <w:bookmarkEnd w:id="69"/>
      <w:r>
        <w:rPr>
          <w:rFonts w:hint="eastAsia" w:ascii="宋体" w:hAnsi="宋体" w:cs="宋体"/>
          <w:bCs/>
          <w:color w:val="auto"/>
          <w:szCs w:val="21"/>
          <w:highlight w:val="none"/>
          <w:u w:val="single"/>
        </w:rPr>
        <w:t xml:space="preserve"> 固定</w:t>
      </w:r>
      <w:r>
        <w:rPr>
          <w:rFonts w:hint="eastAsia" w:ascii="宋体" w:hAnsi="宋体" w:cs="宋体"/>
          <w:bCs/>
          <w:color w:val="auto"/>
          <w:szCs w:val="21"/>
          <w:highlight w:val="none"/>
          <w:u w:val="single"/>
          <w:lang w:val="en-US" w:eastAsia="zh-CN"/>
        </w:rPr>
        <w:t>总价</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u w:val="none" w:color="auto"/>
        </w:rPr>
        <w:t>。</w:t>
      </w:r>
    </w:p>
    <w:p>
      <w:pPr>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6.评审办法：</w:t>
      </w:r>
    </w:p>
    <w:p>
      <w:pPr>
        <w:snapToGrid w:val="0"/>
        <w:spacing w:line="440" w:lineRule="exact"/>
        <w:ind w:firstLine="420" w:firstLineChars="200"/>
        <w:jc w:val="left"/>
        <w:rPr>
          <w:rFonts w:hint="eastAsia" w:ascii="宋体" w:hAnsi="宋体" w:cs="宋体"/>
          <w:bCs/>
          <w:color w:val="auto"/>
          <w:szCs w:val="21"/>
          <w:highlight w:val="none"/>
        </w:rPr>
      </w:pPr>
      <w:bookmarkStart w:id="70" w:name="_Toc7207"/>
      <w:bookmarkStart w:id="71" w:name="_Toc235"/>
      <w:r>
        <w:rPr>
          <w:rFonts w:hint="eastAsia" w:ascii="宋体" w:hAnsi="宋体" w:cs="宋体"/>
          <w:bCs/>
          <w:color w:val="auto"/>
          <w:szCs w:val="21"/>
          <w:highlight w:val="none"/>
        </w:rPr>
        <w:t>6</w:t>
      </w:r>
      <w:r>
        <w:rPr>
          <w:rFonts w:hint="eastAsia" w:ascii="宋体" w:hAnsi="宋体" w:eastAsia="宋体" w:cs="宋体"/>
          <w:bCs/>
          <w:color w:val="auto"/>
          <w:szCs w:val="21"/>
          <w:highlight w:val="none"/>
        </w:rPr>
        <w:t>.1本次招标评标采用</w:t>
      </w:r>
      <w:r>
        <w:rPr>
          <w:rFonts w:hint="eastAsia" w:ascii="宋体" w:hAnsi="宋体" w:cs="宋体"/>
          <w:bCs/>
          <w:color w:val="auto"/>
          <w:szCs w:val="21"/>
          <w:highlight w:val="none"/>
          <w:u w:val="single" w:color="auto"/>
          <w:lang w:val="en-US" w:eastAsia="zh-CN"/>
        </w:rPr>
        <w:t>最低评标价</w:t>
      </w:r>
      <w:r>
        <w:rPr>
          <w:rFonts w:hint="eastAsia" w:ascii="宋体" w:hAnsi="宋体" w:eastAsia="宋体" w:cs="宋体"/>
          <w:bCs/>
          <w:color w:val="auto"/>
          <w:szCs w:val="21"/>
          <w:highlight w:val="none"/>
          <w:u w:val="single" w:color="auto"/>
        </w:rPr>
        <w:t>法</w:t>
      </w:r>
      <w:r>
        <w:rPr>
          <w:rFonts w:hint="eastAsia" w:ascii="宋体" w:hAnsi="宋体" w:eastAsia="宋体" w:cs="宋体"/>
          <w:bCs/>
          <w:color w:val="auto"/>
          <w:szCs w:val="21"/>
          <w:highlight w:val="none"/>
        </w:rPr>
        <w:t>。</w:t>
      </w:r>
      <w:r>
        <w:rPr>
          <w:rFonts w:hint="eastAsia" w:ascii="宋体" w:hAnsi="宋体" w:cs="宋体"/>
          <w:bCs/>
          <w:color w:val="auto"/>
          <w:szCs w:val="21"/>
          <w:highlight w:val="none"/>
        </w:rPr>
        <w:t>（详见第三章评审办法）</w:t>
      </w:r>
      <w:bookmarkEnd w:id="70"/>
      <w:bookmarkEnd w:id="71"/>
    </w:p>
    <w:p>
      <w:pPr>
        <w:snapToGrid w:val="0"/>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7.供应商资格：</w:t>
      </w:r>
    </w:p>
    <w:p>
      <w:pPr>
        <w:snapToGrid w:val="0"/>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7.1本项目供应商资格：见供应商须知前附表。</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8. </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费用</w:t>
      </w:r>
    </w:p>
    <w:p>
      <w:pPr>
        <w:snapToGrid w:val="0"/>
        <w:spacing w:line="440" w:lineRule="exact"/>
        <w:ind w:firstLine="420" w:firstLineChars="200"/>
        <w:jc w:val="left"/>
        <w:rPr>
          <w:rFonts w:hint="eastAsia" w:ascii="宋体" w:hAnsi="宋体" w:cs="宋体"/>
          <w:bCs/>
          <w:color w:val="auto"/>
          <w:szCs w:val="21"/>
          <w:highlight w:val="none"/>
        </w:rPr>
      </w:pPr>
      <w:bookmarkStart w:id="72" w:name="_Toc4732"/>
      <w:bookmarkStart w:id="73" w:name="_Toc30330"/>
      <w:r>
        <w:rPr>
          <w:rFonts w:hint="eastAsia" w:ascii="宋体" w:hAnsi="宋体" w:cs="宋体"/>
          <w:bCs/>
          <w:color w:val="auto"/>
          <w:szCs w:val="21"/>
          <w:highlight w:val="none"/>
        </w:rPr>
        <w:t>8.1供应商准备和参加采购活动发生的费用自理。</w:t>
      </w:r>
      <w:bookmarkEnd w:id="72"/>
      <w:bookmarkEnd w:id="73"/>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9.</w:t>
      </w:r>
      <w:bookmarkStart w:id="74" w:name="_Toc247527563"/>
      <w:bookmarkStart w:id="75" w:name="_Toc144974507"/>
      <w:bookmarkStart w:id="76" w:name="_Toc247513962"/>
      <w:bookmarkStart w:id="77" w:name="_Toc296602429"/>
      <w:bookmarkStart w:id="78" w:name="_Toc152042315"/>
      <w:bookmarkStart w:id="79" w:name="_Toc152045539"/>
      <w:bookmarkStart w:id="80" w:name="_Toc247592876"/>
      <w:r>
        <w:rPr>
          <w:rFonts w:hint="eastAsia" w:ascii="宋体" w:hAnsi="宋体" w:cs="宋体"/>
          <w:bCs/>
          <w:color w:val="auto"/>
          <w:szCs w:val="21"/>
          <w:highlight w:val="none"/>
        </w:rPr>
        <w:t xml:space="preserve"> 踏勘现场</w:t>
      </w:r>
      <w:bookmarkEnd w:id="74"/>
      <w:bookmarkEnd w:id="75"/>
      <w:bookmarkEnd w:id="76"/>
      <w:bookmarkEnd w:id="77"/>
      <w:bookmarkEnd w:id="78"/>
      <w:bookmarkEnd w:id="79"/>
      <w:bookmarkEnd w:id="80"/>
    </w:p>
    <w:p>
      <w:pPr>
        <w:snapToGrid w:val="0"/>
        <w:spacing w:line="440" w:lineRule="exact"/>
        <w:ind w:firstLine="420" w:firstLineChars="200"/>
        <w:jc w:val="left"/>
        <w:rPr>
          <w:rFonts w:hint="eastAsia" w:ascii="宋体" w:hAnsi="宋体" w:cs="宋体"/>
          <w:bCs/>
          <w:color w:val="auto"/>
          <w:szCs w:val="21"/>
          <w:highlight w:val="none"/>
        </w:rPr>
      </w:pPr>
      <w:bookmarkStart w:id="81" w:name="_Toc296602430"/>
      <w:bookmarkStart w:id="82" w:name="_Toc152042316"/>
      <w:bookmarkStart w:id="83" w:name="_Toc152045540"/>
      <w:bookmarkStart w:id="84" w:name="_Toc247527564"/>
      <w:bookmarkStart w:id="85" w:name="_Toc247513963"/>
      <w:bookmarkStart w:id="86" w:name="_Toc144974508"/>
      <w:bookmarkStart w:id="87" w:name="_Toc247592877"/>
      <w:r>
        <w:rPr>
          <w:rFonts w:hint="eastAsia" w:ascii="宋体" w:hAnsi="宋体" w:cs="宋体"/>
          <w:bCs/>
          <w:color w:val="auto"/>
          <w:szCs w:val="21"/>
          <w:highlight w:val="none"/>
        </w:rPr>
        <w:t xml:space="preserve">9.1 供应商须知前附表规定组织踏勘现场的，采购人按供应商须知前附表规定的时间、地点组织供应商踏勘项目现场。 </w:t>
      </w:r>
    </w:p>
    <w:p>
      <w:pPr>
        <w:spacing w:line="440" w:lineRule="exact"/>
        <w:ind w:firstLine="409" w:firstLineChars="195"/>
        <w:rPr>
          <w:rFonts w:hint="eastAsia" w:ascii="宋体"/>
          <w:color w:val="auto"/>
          <w:szCs w:val="21"/>
          <w:highlight w:val="none"/>
        </w:rPr>
      </w:pPr>
      <w:r>
        <w:rPr>
          <w:rFonts w:hint="eastAsia" w:ascii="宋体"/>
          <w:color w:val="auto"/>
          <w:szCs w:val="21"/>
          <w:highlight w:val="none"/>
        </w:rPr>
        <w:t>9.2 供应商踏勘现场发生的费用自理。</w:t>
      </w:r>
    </w:p>
    <w:p>
      <w:pPr>
        <w:spacing w:line="440" w:lineRule="exact"/>
        <w:ind w:firstLine="409" w:firstLineChars="195"/>
        <w:rPr>
          <w:rFonts w:hint="eastAsia" w:ascii="宋体"/>
          <w:color w:val="auto"/>
          <w:szCs w:val="21"/>
          <w:highlight w:val="none"/>
        </w:rPr>
      </w:pPr>
      <w:r>
        <w:rPr>
          <w:rFonts w:hint="eastAsia" w:ascii="宋体"/>
          <w:color w:val="auto"/>
          <w:szCs w:val="21"/>
          <w:highlight w:val="none"/>
        </w:rPr>
        <w:t>9.3 除采购人的原因外，供应商自行负责在踏勘现场中所发生的人员伤亡和财产损失。</w:t>
      </w:r>
    </w:p>
    <w:p>
      <w:pPr>
        <w:spacing w:line="440" w:lineRule="exact"/>
        <w:ind w:firstLine="409" w:firstLineChars="195"/>
        <w:rPr>
          <w:rFonts w:hint="eastAsia" w:ascii="宋体"/>
          <w:color w:val="auto"/>
          <w:szCs w:val="21"/>
          <w:highlight w:val="none"/>
        </w:rPr>
      </w:pPr>
      <w:r>
        <w:rPr>
          <w:rFonts w:hint="eastAsia" w:ascii="宋体"/>
          <w:color w:val="auto"/>
          <w:szCs w:val="21"/>
          <w:highlight w:val="none"/>
        </w:rPr>
        <w:t>9.4 采购人在踏勘现场中介绍的场地和相关的周边环境情况，供供应商在编制</w:t>
      </w:r>
      <w:r>
        <w:rPr>
          <w:rFonts w:hint="eastAsia" w:ascii="宋体"/>
          <w:color w:val="auto"/>
          <w:szCs w:val="21"/>
          <w:highlight w:val="none"/>
          <w:lang w:eastAsia="zh-CN"/>
        </w:rPr>
        <w:t>投标文件</w:t>
      </w:r>
      <w:r>
        <w:rPr>
          <w:rFonts w:hint="eastAsia" w:ascii="宋体"/>
          <w:color w:val="auto"/>
          <w:szCs w:val="21"/>
          <w:highlight w:val="none"/>
        </w:rPr>
        <w:t>时参考，采购人不对供应商据此作出的判断和决策负责。</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10.</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预备会</w:t>
      </w:r>
      <w:bookmarkEnd w:id="81"/>
      <w:bookmarkEnd w:id="82"/>
      <w:bookmarkEnd w:id="83"/>
      <w:bookmarkEnd w:id="84"/>
      <w:bookmarkEnd w:id="85"/>
      <w:bookmarkEnd w:id="86"/>
      <w:bookmarkEnd w:id="87"/>
      <w:r>
        <w:rPr>
          <w:rFonts w:hint="eastAsia"/>
          <w:b/>
          <w:color w:val="auto"/>
          <w:szCs w:val="21"/>
          <w:highlight w:val="none"/>
        </w:rPr>
        <w:t>（本项目不采用）</w:t>
      </w:r>
    </w:p>
    <w:p>
      <w:pPr>
        <w:spacing w:line="440" w:lineRule="exact"/>
        <w:ind w:firstLine="409" w:firstLineChars="195"/>
        <w:rPr>
          <w:rFonts w:hint="eastAsia" w:ascii="宋体"/>
          <w:color w:val="auto"/>
          <w:szCs w:val="21"/>
          <w:highlight w:val="none"/>
        </w:rPr>
      </w:pPr>
      <w:r>
        <w:rPr>
          <w:rFonts w:hint="eastAsia" w:ascii="宋体"/>
          <w:color w:val="auto"/>
          <w:szCs w:val="21"/>
          <w:highlight w:val="none"/>
        </w:rPr>
        <w:t>10.1供应商须知前附表规定召开</w:t>
      </w:r>
      <w:r>
        <w:rPr>
          <w:rFonts w:hint="eastAsia" w:ascii="宋体"/>
          <w:color w:val="auto"/>
          <w:szCs w:val="21"/>
          <w:highlight w:val="none"/>
          <w:lang w:val="en-US" w:eastAsia="zh-CN"/>
        </w:rPr>
        <w:t>投标</w:t>
      </w:r>
      <w:r>
        <w:rPr>
          <w:rFonts w:hint="eastAsia" w:ascii="宋体"/>
          <w:color w:val="auto"/>
          <w:szCs w:val="21"/>
          <w:highlight w:val="none"/>
        </w:rPr>
        <w:t>预备会的，采购人按供应商须知前附表规定的时间和地点召开</w:t>
      </w:r>
      <w:r>
        <w:rPr>
          <w:rFonts w:hint="eastAsia" w:ascii="宋体"/>
          <w:color w:val="auto"/>
          <w:szCs w:val="21"/>
          <w:highlight w:val="none"/>
          <w:lang w:val="en-US" w:eastAsia="zh-CN"/>
        </w:rPr>
        <w:t>投标</w:t>
      </w:r>
      <w:r>
        <w:rPr>
          <w:rFonts w:hint="eastAsia" w:ascii="宋体"/>
          <w:color w:val="auto"/>
          <w:szCs w:val="21"/>
          <w:highlight w:val="none"/>
        </w:rPr>
        <w:t>预备会，澄清供应商提出的问题。</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11.联合体、合同分包</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11.1 两个以上供应商可以组成一个联合体，以一个供应商的身份参加。以联合体形式参加</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的，联合体各方均应当符合《中华人民共和国政府采购法》第二十二条规定的条件。采购人根据采购项目的特殊要求规定供应商特定条件的，联合体各方中至少应当有一方符合采购人规定的特定条件。</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11.2联合体各方之间应当签订共同响应协议，明确约定联合体各方承担的工作和相应的责任，并将共同响应协议连同</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一并提交采购人。联合体各方签订共同响应协议后，不得再以自己名义单独在同一项目中响应，也不得组成新的联合体参加同一项目响应。</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11.3 联合体应当确定其中一个单位为响应的全权代表，负责参加</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的一切事务，并承担</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及履约中应承担的全部责任与义务。</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11.4 联合体各方应当共同与采购人签订采购合同，就采购合同约定的事项对采购人承担连带责任。</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11.5 联合体中有同类资质的供应商按照联合体分工承担相同工作的，应当按照资质等级较低的供应商确定资质等级。</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11.6 非专门面向中小企业采购项目是否允许大中型企业向一家或者多家小微企业分包见投标人须知前附表。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12.采购代理费和专家评审劳务费</w:t>
      </w:r>
      <w:r>
        <w:rPr>
          <w:rFonts w:hint="eastAsia"/>
          <w:b/>
          <w:color w:val="auto"/>
          <w:szCs w:val="21"/>
          <w:highlight w:val="none"/>
        </w:rPr>
        <w:t>（本项目不采用）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12.1 采购代理费</w:t>
      </w:r>
      <w:r>
        <w:rPr>
          <w:rFonts w:hint="eastAsia" w:ascii="宋体" w:hAnsi="宋体" w:cs="宋体"/>
          <w:bCs/>
          <w:color w:val="auto"/>
          <w:szCs w:val="21"/>
          <w:highlight w:val="none"/>
          <w:lang w:val="en-US" w:eastAsia="zh-CN"/>
        </w:rPr>
        <w:t>及</w:t>
      </w:r>
      <w:r>
        <w:rPr>
          <w:rFonts w:hint="eastAsia" w:ascii="宋体" w:hAnsi="宋体" w:cs="宋体"/>
          <w:bCs/>
          <w:color w:val="auto"/>
          <w:szCs w:val="21"/>
          <w:highlight w:val="none"/>
        </w:rPr>
        <w:t>专家评审劳务费：见供应商须知前附表。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13.供应商应注意的事项</w:t>
      </w:r>
    </w:p>
    <w:p>
      <w:pPr>
        <w:spacing w:line="440" w:lineRule="exact"/>
        <w:ind w:firstLine="420" w:firstLineChars="200"/>
        <w:rPr>
          <w:rFonts w:hint="eastAsia" w:ascii="宋体" w:hAnsi="宋体" w:cs="宋体"/>
          <w:bCs/>
          <w:color w:val="auto"/>
          <w:szCs w:val="21"/>
          <w:highlight w:val="none"/>
        </w:rPr>
      </w:pPr>
      <w:bookmarkStart w:id="88" w:name="_Toc31464"/>
      <w:bookmarkStart w:id="89" w:name="_Toc16601"/>
      <w:bookmarkStart w:id="90" w:name="_Toc25729"/>
      <w:bookmarkStart w:id="91" w:name="_Toc31497"/>
      <w:r>
        <w:rPr>
          <w:rFonts w:hint="eastAsia" w:ascii="宋体" w:hAnsi="宋体" w:cs="宋体"/>
          <w:bCs/>
          <w:color w:val="auto"/>
          <w:szCs w:val="21"/>
          <w:highlight w:val="none"/>
        </w:rPr>
        <w:t>13.1供应商一旦参加</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，即被认为接受了本</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中的所有条件和规定。供应商必须严格按</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的要求编制</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，以便评审审核。否则，由此产生的一切后果由供应商承担。</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13.2供应商对采购内容中规定的技术参数、规格、数量和要求等必须完全满足</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的相关要求。</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13.</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13.</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 xml:space="preserve"> 供应商被视为充分熟悉本</w:t>
      </w:r>
      <w:r>
        <w:rPr>
          <w:rFonts w:hint="eastAsia" w:ascii="宋体" w:hAnsi="宋体" w:cs="宋体"/>
          <w:bCs/>
          <w:color w:val="auto"/>
          <w:szCs w:val="21"/>
          <w:highlight w:val="none"/>
          <w:lang w:val="en-US" w:eastAsia="zh-CN"/>
        </w:rPr>
        <w:t>招标</w:t>
      </w:r>
      <w:r>
        <w:rPr>
          <w:rFonts w:hint="eastAsia" w:ascii="宋体" w:hAnsi="宋体" w:cs="宋体"/>
          <w:bCs/>
          <w:color w:val="auto"/>
          <w:szCs w:val="21"/>
          <w:highlight w:val="none"/>
        </w:rPr>
        <w:t>项目所在地的与履行合同有关的各种情况，包括但不限于：</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（1）国家对本次所供货物和服务的生产、安装调试、验收、维修等有关法律、法规及行业管理标准；</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（2）安徽省及滁州市等有关管理部门的相关规定；</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（3）采购人的相关场地情况、基础建设、电力供应情况及相关设计标准。</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不再对上述情况进行描述。</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13.</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 xml:space="preserve"> 凡供应商在我市公共资源交易活动中出现违法违规、破坏市场秩序等不良行为且被监管部门处罚的，一律在滁州市公共资源交易网等相关网站曝光。</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13.</w:t>
      </w:r>
      <w:r>
        <w:rPr>
          <w:rFonts w:hint="eastAsia" w:ascii="宋体" w:hAnsi="宋体" w:cs="宋体"/>
          <w:bCs/>
          <w:color w:val="auto"/>
          <w:szCs w:val="21"/>
          <w:highlight w:val="none"/>
          <w:lang w:val="en-US" w:eastAsia="zh-CN"/>
        </w:rPr>
        <w:t>6</w:t>
      </w:r>
      <w:r>
        <w:rPr>
          <w:rFonts w:hint="eastAsia" w:ascii="宋体" w:hAnsi="宋体" w:cs="宋体"/>
          <w:bCs/>
          <w:color w:val="auto"/>
          <w:szCs w:val="21"/>
          <w:highlight w:val="none"/>
        </w:rPr>
        <w:t xml:space="preserve"> 供应商的不良行为、失信行为及行政处罚等效力不因企业名称的变更而改变。</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13.</w:t>
      </w:r>
      <w:r>
        <w:rPr>
          <w:rFonts w:hint="eastAsia" w:ascii="宋体" w:hAnsi="宋体" w:cs="宋体"/>
          <w:bCs/>
          <w:color w:val="auto"/>
          <w:szCs w:val="21"/>
          <w:highlight w:val="none"/>
          <w:lang w:val="en-US" w:eastAsia="zh-CN"/>
        </w:rPr>
        <w:t>7</w:t>
      </w:r>
      <w:r>
        <w:rPr>
          <w:rFonts w:hint="eastAsia" w:ascii="宋体" w:hAnsi="宋体" w:cs="宋体"/>
          <w:bCs/>
          <w:color w:val="auto"/>
          <w:szCs w:val="21"/>
          <w:highlight w:val="none"/>
        </w:rPr>
        <w:t xml:space="preserve"> </w:t>
      </w:r>
      <w:r>
        <w:rPr>
          <w:rFonts w:hint="eastAsia" w:ascii="宋体" w:hAnsi="宋体" w:cs="宋体"/>
          <w:bCs/>
          <w:color w:val="auto"/>
          <w:szCs w:val="21"/>
          <w:highlight w:val="none"/>
          <w:lang w:val="en-US" w:eastAsia="zh-CN"/>
        </w:rPr>
        <w:t>中标</w:t>
      </w:r>
      <w:r>
        <w:rPr>
          <w:rFonts w:hint="eastAsia" w:ascii="宋体" w:hAnsi="宋体" w:cs="宋体"/>
          <w:bCs/>
          <w:color w:val="auto"/>
          <w:szCs w:val="21"/>
          <w:highlight w:val="none"/>
        </w:rPr>
        <w:t>候选人无正当理由放弃</w:t>
      </w:r>
      <w:r>
        <w:rPr>
          <w:rFonts w:hint="eastAsia" w:ascii="宋体" w:hAnsi="宋体" w:cs="宋体"/>
          <w:bCs/>
          <w:color w:val="auto"/>
          <w:szCs w:val="21"/>
          <w:highlight w:val="none"/>
          <w:lang w:val="en-US" w:eastAsia="zh-CN"/>
        </w:rPr>
        <w:t>中标</w:t>
      </w:r>
      <w:r>
        <w:rPr>
          <w:rFonts w:hint="eastAsia" w:ascii="宋体" w:hAnsi="宋体" w:cs="宋体"/>
          <w:bCs/>
          <w:color w:val="auto"/>
          <w:szCs w:val="21"/>
          <w:highlight w:val="none"/>
        </w:rPr>
        <w:t>候选人资格的，其将被</w:t>
      </w:r>
      <w:r>
        <w:rPr>
          <w:rFonts w:hint="eastAsia" w:ascii="宋体" w:hAnsi="宋体" w:cs="宋体"/>
          <w:bCs/>
          <w:color w:val="auto"/>
          <w:szCs w:val="21"/>
          <w:highlight w:val="none"/>
          <w:lang w:eastAsia="zh-CN"/>
        </w:rPr>
        <w:t>记入</w:t>
      </w:r>
      <w:r>
        <w:rPr>
          <w:rFonts w:hint="eastAsia" w:ascii="宋体" w:hAnsi="宋体" w:cs="宋体"/>
          <w:bCs/>
          <w:color w:val="auto"/>
          <w:szCs w:val="21"/>
          <w:highlight w:val="none"/>
        </w:rPr>
        <w:t>不良信息记录。</w:t>
      </w:r>
    </w:p>
    <w:p>
      <w:pPr>
        <w:spacing w:line="360" w:lineRule="exact"/>
        <w:ind w:firstLine="420" w:firstLineChars="200"/>
        <w:jc w:val="center"/>
        <w:rPr>
          <w:rFonts w:hint="eastAsia" w:ascii="宋体"/>
          <w:bCs/>
          <w:color w:val="auto"/>
          <w:szCs w:val="21"/>
          <w:highlight w:val="none"/>
        </w:rPr>
      </w:pPr>
    </w:p>
    <w:p>
      <w:pPr>
        <w:spacing w:line="360" w:lineRule="exact"/>
        <w:ind w:firstLine="482" w:firstLineChars="20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rPr>
        <w:t>（二）</w:t>
      </w:r>
      <w:bookmarkEnd w:id="88"/>
      <w:bookmarkEnd w:id="89"/>
      <w:bookmarkEnd w:id="90"/>
      <w:bookmarkEnd w:id="91"/>
      <w:r>
        <w:rPr>
          <w:rFonts w:hint="eastAsia" w:ascii="宋体" w:hAnsi="宋体" w:cs="宋体"/>
          <w:b/>
          <w:color w:val="auto"/>
          <w:sz w:val="24"/>
          <w:szCs w:val="24"/>
          <w:highlight w:val="none"/>
          <w:lang w:eastAsia="zh-CN"/>
        </w:rPr>
        <w:t>招标文件</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14.</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的编制依据</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根据《中华人民共和国政府采购法》、《中华人民共和国政府采购法及其实施条例》、《政府采购非招标采购方式管理办法》和《中华人民共和国民法典》等相关法律法规和规章及部、省、市级规范性文件的规定，编制本</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15.</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的组成</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15.1 </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包括内容：</w:t>
      </w:r>
    </w:p>
    <w:p>
      <w:pPr>
        <w:spacing w:line="440" w:lineRule="exact"/>
        <w:ind w:firstLine="420" w:firstLineChars="200"/>
        <w:jc w:val="left"/>
        <w:rPr>
          <w:rFonts w:hint="eastAsia" w:ascii="宋体" w:hAnsi="宋体" w:cs="宋体"/>
          <w:bCs/>
          <w:color w:val="auto"/>
          <w:szCs w:val="21"/>
          <w:highlight w:val="none"/>
        </w:rPr>
      </w:pPr>
      <w:bookmarkStart w:id="92" w:name="_Toc18488"/>
      <w:bookmarkStart w:id="93" w:name="_Toc7156"/>
      <w:r>
        <w:rPr>
          <w:rFonts w:hint="eastAsia" w:ascii="宋体" w:hAnsi="宋体" w:cs="宋体"/>
          <w:bCs/>
          <w:color w:val="auto"/>
          <w:szCs w:val="21"/>
          <w:highlight w:val="none"/>
        </w:rPr>
        <w:t xml:space="preserve">第一章  </w:t>
      </w:r>
      <w:r>
        <w:rPr>
          <w:rFonts w:hint="eastAsia" w:ascii="宋体" w:hAnsi="宋体" w:cs="宋体"/>
          <w:bCs/>
          <w:color w:val="auto"/>
          <w:szCs w:val="21"/>
          <w:highlight w:val="none"/>
          <w:lang w:val="en-US" w:eastAsia="zh-CN"/>
        </w:rPr>
        <w:t>招标</w:t>
      </w:r>
      <w:r>
        <w:rPr>
          <w:rFonts w:hint="eastAsia" w:ascii="宋体" w:hAnsi="宋体" w:cs="宋体"/>
          <w:bCs/>
          <w:color w:val="auto"/>
          <w:szCs w:val="21"/>
          <w:highlight w:val="none"/>
        </w:rPr>
        <w:t>公告</w:t>
      </w:r>
      <w:bookmarkEnd w:id="92"/>
      <w:bookmarkEnd w:id="93"/>
    </w:p>
    <w:p>
      <w:pPr>
        <w:spacing w:line="440" w:lineRule="exact"/>
        <w:ind w:firstLine="420" w:firstLineChars="200"/>
        <w:jc w:val="left"/>
        <w:rPr>
          <w:rFonts w:hint="eastAsia" w:ascii="宋体" w:hAnsi="宋体" w:cs="宋体"/>
          <w:bCs/>
          <w:color w:val="auto"/>
          <w:szCs w:val="21"/>
          <w:highlight w:val="none"/>
        </w:rPr>
      </w:pPr>
      <w:bookmarkStart w:id="94" w:name="_Toc29374"/>
      <w:bookmarkStart w:id="95" w:name="_Toc12769"/>
      <w:r>
        <w:rPr>
          <w:rFonts w:hint="eastAsia" w:ascii="宋体" w:hAnsi="宋体" w:cs="宋体"/>
          <w:bCs/>
          <w:color w:val="auto"/>
          <w:szCs w:val="21"/>
          <w:highlight w:val="none"/>
        </w:rPr>
        <w:t xml:space="preserve">第二章  </w:t>
      </w:r>
      <w:bookmarkEnd w:id="94"/>
      <w:bookmarkEnd w:id="95"/>
      <w:r>
        <w:rPr>
          <w:rFonts w:hint="eastAsia" w:ascii="宋体" w:hAnsi="宋体" w:cs="宋体"/>
          <w:bCs/>
          <w:color w:val="auto"/>
          <w:szCs w:val="21"/>
          <w:highlight w:val="none"/>
        </w:rPr>
        <w:t>供应商须知</w:t>
      </w:r>
    </w:p>
    <w:p>
      <w:pPr>
        <w:spacing w:line="440" w:lineRule="exact"/>
        <w:ind w:firstLine="420" w:firstLineChars="200"/>
        <w:jc w:val="left"/>
        <w:rPr>
          <w:rFonts w:hint="eastAsia" w:ascii="宋体" w:hAnsi="宋体" w:cs="宋体"/>
          <w:bCs/>
          <w:color w:val="auto"/>
          <w:szCs w:val="21"/>
          <w:highlight w:val="none"/>
        </w:rPr>
      </w:pPr>
      <w:bookmarkStart w:id="96" w:name="_Toc2366"/>
      <w:bookmarkStart w:id="97" w:name="_Toc14530"/>
      <w:r>
        <w:rPr>
          <w:rFonts w:hint="eastAsia" w:ascii="宋体" w:hAnsi="宋体" w:cs="宋体"/>
          <w:bCs/>
          <w:color w:val="auto"/>
          <w:szCs w:val="21"/>
          <w:highlight w:val="none"/>
        </w:rPr>
        <w:t>第三章  评审办法</w:t>
      </w:r>
      <w:bookmarkEnd w:id="96"/>
      <w:bookmarkEnd w:id="97"/>
    </w:p>
    <w:p>
      <w:pPr>
        <w:spacing w:line="440" w:lineRule="exact"/>
        <w:ind w:firstLine="420" w:firstLineChars="200"/>
        <w:jc w:val="left"/>
        <w:rPr>
          <w:rFonts w:hint="eastAsia" w:ascii="宋体" w:hAnsi="宋体" w:cs="宋体"/>
          <w:bCs/>
          <w:color w:val="auto"/>
          <w:szCs w:val="21"/>
          <w:highlight w:val="none"/>
        </w:rPr>
      </w:pPr>
      <w:bookmarkStart w:id="98" w:name="_Toc29202"/>
      <w:bookmarkStart w:id="99" w:name="_Toc23352"/>
      <w:r>
        <w:rPr>
          <w:rFonts w:hint="eastAsia" w:ascii="宋体" w:hAnsi="宋体" w:cs="宋体"/>
          <w:bCs/>
          <w:color w:val="auto"/>
          <w:szCs w:val="21"/>
          <w:highlight w:val="none"/>
        </w:rPr>
        <w:t xml:space="preserve">第四章  </w:t>
      </w:r>
      <w:bookmarkEnd w:id="98"/>
      <w:bookmarkEnd w:id="99"/>
      <w:r>
        <w:rPr>
          <w:rFonts w:hint="eastAsia" w:ascii="宋体" w:hAnsi="宋体" w:cs="宋体"/>
          <w:bCs/>
          <w:color w:val="auto"/>
          <w:szCs w:val="21"/>
          <w:highlight w:val="none"/>
        </w:rPr>
        <w:t>采购内容及服务需求</w:t>
      </w:r>
    </w:p>
    <w:p>
      <w:pPr>
        <w:spacing w:line="440" w:lineRule="exact"/>
        <w:ind w:firstLine="420" w:firstLineChars="200"/>
        <w:jc w:val="left"/>
        <w:rPr>
          <w:rFonts w:hint="eastAsia" w:ascii="宋体" w:hAnsi="宋体" w:cs="宋体"/>
          <w:bCs/>
          <w:color w:val="auto"/>
          <w:szCs w:val="21"/>
          <w:highlight w:val="none"/>
        </w:rPr>
      </w:pPr>
      <w:bookmarkStart w:id="100" w:name="_Toc9334"/>
      <w:bookmarkStart w:id="101" w:name="_Toc24013"/>
      <w:r>
        <w:rPr>
          <w:rFonts w:hint="eastAsia" w:ascii="宋体" w:hAnsi="宋体" w:cs="宋体"/>
          <w:bCs/>
          <w:color w:val="auto"/>
          <w:szCs w:val="21"/>
          <w:highlight w:val="none"/>
        </w:rPr>
        <w:t>第五章  合同条款及格式</w:t>
      </w:r>
      <w:bookmarkEnd w:id="100"/>
      <w:bookmarkEnd w:id="101"/>
    </w:p>
    <w:p>
      <w:pPr>
        <w:spacing w:line="440" w:lineRule="exact"/>
        <w:ind w:firstLine="420" w:firstLineChars="200"/>
        <w:jc w:val="left"/>
        <w:rPr>
          <w:rFonts w:hint="eastAsia" w:ascii="宋体" w:hAnsi="宋体" w:cs="宋体"/>
          <w:bCs/>
          <w:color w:val="auto"/>
          <w:szCs w:val="21"/>
          <w:highlight w:val="none"/>
        </w:rPr>
      </w:pPr>
      <w:bookmarkStart w:id="102" w:name="_Toc22978"/>
      <w:bookmarkStart w:id="103" w:name="_Toc436"/>
      <w:r>
        <w:rPr>
          <w:rFonts w:hint="eastAsia" w:ascii="宋体" w:hAnsi="宋体" w:cs="宋体"/>
          <w:bCs/>
          <w:color w:val="auto"/>
          <w:szCs w:val="21"/>
          <w:highlight w:val="none"/>
        </w:rPr>
        <w:t xml:space="preserve">第六章  </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格式文本</w:t>
      </w:r>
      <w:bookmarkEnd w:id="102"/>
      <w:bookmarkEnd w:id="103"/>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15.2 除15.1内容外，采购答疑亦为</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的组成部分，对采购人和供应商起约束作用。</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15.3供应商应仔细阅读和检查</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的全部内容。如发现缺页或附件不全，应及时向采购人提出，以便补齐。</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15.4供应商可以</w:t>
      </w:r>
      <w:r>
        <w:rPr>
          <w:rFonts w:hint="eastAsia" w:ascii="宋体" w:hAnsi="宋体" w:cs="宋体"/>
          <w:bCs/>
          <w:color w:val="auto"/>
          <w:szCs w:val="21"/>
          <w:highlight w:val="none"/>
          <w:lang w:val="en-US" w:eastAsia="zh-CN"/>
        </w:rPr>
        <w:t>将疑问</w:t>
      </w:r>
      <w:r>
        <w:rPr>
          <w:rFonts w:cs="Times New Roman"/>
          <w:b w:val="0"/>
          <w:bCs w:val="0"/>
          <w:color w:val="auto"/>
          <w:highlight w:val="none"/>
        </w:rPr>
        <w:t>内容以书面的形式加盖投标单位公章，</w:t>
      </w:r>
      <w:r>
        <w:rPr>
          <w:rFonts w:hint="eastAsia" w:cs="Times New Roman"/>
          <w:b w:val="0"/>
          <w:bCs w:val="0"/>
          <w:color w:val="auto"/>
          <w:highlight w:val="none"/>
        </w:rPr>
        <w:t>送至招标人处</w:t>
      </w:r>
      <w:r>
        <w:rPr>
          <w:rFonts w:hint="eastAsia" w:ascii="宋体" w:hAnsi="宋体" w:cs="宋体"/>
          <w:bCs/>
          <w:color w:val="auto"/>
          <w:szCs w:val="21"/>
          <w:highlight w:val="none"/>
        </w:rPr>
        <w:t>。</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的澄清将在</w:t>
      </w:r>
      <w:r>
        <w:rPr>
          <w:rFonts w:hint="eastAsia" w:ascii="宋体" w:hAnsi="宋体" w:cs="宋体"/>
          <w:bCs/>
          <w:color w:val="auto"/>
          <w:szCs w:val="21"/>
          <w:highlight w:val="none"/>
          <w:lang w:eastAsia="zh-CN"/>
        </w:rPr>
        <w:t>滁州市工投公司公众号或中国扬子集团公司网（http://www.yangzigroup.cn）</w:t>
      </w:r>
      <w:r>
        <w:rPr>
          <w:rFonts w:hint="eastAsia" w:ascii="宋体" w:hAnsi="宋体" w:cs="宋体"/>
          <w:bCs/>
          <w:color w:val="auto"/>
          <w:szCs w:val="21"/>
          <w:highlight w:val="none"/>
        </w:rPr>
        <w:t>发布，但不指明澄清问题的来源。如果澄清内容影响</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编制的，将相应延长</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递交截止时间。</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的修改、补充、解释</w:t>
      </w:r>
    </w:p>
    <w:p>
      <w:pPr>
        <w:keepNext w:val="0"/>
        <w:keepLines w:val="0"/>
        <w:pageBreakBefore w:val="0"/>
        <w:widowControl/>
        <w:kinsoku/>
        <w:wordWrap w:val="0"/>
        <w:overflowPunct/>
        <w:topLinePunct w:val="0"/>
        <w:autoSpaceDE/>
        <w:autoSpaceDN/>
        <w:bidi w:val="0"/>
        <w:adjustRightInd/>
        <w:snapToGrid/>
        <w:spacing w:line="440" w:lineRule="exact"/>
        <w:ind w:firstLine="420" w:firstLineChars="200"/>
        <w:jc w:val="left"/>
        <w:textAlignment w:val="baseline"/>
        <w:rPr>
          <w:rFonts w:hint="eastAsia" w:ascii="宋体" w:hAnsi="宋体" w:cs="宋体"/>
          <w:bCs/>
          <w:color w:val="auto"/>
          <w:szCs w:val="21"/>
          <w:highlight w:val="none"/>
        </w:rPr>
      </w:pPr>
      <w:r>
        <w:rPr>
          <w:rFonts w:hint="eastAsia" w:ascii="宋体" w:hAnsi="宋体" w:cs="宋体"/>
          <w:bCs/>
          <w:color w:val="auto"/>
          <w:szCs w:val="21"/>
          <w:highlight w:val="none"/>
        </w:rPr>
        <w:t>16.1</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发出后，采购人在规定的提交首次</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截止时间前可对</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进行必要的修改和补充，</w:t>
      </w:r>
      <w:r>
        <w:rPr>
          <w:rFonts w:hint="eastAsia" w:ascii="宋体"/>
          <w:color w:val="auto"/>
          <w:szCs w:val="21"/>
          <w:highlight w:val="none"/>
        </w:rPr>
        <w:t>并以更正公告形式</w:t>
      </w:r>
      <w:r>
        <w:rPr>
          <w:rFonts w:hint="eastAsia" w:ascii="宋体" w:hAnsi="宋体" w:eastAsia="宋体" w:cs="宋体"/>
          <w:b w:val="0"/>
          <w:bCs w:val="0"/>
          <w:color w:val="auto"/>
          <w:kern w:val="2"/>
          <w:sz w:val="21"/>
          <w:szCs w:val="21"/>
          <w:highlight w:val="none"/>
          <w:lang w:val="en-US" w:eastAsia="zh-CN" w:bidi="ar"/>
        </w:rPr>
        <w:t>在滁州市工投公司公众号或中国扬子集团公司网（http://www.yangzigroup.cn）</w:t>
      </w:r>
      <w:r>
        <w:rPr>
          <w:rFonts w:hint="eastAsia" w:ascii="宋体" w:cs="宋体"/>
          <w:color w:val="auto"/>
          <w:szCs w:val="21"/>
          <w:highlight w:val="none"/>
        </w:rPr>
        <w:t>发布</w:t>
      </w:r>
      <w:r>
        <w:rPr>
          <w:rFonts w:hint="eastAsia" w:ascii="宋体" w:hAnsi="宋体" w:cs="宋体"/>
          <w:bCs/>
          <w:color w:val="auto"/>
          <w:szCs w:val="21"/>
          <w:highlight w:val="none"/>
        </w:rPr>
        <w:t>予以公告，请各位供应商注意查看有关澄清内容，如不及时查看造成后果由供应商自负。</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的修改、补充等内容作为</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的组成部分，具有约束作用。</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16.2 供应商应在</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提交截止时间前关注原采购信息发布媒体上有关本项目有无变更公告，如不及时查看造成后果由供应商自负。</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16.3 </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的解释</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（1）构成本</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的各个组成文件应互为解释，互为说明；</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（2）同一组成文件中就同一事项的规定或约定不一致的，以编排顺序在后者为准；</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（3）如有不明确或不一致，构成合同文件组成内容的，以合同文件约定内容为准，且以专用合同条款约定的合同文件优先顺序解释；</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）按本款前述规定仍不能形成结论的，由采购人（或其委托的采购代理机构）负责解释。</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17.</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的发出</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17.1</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的澄清、修改、补充及采购答疑等均应报</w:t>
      </w:r>
      <w:r>
        <w:rPr>
          <w:rFonts w:hint="eastAsia" w:ascii="宋体" w:hAnsi="宋体" w:cs="宋体"/>
          <w:bCs/>
          <w:color w:val="auto"/>
          <w:szCs w:val="21"/>
          <w:highlight w:val="none"/>
          <w:lang w:val="en-US" w:eastAsia="zh-CN"/>
        </w:rPr>
        <w:t>采购人审核通过</w:t>
      </w:r>
      <w:r>
        <w:rPr>
          <w:rFonts w:hint="eastAsia" w:ascii="宋体" w:hAnsi="宋体" w:cs="宋体"/>
          <w:bCs/>
          <w:color w:val="auto"/>
          <w:szCs w:val="21"/>
          <w:highlight w:val="none"/>
        </w:rPr>
        <w:t>后，方可发出。</w:t>
      </w:r>
    </w:p>
    <w:p>
      <w:pPr>
        <w:spacing w:line="440" w:lineRule="exact"/>
        <w:ind w:firstLine="420" w:firstLineChars="200"/>
        <w:jc w:val="left"/>
        <w:rPr>
          <w:rFonts w:hint="eastAsia" w:ascii="宋体" w:hAnsi="宋体" w:cs="宋体"/>
          <w:b/>
          <w:color w:val="auto"/>
          <w:szCs w:val="21"/>
          <w:highlight w:val="none"/>
        </w:rPr>
      </w:pPr>
      <w:r>
        <w:rPr>
          <w:rFonts w:hint="eastAsia" w:ascii="宋体" w:hAnsi="宋体" w:cs="宋体"/>
          <w:bCs/>
          <w:color w:val="auto"/>
          <w:szCs w:val="21"/>
          <w:highlight w:val="none"/>
        </w:rPr>
        <w:t>18.样品</w:t>
      </w:r>
      <w:r>
        <w:rPr>
          <w:rFonts w:hint="eastAsia" w:ascii="宋体" w:hAnsi="宋体" w:cs="宋体"/>
          <w:b/>
          <w:color w:val="auto"/>
          <w:szCs w:val="21"/>
          <w:highlight w:val="none"/>
        </w:rPr>
        <w:t>（本项目不需要提供样品）</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18.1凡需要设置样品情形时，必须明确是否需要随样品提交检测报告，并明确检测机构的要求、检测内容、</w:t>
      </w:r>
      <w:r>
        <w:rPr>
          <w:rFonts w:hint="eastAsia" w:ascii="宋体" w:hAnsi="宋体" w:cs="宋体"/>
          <w:bCs/>
          <w:color w:val="auto"/>
          <w:szCs w:val="21"/>
          <w:highlight w:val="none"/>
          <w:lang w:val="en-US" w:eastAsia="zh-CN"/>
        </w:rPr>
        <w:t>成交</w:t>
      </w:r>
      <w:r>
        <w:rPr>
          <w:rFonts w:hint="eastAsia" w:ascii="宋体" w:hAnsi="宋体" w:cs="宋体"/>
          <w:bCs/>
          <w:color w:val="auto"/>
          <w:szCs w:val="21"/>
          <w:highlight w:val="none"/>
        </w:rPr>
        <w:t>样品封存等事项。</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无法判断样品是否合格且样品需要提供给第三方权威检测机构检测的</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在供应商提供采购人认可的第三方权威检测机构检测报告后，</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推荐的</w:t>
      </w:r>
      <w:r>
        <w:rPr>
          <w:rFonts w:hint="eastAsia" w:ascii="宋体" w:hAnsi="宋体" w:cs="宋体"/>
          <w:bCs/>
          <w:color w:val="auto"/>
          <w:szCs w:val="21"/>
          <w:highlight w:val="none"/>
          <w:lang w:val="en-US" w:eastAsia="zh-CN"/>
        </w:rPr>
        <w:t>中标</w:t>
      </w:r>
      <w:r>
        <w:rPr>
          <w:rFonts w:hint="eastAsia" w:ascii="宋体" w:hAnsi="宋体" w:cs="宋体"/>
          <w:bCs/>
          <w:color w:val="auto"/>
          <w:szCs w:val="21"/>
          <w:highlight w:val="none"/>
        </w:rPr>
        <w:t>候选人方可生效，采购人或代理机构发布</w:t>
      </w:r>
      <w:r>
        <w:rPr>
          <w:rFonts w:hint="eastAsia" w:ascii="宋体" w:hAnsi="宋体" w:cs="宋体"/>
          <w:bCs/>
          <w:color w:val="auto"/>
          <w:szCs w:val="21"/>
          <w:highlight w:val="none"/>
          <w:lang w:val="en-US" w:eastAsia="zh-CN"/>
        </w:rPr>
        <w:t>中标</w:t>
      </w:r>
      <w:r>
        <w:rPr>
          <w:rFonts w:hint="eastAsia" w:ascii="宋体" w:hAnsi="宋体" w:cs="宋体"/>
          <w:bCs/>
          <w:color w:val="auto"/>
          <w:szCs w:val="21"/>
          <w:highlight w:val="none"/>
        </w:rPr>
        <w:t>结果公告。</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18.2</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中应明确样品送检方式、检测费用支付方法、供应商在规定时间内无法提供第三方权威检测机构检测报告的处理方式。（采购人根据项目需求按上述要求自行描述）</w:t>
      </w:r>
    </w:p>
    <w:p>
      <w:pPr>
        <w:spacing w:before="156" w:beforeLines="50" w:after="156" w:afterLines="50" w:line="440" w:lineRule="exact"/>
        <w:jc w:val="center"/>
        <w:outlineLvl w:val="1"/>
        <w:rPr>
          <w:rFonts w:hint="eastAsia" w:ascii="宋体" w:hAnsi="宋体" w:cs="宋体"/>
          <w:b/>
          <w:color w:val="auto"/>
          <w:sz w:val="24"/>
          <w:szCs w:val="24"/>
          <w:highlight w:val="none"/>
        </w:rPr>
      </w:pPr>
      <w:bookmarkStart w:id="104" w:name="_Toc1792"/>
      <w:bookmarkStart w:id="105" w:name="_Toc3299"/>
      <w:bookmarkStart w:id="106" w:name="_Toc17574"/>
      <w:bookmarkStart w:id="107" w:name="_Toc20275"/>
      <w:bookmarkStart w:id="108" w:name="_Toc13226"/>
      <w:bookmarkStart w:id="109" w:name="_Toc9299"/>
      <w:r>
        <w:rPr>
          <w:rFonts w:hint="eastAsia" w:ascii="宋体" w:hAnsi="宋体" w:cs="宋体"/>
          <w:b/>
          <w:color w:val="auto"/>
          <w:sz w:val="24"/>
          <w:szCs w:val="24"/>
          <w:highlight w:val="none"/>
        </w:rPr>
        <w:t>（三）</w:t>
      </w:r>
      <w:r>
        <w:rPr>
          <w:rFonts w:hint="eastAsia" w:ascii="宋体" w:hAnsi="宋体" w:cs="宋体"/>
          <w:b/>
          <w:color w:val="auto"/>
          <w:sz w:val="24"/>
          <w:szCs w:val="24"/>
          <w:highlight w:val="none"/>
          <w:lang w:eastAsia="zh-CN"/>
        </w:rPr>
        <w:t>投标文件</w:t>
      </w:r>
      <w:r>
        <w:rPr>
          <w:rFonts w:hint="eastAsia" w:ascii="宋体" w:hAnsi="宋体" w:cs="宋体"/>
          <w:b/>
          <w:color w:val="auto"/>
          <w:sz w:val="24"/>
          <w:szCs w:val="24"/>
          <w:highlight w:val="none"/>
        </w:rPr>
        <w:t>的编制</w:t>
      </w:r>
      <w:bookmarkEnd w:id="104"/>
      <w:bookmarkEnd w:id="105"/>
      <w:bookmarkEnd w:id="106"/>
      <w:bookmarkEnd w:id="107"/>
      <w:bookmarkEnd w:id="108"/>
      <w:bookmarkEnd w:id="109"/>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19.</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的语言及度量衡单位</w:t>
      </w:r>
    </w:p>
    <w:p>
      <w:pPr>
        <w:widowControl w:val="0"/>
        <w:spacing w:line="440" w:lineRule="exact"/>
        <w:ind w:firstLine="420" w:firstLineChars="200"/>
        <w:jc w:val="left"/>
        <w:textAlignment w:val="auto"/>
        <w:rPr>
          <w:rFonts w:hint="eastAsia" w:ascii="宋体" w:hAnsi="宋体" w:cs="宋体"/>
          <w:bCs/>
          <w:color w:val="auto"/>
          <w:szCs w:val="21"/>
          <w:highlight w:val="none"/>
        </w:rPr>
      </w:pPr>
      <w:r>
        <w:rPr>
          <w:rFonts w:hint="eastAsia" w:ascii="宋体" w:hAnsi="宋体" w:cs="宋体"/>
          <w:bCs/>
          <w:color w:val="auto"/>
          <w:szCs w:val="21"/>
          <w:highlight w:val="none"/>
        </w:rPr>
        <w:t>19.1供应商的</w:t>
      </w:r>
      <w:r>
        <w:rPr>
          <w:rFonts w:hint="eastAsia" w:ascii="宋体" w:hAnsi="宋体" w:cs="宋体"/>
          <w:bCs/>
          <w:color w:val="auto"/>
          <w:szCs w:val="21"/>
          <w:highlight w:val="none"/>
          <w:lang w:eastAsia="zh-CN"/>
        </w:rPr>
        <w:t>投标文件，以及</w:t>
      </w:r>
      <w:r>
        <w:rPr>
          <w:rFonts w:hint="eastAsia" w:ascii="宋体" w:hAnsi="宋体" w:cs="宋体"/>
          <w:bCs/>
          <w:color w:val="auto"/>
          <w:szCs w:val="21"/>
          <w:highlight w:val="none"/>
        </w:rPr>
        <w:t>供应商与采购人就</w:t>
      </w:r>
      <w:r>
        <w:rPr>
          <w:rFonts w:hint="eastAsia" w:ascii="宋体" w:hAnsi="宋体" w:cs="宋体"/>
          <w:bCs/>
          <w:color w:val="auto"/>
          <w:szCs w:val="21"/>
          <w:highlight w:val="none"/>
          <w:lang w:val="en-US" w:eastAsia="zh-CN"/>
        </w:rPr>
        <w:t>招标</w:t>
      </w:r>
      <w:r>
        <w:rPr>
          <w:rFonts w:hint="eastAsia" w:ascii="宋体" w:hAnsi="宋体" w:cs="宋体"/>
          <w:bCs/>
          <w:color w:val="auto"/>
          <w:szCs w:val="21"/>
          <w:highlight w:val="none"/>
        </w:rPr>
        <w:t>的所有往来函电，均须使用简体中文。</w:t>
      </w:r>
    </w:p>
    <w:p>
      <w:pPr>
        <w:widowControl w:val="0"/>
        <w:spacing w:line="440" w:lineRule="exact"/>
        <w:ind w:firstLine="420" w:firstLineChars="200"/>
        <w:jc w:val="left"/>
        <w:textAlignment w:val="auto"/>
        <w:rPr>
          <w:rFonts w:hint="eastAsia" w:ascii="宋体" w:hAnsi="宋体" w:cs="宋体"/>
          <w:bCs/>
          <w:color w:val="auto"/>
          <w:szCs w:val="21"/>
          <w:highlight w:val="none"/>
        </w:rPr>
      </w:pPr>
      <w:r>
        <w:rPr>
          <w:rFonts w:hint="eastAsia" w:ascii="宋体" w:hAnsi="宋体" w:cs="宋体"/>
          <w:bCs/>
          <w:color w:val="auto"/>
          <w:szCs w:val="21"/>
          <w:highlight w:val="none"/>
        </w:rPr>
        <w:t>19.2除</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中另有规定外，</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使用的度量衡均须采用法定计量单位。</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20.</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的组成</w:t>
      </w:r>
    </w:p>
    <w:p>
      <w:pPr>
        <w:spacing w:line="400" w:lineRule="exact"/>
        <w:ind w:firstLine="420" w:firstLineChars="200"/>
        <w:rPr>
          <w:rFonts w:ascii="宋体" w:hAnsi="宋体"/>
          <w:bCs/>
          <w:color w:val="auto"/>
          <w:szCs w:val="21"/>
          <w:highlight w:val="none"/>
        </w:rPr>
      </w:pPr>
      <w:r>
        <w:rPr>
          <w:rFonts w:hint="eastAsia" w:ascii="宋体" w:hAnsi="宋体" w:cs="宋体"/>
          <w:bCs/>
          <w:color w:val="auto"/>
          <w:szCs w:val="21"/>
          <w:highlight w:val="none"/>
        </w:rPr>
        <w:t>20.</w:t>
      </w:r>
      <w:r>
        <w:rPr>
          <w:rFonts w:ascii="宋体" w:hAnsi="宋体" w:cs="宋体"/>
          <w:bCs/>
          <w:color w:val="auto"/>
          <w:szCs w:val="21"/>
          <w:highlight w:val="none"/>
        </w:rPr>
        <w:t>1</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的组成</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olor w:val="auto"/>
          <w:szCs w:val="21"/>
          <w:highlight w:val="none"/>
          <w:lang w:eastAsia="zh-CN"/>
        </w:rPr>
        <w:t>投标文件</w:t>
      </w:r>
      <w:r>
        <w:rPr>
          <w:rFonts w:hint="eastAsia" w:ascii="宋体" w:hAnsi="宋体"/>
          <w:color w:val="auto"/>
          <w:szCs w:val="21"/>
          <w:highlight w:val="none"/>
          <w:lang w:val="en-US" w:eastAsia="zh-CN"/>
        </w:rPr>
        <w:t>组成及</w:t>
      </w:r>
      <w:r>
        <w:rPr>
          <w:rFonts w:hint="eastAsia" w:ascii="宋体" w:hAnsi="宋体" w:cs="宋体"/>
          <w:b/>
          <w:color w:val="auto"/>
          <w:szCs w:val="21"/>
          <w:highlight w:val="none"/>
        </w:rPr>
        <w:t>具体内容详见第六章</w:t>
      </w:r>
      <w:r>
        <w:rPr>
          <w:rFonts w:hint="eastAsia" w:ascii="宋体" w:hAnsi="宋体" w:cs="宋体"/>
          <w:b/>
          <w:color w:val="auto"/>
          <w:szCs w:val="21"/>
          <w:highlight w:val="none"/>
          <w:lang w:eastAsia="zh-CN"/>
        </w:rPr>
        <w:t>投标文件</w:t>
      </w:r>
      <w:r>
        <w:rPr>
          <w:rFonts w:hint="eastAsia" w:ascii="宋体" w:hAnsi="宋体" w:cs="宋体"/>
          <w:b/>
          <w:color w:val="auto"/>
          <w:szCs w:val="21"/>
          <w:highlight w:val="none"/>
        </w:rPr>
        <w:t>格式内容</w:t>
      </w:r>
      <w:r>
        <w:rPr>
          <w:rFonts w:hint="eastAsia" w:ascii="宋体" w:hAnsi="宋体" w:cs="宋体"/>
          <w:bCs/>
          <w:color w:val="auto"/>
          <w:szCs w:val="21"/>
          <w:highlight w:val="none"/>
        </w:rPr>
        <w:t>。</w:t>
      </w:r>
    </w:p>
    <w:p>
      <w:pPr>
        <w:spacing w:line="440" w:lineRule="exact"/>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21.</w:t>
      </w:r>
      <w:r>
        <w:rPr>
          <w:rFonts w:hint="eastAsia" w:ascii="宋体" w:hAnsi="宋体" w:cs="宋体"/>
          <w:bCs/>
          <w:color w:val="auto"/>
          <w:szCs w:val="21"/>
          <w:highlight w:val="none"/>
          <w:lang w:eastAsia="zh-CN"/>
        </w:rPr>
        <w:t>投标报价</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21.1</w:t>
      </w:r>
      <w:r>
        <w:rPr>
          <w:rFonts w:hint="eastAsia" w:ascii="宋体"/>
          <w:color w:val="auto"/>
          <w:szCs w:val="21"/>
          <w:highlight w:val="none"/>
          <w:lang w:eastAsia="zh-CN"/>
        </w:rPr>
        <w:t>投标报价</w:t>
      </w:r>
      <w:r>
        <w:rPr>
          <w:rFonts w:hint="eastAsia" w:ascii="宋体"/>
          <w:color w:val="auto"/>
          <w:szCs w:val="21"/>
          <w:highlight w:val="none"/>
        </w:rPr>
        <w:t>文件中的单价和总价全部采用人民币表示。供应商的报价应含有服务（货物）、利润、税金、政策性文件规定及合同包含的所有风险、责任、义务等，即为完成</w:t>
      </w:r>
      <w:r>
        <w:rPr>
          <w:rFonts w:hint="eastAsia" w:ascii="宋体"/>
          <w:color w:val="auto"/>
          <w:szCs w:val="21"/>
          <w:highlight w:val="none"/>
          <w:lang w:eastAsia="zh-CN"/>
        </w:rPr>
        <w:t>招标文件</w:t>
      </w:r>
      <w:r>
        <w:rPr>
          <w:rFonts w:hint="eastAsia" w:ascii="宋体"/>
          <w:color w:val="auto"/>
          <w:szCs w:val="21"/>
          <w:highlight w:val="none"/>
        </w:rPr>
        <w:t>要求的服务（货物）内容所包含的一切应有费用，</w:t>
      </w:r>
      <w:r>
        <w:rPr>
          <w:rFonts w:hint="eastAsia" w:ascii="宋体"/>
          <w:color w:val="auto"/>
          <w:szCs w:val="21"/>
          <w:highlight w:val="none"/>
          <w:lang w:val="en-US" w:eastAsia="zh-CN"/>
        </w:rPr>
        <w:t>中标</w:t>
      </w:r>
      <w:r>
        <w:rPr>
          <w:rFonts w:hint="eastAsia" w:ascii="宋体" w:hAnsi="宋体"/>
          <w:color w:val="auto"/>
          <w:szCs w:val="21"/>
          <w:highlight w:val="none"/>
        </w:rPr>
        <w:t>价格今后将不作任何调整，</w:t>
      </w:r>
      <w:r>
        <w:rPr>
          <w:rFonts w:hint="eastAsia" w:ascii="宋体"/>
          <w:color w:val="auto"/>
          <w:szCs w:val="21"/>
          <w:highlight w:val="none"/>
        </w:rPr>
        <w:t>采购人后期不再追加费用，供应商自行考虑风险。</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21.2分项报价清单上应清楚地标明供应商拟提供货物的名称、型号、生产厂家、数量、单价和总价。</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21.3供应商只允许有一个方案、一个报价。</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w:t>
      </w:r>
      <w:r>
        <w:rPr>
          <w:rFonts w:hint="eastAsia" w:ascii="宋体"/>
          <w:color w:val="auto"/>
          <w:szCs w:val="21"/>
          <w:highlight w:val="none"/>
          <w:lang w:val="en-US" w:eastAsia="zh-CN"/>
        </w:rPr>
        <w:t>4</w:t>
      </w:r>
      <w:r>
        <w:rPr>
          <w:rFonts w:hint="eastAsia" w:ascii="宋体"/>
          <w:color w:val="auto"/>
          <w:szCs w:val="21"/>
          <w:highlight w:val="none"/>
          <w:lang w:eastAsia="zh-CN"/>
        </w:rPr>
        <w:t>投标报价</w:t>
      </w:r>
      <w:r>
        <w:rPr>
          <w:rFonts w:hint="eastAsia" w:ascii="宋体"/>
          <w:color w:val="auto"/>
          <w:szCs w:val="21"/>
          <w:highlight w:val="none"/>
        </w:rPr>
        <w:t>的价格是完成项目全部内容（包括后期的相关服务）交付验收的价格，其单价即为履行合同的固定单价。</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21.</w:t>
      </w:r>
      <w:r>
        <w:rPr>
          <w:rFonts w:hint="eastAsia" w:ascii="宋体"/>
          <w:color w:val="auto"/>
          <w:szCs w:val="21"/>
          <w:highlight w:val="none"/>
          <w:lang w:val="en-US" w:eastAsia="zh-CN"/>
        </w:rPr>
        <w:t>5</w:t>
      </w:r>
      <w:r>
        <w:rPr>
          <w:rFonts w:hint="eastAsia" w:ascii="宋体"/>
          <w:color w:val="auto"/>
          <w:szCs w:val="21"/>
          <w:highlight w:val="none"/>
        </w:rPr>
        <w:t>技术要求中规定</w:t>
      </w:r>
      <w:r>
        <w:rPr>
          <w:rFonts w:hint="eastAsia" w:ascii="宋体"/>
          <w:color w:val="auto"/>
          <w:szCs w:val="21"/>
          <w:highlight w:val="none"/>
          <w:lang w:val="en-US" w:eastAsia="zh-CN"/>
        </w:rPr>
        <w:t>服务费用</w:t>
      </w:r>
      <w:r>
        <w:rPr>
          <w:rFonts w:hint="eastAsia" w:ascii="宋体"/>
          <w:color w:val="auto"/>
          <w:szCs w:val="21"/>
          <w:highlight w:val="none"/>
        </w:rPr>
        <w:t>和培训费用应包括在报价中。</w:t>
      </w:r>
      <w:r>
        <w:rPr>
          <w:rFonts w:hint="eastAsia" w:ascii="宋体"/>
          <w:color w:val="auto"/>
          <w:szCs w:val="21"/>
          <w:highlight w:val="none"/>
          <w:lang w:eastAsia="zh-CN"/>
        </w:rPr>
        <w:t>投标报价</w:t>
      </w:r>
      <w:r>
        <w:rPr>
          <w:rFonts w:hint="eastAsia" w:ascii="宋体"/>
          <w:color w:val="auto"/>
          <w:szCs w:val="21"/>
          <w:highlight w:val="none"/>
        </w:rPr>
        <w:t>为含税价，采购人不再为此次采购支付任何费用。</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21.</w:t>
      </w:r>
      <w:r>
        <w:rPr>
          <w:rFonts w:hint="eastAsia" w:ascii="宋体"/>
          <w:color w:val="auto"/>
          <w:szCs w:val="21"/>
          <w:highlight w:val="none"/>
          <w:lang w:val="en-US" w:eastAsia="zh-CN"/>
        </w:rPr>
        <w:t>6</w:t>
      </w:r>
      <w:r>
        <w:rPr>
          <w:rFonts w:hint="eastAsia" w:ascii="宋体"/>
          <w:color w:val="auto"/>
          <w:szCs w:val="21"/>
          <w:highlight w:val="none"/>
          <w:lang w:eastAsia="zh-CN"/>
        </w:rPr>
        <w:t>投标报价</w:t>
      </w:r>
      <w:r>
        <w:rPr>
          <w:rFonts w:hint="eastAsia" w:ascii="宋体"/>
          <w:color w:val="auto"/>
          <w:szCs w:val="21"/>
          <w:highlight w:val="none"/>
        </w:rPr>
        <w:t>应由法定代表人或被授权人签署。</w:t>
      </w:r>
    </w:p>
    <w:p>
      <w:pPr>
        <w:spacing w:line="440" w:lineRule="exact"/>
        <w:ind w:firstLine="420" w:firstLineChars="200"/>
        <w:rPr>
          <w:rFonts w:hint="eastAsia" w:ascii="宋体"/>
          <w:bCs/>
          <w:color w:val="auto"/>
          <w:szCs w:val="21"/>
          <w:highlight w:val="none"/>
        </w:rPr>
      </w:pPr>
      <w:r>
        <w:rPr>
          <w:rFonts w:hint="eastAsia" w:ascii="宋体"/>
          <w:bCs/>
          <w:color w:val="auto"/>
          <w:szCs w:val="21"/>
          <w:highlight w:val="none"/>
        </w:rPr>
        <w:t>21.</w:t>
      </w:r>
      <w:r>
        <w:rPr>
          <w:rFonts w:hint="eastAsia" w:ascii="宋体"/>
          <w:bCs/>
          <w:color w:val="auto"/>
          <w:szCs w:val="21"/>
          <w:highlight w:val="none"/>
          <w:lang w:val="en-US" w:eastAsia="zh-CN"/>
        </w:rPr>
        <w:t>7</w:t>
      </w:r>
      <w:r>
        <w:rPr>
          <w:rFonts w:hint="eastAsia" w:ascii="宋体"/>
          <w:bCs/>
          <w:color w:val="auto"/>
          <w:szCs w:val="21"/>
          <w:highlight w:val="none"/>
        </w:rPr>
        <w:t>供应商的报价不得高于本次采购最高限价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否则将作为无效响应处理。</w:t>
      </w:r>
    </w:p>
    <w:p>
      <w:pPr>
        <w:spacing w:line="440" w:lineRule="exact"/>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22.</w:t>
      </w:r>
      <w:r>
        <w:rPr>
          <w:rFonts w:hint="eastAsia" w:ascii="宋体" w:hAnsi="宋体" w:cs="宋体"/>
          <w:bCs/>
          <w:color w:val="auto"/>
          <w:szCs w:val="21"/>
          <w:highlight w:val="none"/>
          <w:lang w:eastAsia="zh-CN"/>
        </w:rPr>
        <w:t>投标有效期</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22.1</w:t>
      </w:r>
      <w:r>
        <w:rPr>
          <w:rFonts w:hint="eastAsia" w:ascii="宋体"/>
          <w:color w:val="auto"/>
          <w:szCs w:val="21"/>
          <w:highlight w:val="none"/>
          <w:lang w:eastAsia="zh-CN"/>
        </w:rPr>
        <w:t>投标有效期</w:t>
      </w:r>
      <w:r>
        <w:rPr>
          <w:rFonts w:hint="eastAsia" w:ascii="宋体"/>
          <w:color w:val="auto"/>
          <w:szCs w:val="21"/>
          <w:highlight w:val="none"/>
        </w:rPr>
        <w:t>见供应商须知前附表。</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22.2在</w:t>
      </w:r>
      <w:r>
        <w:rPr>
          <w:rFonts w:hint="eastAsia" w:ascii="宋体"/>
          <w:color w:val="auto"/>
          <w:szCs w:val="21"/>
          <w:highlight w:val="none"/>
          <w:lang w:eastAsia="zh-CN"/>
        </w:rPr>
        <w:t>投标有效期</w:t>
      </w:r>
      <w:r>
        <w:rPr>
          <w:rFonts w:hint="eastAsia" w:ascii="宋体"/>
          <w:color w:val="auto"/>
          <w:szCs w:val="21"/>
          <w:highlight w:val="none"/>
        </w:rPr>
        <w:t>内，供应商撤销或修改其投标文件的，应承担</w:t>
      </w:r>
      <w:r>
        <w:rPr>
          <w:rFonts w:hint="eastAsia" w:ascii="宋体"/>
          <w:color w:val="auto"/>
          <w:szCs w:val="21"/>
          <w:highlight w:val="none"/>
          <w:lang w:eastAsia="zh-CN"/>
        </w:rPr>
        <w:t>招标文件</w:t>
      </w:r>
      <w:r>
        <w:rPr>
          <w:rFonts w:hint="eastAsia" w:ascii="宋体"/>
          <w:color w:val="auto"/>
          <w:szCs w:val="21"/>
          <w:highlight w:val="none"/>
        </w:rPr>
        <w:t>和法律规定的责任。</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22.3出现特殊情况需要延长</w:t>
      </w:r>
      <w:r>
        <w:rPr>
          <w:rFonts w:hint="eastAsia" w:ascii="宋体"/>
          <w:color w:val="auto"/>
          <w:szCs w:val="21"/>
          <w:highlight w:val="none"/>
          <w:lang w:eastAsia="zh-CN"/>
        </w:rPr>
        <w:t>投标有效期</w:t>
      </w:r>
      <w:r>
        <w:rPr>
          <w:rFonts w:hint="eastAsia" w:ascii="宋体"/>
          <w:color w:val="auto"/>
          <w:szCs w:val="21"/>
          <w:highlight w:val="none"/>
        </w:rPr>
        <w:t>的，采购人以书面形式通知所有供应商延长</w:t>
      </w:r>
      <w:r>
        <w:rPr>
          <w:rFonts w:hint="eastAsia" w:ascii="宋体"/>
          <w:color w:val="auto"/>
          <w:szCs w:val="21"/>
          <w:highlight w:val="none"/>
          <w:lang w:eastAsia="zh-CN"/>
        </w:rPr>
        <w:t>投标有效期</w:t>
      </w:r>
      <w:r>
        <w:rPr>
          <w:rFonts w:hint="eastAsia" w:ascii="宋体"/>
          <w:color w:val="auto"/>
          <w:szCs w:val="21"/>
          <w:highlight w:val="none"/>
        </w:rPr>
        <w:t>。供应商同意延长的，不得要求或被允许修改或撤销其</w:t>
      </w:r>
      <w:r>
        <w:rPr>
          <w:rFonts w:hint="eastAsia" w:ascii="宋体"/>
          <w:color w:val="auto"/>
          <w:szCs w:val="21"/>
          <w:highlight w:val="none"/>
          <w:lang w:eastAsia="zh-CN"/>
        </w:rPr>
        <w:t>投标文件</w:t>
      </w:r>
      <w:r>
        <w:rPr>
          <w:rFonts w:hint="eastAsia" w:ascii="宋体"/>
          <w:color w:val="auto"/>
          <w:szCs w:val="21"/>
          <w:highlight w:val="none"/>
        </w:rPr>
        <w:t>；供应商拒绝延长的，其响应失效。</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23.保证金</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23.1</w:t>
      </w:r>
      <w:r>
        <w:rPr>
          <w:rFonts w:hint="eastAsia" w:ascii="宋体" w:hAnsi="Calibri"/>
          <w:color w:val="auto"/>
          <w:szCs w:val="21"/>
          <w:highlight w:val="none"/>
        </w:rPr>
        <w:t>本项目不缴纳保证金。</w:t>
      </w:r>
    </w:p>
    <w:p>
      <w:pPr>
        <w:spacing w:before="156" w:beforeLines="50" w:after="156" w:afterLines="50" w:line="440" w:lineRule="exact"/>
        <w:jc w:val="center"/>
        <w:outlineLvl w:val="1"/>
        <w:rPr>
          <w:rFonts w:hint="eastAsia" w:ascii="宋体" w:hAnsi="宋体" w:cs="宋体"/>
          <w:b/>
          <w:color w:val="auto"/>
          <w:sz w:val="24"/>
          <w:szCs w:val="24"/>
          <w:highlight w:val="none"/>
        </w:rPr>
      </w:pPr>
      <w:bookmarkStart w:id="110" w:name="_Toc5315"/>
      <w:bookmarkStart w:id="111" w:name="_Toc9768"/>
      <w:bookmarkStart w:id="112" w:name="_Toc129"/>
      <w:bookmarkStart w:id="113" w:name="_Toc9590"/>
      <w:bookmarkStart w:id="114" w:name="_Toc7504"/>
      <w:bookmarkStart w:id="115" w:name="_Toc24198"/>
      <w:r>
        <w:rPr>
          <w:rFonts w:hint="eastAsia" w:ascii="宋体" w:hAnsi="宋体" w:cs="宋体"/>
          <w:b/>
          <w:color w:val="auto"/>
          <w:sz w:val="24"/>
          <w:szCs w:val="24"/>
          <w:highlight w:val="none"/>
        </w:rPr>
        <w:t>（四）</w:t>
      </w:r>
      <w:r>
        <w:rPr>
          <w:rFonts w:hint="eastAsia" w:ascii="宋体" w:hAnsi="宋体" w:cs="宋体"/>
          <w:b/>
          <w:color w:val="auto"/>
          <w:sz w:val="24"/>
          <w:szCs w:val="24"/>
          <w:highlight w:val="none"/>
          <w:lang w:eastAsia="zh-CN"/>
        </w:rPr>
        <w:t>投标文件</w:t>
      </w:r>
      <w:r>
        <w:rPr>
          <w:rFonts w:hint="eastAsia" w:ascii="宋体" w:hAnsi="宋体" w:cs="宋体"/>
          <w:b/>
          <w:color w:val="auto"/>
          <w:sz w:val="24"/>
          <w:szCs w:val="24"/>
          <w:highlight w:val="none"/>
        </w:rPr>
        <w:t>的密封和递交</w:t>
      </w:r>
      <w:bookmarkEnd w:id="110"/>
      <w:bookmarkEnd w:id="111"/>
      <w:bookmarkEnd w:id="112"/>
      <w:bookmarkEnd w:id="113"/>
      <w:bookmarkEnd w:id="114"/>
      <w:bookmarkEnd w:id="115"/>
    </w:p>
    <w:p>
      <w:pPr>
        <w:spacing w:line="440" w:lineRule="exact"/>
        <w:ind w:firstLine="420" w:firstLineChars="200"/>
        <w:rPr>
          <w:rFonts w:hint="eastAsia" w:ascii="宋体" w:hAnsi="宋体"/>
          <w:bCs/>
          <w:color w:val="auto"/>
          <w:szCs w:val="21"/>
          <w:highlight w:val="none"/>
        </w:rPr>
      </w:pPr>
      <w:r>
        <w:rPr>
          <w:rFonts w:hint="eastAsia" w:ascii="宋体" w:hAnsi="宋体" w:cs="宋体"/>
          <w:bCs/>
          <w:color w:val="auto"/>
          <w:szCs w:val="21"/>
          <w:highlight w:val="none"/>
        </w:rPr>
        <w:t>2</w:t>
      </w:r>
      <w:r>
        <w:rPr>
          <w:rFonts w:hint="eastAsia" w:ascii="宋体" w:hAnsi="宋体"/>
          <w:bCs/>
          <w:color w:val="auto"/>
          <w:szCs w:val="21"/>
          <w:highlight w:val="none"/>
        </w:rPr>
        <w:t>4.</w:t>
      </w:r>
      <w:r>
        <w:rPr>
          <w:rFonts w:hint="eastAsia" w:ascii="宋体" w:hAnsi="宋体"/>
          <w:bCs/>
          <w:color w:val="auto"/>
          <w:szCs w:val="21"/>
          <w:highlight w:val="none"/>
          <w:lang w:eastAsia="zh-CN"/>
        </w:rPr>
        <w:t>投标文件</w:t>
      </w:r>
      <w:r>
        <w:rPr>
          <w:rFonts w:hint="eastAsia" w:ascii="宋体" w:hAnsi="宋体"/>
          <w:bCs/>
          <w:color w:val="auto"/>
          <w:szCs w:val="21"/>
          <w:highlight w:val="none"/>
        </w:rPr>
        <w:t>的份数和签署</w:t>
      </w:r>
    </w:p>
    <w:p>
      <w:pPr>
        <w:spacing w:line="440" w:lineRule="exact"/>
        <w:ind w:firstLine="420" w:firstLineChars="200"/>
        <w:rPr>
          <w:rFonts w:hint="eastAsia" w:ascii="宋体" w:hAnsi="宋体" w:cs="宋体"/>
          <w:bCs/>
          <w:color w:val="auto"/>
          <w:szCs w:val="21"/>
          <w:highlight w:val="none"/>
        </w:rPr>
      </w:pPr>
      <w:r>
        <w:rPr>
          <w:rFonts w:hint="eastAsia" w:ascii="宋体" w:hAnsi="宋体"/>
          <w:bCs/>
          <w:color w:val="auto"/>
          <w:szCs w:val="21"/>
          <w:highlight w:val="none"/>
        </w:rPr>
        <w:t xml:space="preserve">24.1 </w:t>
      </w:r>
      <w:r>
        <w:rPr>
          <w:rFonts w:hint="eastAsia" w:ascii="宋体" w:hAnsi="宋体"/>
          <w:bCs/>
          <w:color w:val="auto"/>
          <w:szCs w:val="21"/>
          <w:highlight w:val="none"/>
          <w:lang w:val="en-US" w:eastAsia="zh-CN"/>
        </w:rPr>
        <w:t>投标文件</w:t>
      </w:r>
      <w:r>
        <w:rPr>
          <w:rFonts w:hint="eastAsia" w:ascii="宋体" w:hAnsi="宋体" w:cs="宋体"/>
          <w:bCs/>
          <w:color w:val="auto"/>
          <w:szCs w:val="21"/>
          <w:highlight w:val="none"/>
        </w:rPr>
        <w:t>份数：正本</w:t>
      </w:r>
      <w:r>
        <w:rPr>
          <w:rFonts w:hint="eastAsia" w:ascii="宋体" w:hAnsi="宋体" w:cs="宋体"/>
          <w:bCs/>
          <w:color w:val="auto"/>
          <w:szCs w:val="21"/>
          <w:highlight w:val="none"/>
          <w:u w:val="single"/>
        </w:rPr>
        <w:t xml:space="preserve"> 1 </w:t>
      </w:r>
      <w:r>
        <w:rPr>
          <w:rFonts w:hint="eastAsia" w:ascii="宋体" w:hAnsi="宋体" w:cs="宋体"/>
          <w:bCs/>
          <w:color w:val="auto"/>
          <w:szCs w:val="21"/>
          <w:highlight w:val="none"/>
        </w:rPr>
        <w:t>份，副本</w:t>
      </w:r>
      <w:r>
        <w:rPr>
          <w:rFonts w:hint="eastAsia" w:ascii="宋体" w:hAnsi="宋体" w:cs="宋体"/>
          <w:bCs/>
          <w:color w:val="auto"/>
          <w:szCs w:val="21"/>
          <w:highlight w:val="none"/>
          <w:u w:val="single"/>
        </w:rPr>
        <w:t xml:space="preserve"> 2 </w:t>
      </w:r>
      <w:r>
        <w:rPr>
          <w:rFonts w:hint="eastAsia" w:ascii="宋体" w:hAnsi="宋体" w:cs="宋体"/>
          <w:bCs/>
          <w:color w:val="auto"/>
          <w:szCs w:val="21"/>
          <w:highlight w:val="none"/>
        </w:rPr>
        <w:t>份；</w:t>
      </w:r>
    </w:p>
    <w:p>
      <w:pPr>
        <w:spacing w:line="440" w:lineRule="exact"/>
        <w:ind w:firstLine="420" w:firstLineChars="200"/>
        <w:rPr>
          <w:rFonts w:hint="eastAsia" w:ascii="宋体" w:hAnsi="宋体"/>
          <w:bCs/>
          <w:color w:val="auto"/>
          <w:szCs w:val="21"/>
          <w:highlight w:val="none"/>
        </w:rPr>
      </w:pPr>
      <w:r>
        <w:rPr>
          <w:rFonts w:hint="eastAsia" w:ascii="宋体" w:hAnsi="宋体"/>
          <w:bCs/>
          <w:color w:val="auto"/>
          <w:szCs w:val="21"/>
          <w:highlight w:val="none"/>
        </w:rPr>
        <w:t xml:space="preserve">24.2 </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须按格式文件要求签字或盖章，否则经</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一致认定后</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 xml:space="preserve"> 按照无效响应处理</w:t>
      </w:r>
      <w:r>
        <w:rPr>
          <w:rFonts w:hint="eastAsia" w:ascii="宋体" w:hAnsi="宋体"/>
          <w:bCs/>
          <w:color w:val="auto"/>
          <w:szCs w:val="21"/>
          <w:highlight w:val="none"/>
        </w:rPr>
        <w:t>。</w:t>
      </w:r>
    </w:p>
    <w:p>
      <w:pPr>
        <w:spacing w:line="440" w:lineRule="exact"/>
        <w:ind w:firstLine="420" w:firstLineChars="200"/>
        <w:rPr>
          <w:rFonts w:hint="eastAsia" w:ascii="宋体" w:hAnsi="宋体"/>
          <w:bCs/>
          <w:color w:val="auto"/>
          <w:szCs w:val="21"/>
          <w:highlight w:val="none"/>
        </w:rPr>
      </w:pPr>
      <w:r>
        <w:rPr>
          <w:rFonts w:hint="eastAsia" w:ascii="宋体" w:hAnsi="宋体"/>
          <w:bCs/>
          <w:color w:val="auto"/>
          <w:szCs w:val="21"/>
          <w:highlight w:val="none"/>
        </w:rPr>
        <w:t>25.</w:t>
      </w:r>
      <w:r>
        <w:rPr>
          <w:rFonts w:hint="eastAsia" w:ascii="宋体" w:hAnsi="宋体"/>
          <w:bCs/>
          <w:color w:val="auto"/>
          <w:szCs w:val="21"/>
          <w:highlight w:val="none"/>
          <w:lang w:eastAsia="zh-CN"/>
        </w:rPr>
        <w:t>投标文件</w:t>
      </w:r>
      <w:r>
        <w:rPr>
          <w:rFonts w:hint="eastAsia" w:ascii="宋体" w:hAnsi="宋体"/>
          <w:bCs/>
          <w:color w:val="auto"/>
          <w:szCs w:val="21"/>
          <w:highlight w:val="none"/>
        </w:rPr>
        <w:t>的提交</w:t>
      </w:r>
    </w:p>
    <w:p>
      <w:pPr>
        <w:spacing w:line="440" w:lineRule="exact"/>
        <w:ind w:firstLine="420" w:firstLineChars="200"/>
        <w:rPr>
          <w:rFonts w:hint="eastAsia" w:ascii="宋体" w:hAnsi="宋体"/>
          <w:bCs/>
          <w:color w:val="auto"/>
          <w:szCs w:val="21"/>
          <w:highlight w:val="none"/>
        </w:rPr>
      </w:pPr>
      <w:r>
        <w:rPr>
          <w:rFonts w:hint="eastAsia" w:ascii="宋体" w:hAnsi="宋体"/>
          <w:bCs/>
          <w:color w:val="auto"/>
          <w:szCs w:val="21"/>
          <w:highlight w:val="none"/>
        </w:rPr>
        <w:t>25.1供应商应在供应商须知前附表规定的</w:t>
      </w:r>
      <w:r>
        <w:rPr>
          <w:rFonts w:hint="eastAsia" w:ascii="宋体" w:hAnsi="宋体"/>
          <w:bCs/>
          <w:color w:val="auto"/>
          <w:szCs w:val="21"/>
          <w:highlight w:val="none"/>
          <w:lang w:eastAsia="zh-CN"/>
        </w:rPr>
        <w:t>投标文件</w:t>
      </w:r>
      <w:r>
        <w:rPr>
          <w:rFonts w:hint="eastAsia" w:ascii="宋体" w:hAnsi="宋体"/>
          <w:bCs/>
          <w:color w:val="auto"/>
          <w:szCs w:val="21"/>
          <w:highlight w:val="none"/>
        </w:rPr>
        <w:t>递交截止时间前在递交</w:t>
      </w:r>
      <w:r>
        <w:rPr>
          <w:rFonts w:hint="eastAsia" w:ascii="宋体" w:hAnsi="宋体"/>
          <w:bCs/>
          <w:color w:val="auto"/>
          <w:szCs w:val="21"/>
          <w:highlight w:val="none"/>
          <w:lang w:eastAsia="zh-CN"/>
        </w:rPr>
        <w:t>投标文件</w:t>
      </w:r>
      <w:r>
        <w:rPr>
          <w:rFonts w:hint="eastAsia" w:ascii="宋体" w:hAnsi="宋体"/>
          <w:bCs/>
          <w:color w:val="auto"/>
          <w:szCs w:val="21"/>
          <w:highlight w:val="none"/>
        </w:rPr>
        <w:t>。未在截止时间前递交有效</w:t>
      </w:r>
      <w:r>
        <w:rPr>
          <w:rFonts w:hint="eastAsia" w:ascii="宋体" w:hAnsi="宋体"/>
          <w:bCs/>
          <w:color w:val="auto"/>
          <w:szCs w:val="21"/>
          <w:highlight w:val="none"/>
          <w:lang w:eastAsia="zh-CN"/>
        </w:rPr>
        <w:t>投标文件</w:t>
      </w:r>
      <w:r>
        <w:rPr>
          <w:rFonts w:hint="eastAsia" w:ascii="宋体" w:hAnsi="宋体"/>
          <w:bCs/>
          <w:color w:val="auto"/>
          <w:szCs w:val="21"/>
          <w:highlight w:val="none"/>
        </w:rPr>
        <w:t>的，响应将被拒绝。</w:t>
      </w:r>
    </w:p>
    <w:p>
      <w:pPr>
        <w:spacing w:line="440" w:lineRule="exact"/>
        <w:ind w:firstLine="420" w:firstLineChars="200"/>
        <w:rPr>
          <w:rFonts w:hint="default" w:ascii="宋体" w:hAnsi="宋体" w:eastAsia="宋体" w:cs="Times New Roman"/>
          <w:bCs/>
          <w:color w:val="auto"/>
          <w:szCs w:val="21"/>
          <w:highlight w:val="none"/>
          <w:lang w:val="en-US" w:eastAsia="zh-CN"/>
        </w:rPr>
      </w:pPr>
      <w:r>
        <w:rPr>
          <w:rFonts w:hint="eastAsia" w:ascii="宋体" w:hAnsi="宋体" w:eastAsia="宋体" w:cs="Times New Roman"/>
          <w:bCs/>
          <w:color w:val="auto"/>
          <w:szCs w:val="21"/>
          <w:highlight w:val="none"/>
          <w:lang w:val="en-US" w:eastAsia="zh-CN"/>
        </w:rPr>
        <w:t>25.2 投标文件应密封、装订。</w:t>
      </w:r>
    </w:p>
    <w:p>
      <w:pPr>
        <w:spacing w:line="440" w:lineRule="exact"/>
        <w:ind w:firstLine="420" w:firstLineChars="200"/>
        <w:rPr>
          <w:rFonts w:hint="eastAsia" w:ascii="宋体" w:hAnsi="宋体"/>
          <w:bCs/>
          <w:color w:val="auto"/>
          <w:szCs w:val="21"/>
          <w:highlight w:val="none"/>
        </w:rPr>
      </w:pPr>
      <w:r>
        <w:rPr>
          <w:rFonts w:hint="eastAsia" w:ascii="宋体" w:hAnsi="宋体"/>
          <w:bCs/>
          <w:color w:val="auto"/>
          <w:szCs w:val="21"/>
          <w:highlight w:val="none"/>
        </w:rPr>
        <w:t>26．</w:t>
      </w:r>
      <w:r>
        <w:rPr>
          <w:rFonts w:hint="eastAsia" w:ascii="宋体" w:hAnsi="宋体"/>
          <w:bCs/>
          <w:color w:val="auto"/>
          <w:szCs w:val="21"/>
          <w:highlight w:val="none"/>
          <w:lang w:eastAsia="zh-CN"/>
        </w:rPr>
        <w:t>投标文件</w:t>
      </w:r>
      <w:r>
        <w:rPr>
          <w:rFonts w:hint="eastAsia" w:ascii="宋体" w:hAnsi="宋体"/>
          <w:bCs/>
          <w:color w:val="auto"/>
          <w:szCs w:val="21"/>
          <w:highlight w:val="none"/>
        </w:rPr>
        <w:t>的修改与撤回</w:t>
      </w:r>
    </w:p>
    <w:p>
      <w:pPr>
        <w:autoSpaceDE w:val="0"/>
        <w:autoSpaceDN w:val="0"/>
        <w:adjustRightInd w:val="0"/>
        <w:spacing w:line="400" w:lineRule="exact"/>
        <w:ind w:firstLine="420"/>
        <w:rPr>
          <w:rFonts w:hint="eastAsia" w:ascii="宋体" w:hAnsi="宋体" w:eastAsia="宋体"/>
          <w:color w:val="auto"/>
          <w:szCs w:val="21"/>
          <w:highlight w:val="none"/>
          <w:lang w:eastAsia="zh-CN"/>
        </w:rPr>
      </w:pPr>
      <w:bookmarkStart w:id="116" w:name="_Toc16229"/>
      <w:bookmarkStart w:id="117" w:name="_Toc19809"/>
      <w:bookmarkStart w:id="118" w:name="_Toc14871"/>
      <w:bookmarkStart w:id="119" w:name="_Toc4587"/>
      <w:r>
        <w:rPr>
          <w:rFonts w:hint="eastAsia" w:ascii="宋体" w:hAnsi="宋体"/>
          <w:color w:val="auto"/>
          <w:szCs w:val="21"/>
          <w:highlight w:val="none"/>
        </w:rPr>
        <w:t xml:space="preserve">26.1 </w:t>
      </w:r>
      <w:r>
        <w:rPr>
          <w:rFonts w:hint="eastAsia" w:ascii="宋体" w:hAnsi="宋体" w:eastAsia="宋体" w:cs="宋体"/>
          <w:color w:val="auto"/>
          <w:kern w:val="0"/>
          <w:sz w:val="21"/>
          <w:szCs w:val="21"/>
          <w:highlight w:val="none"/>
          <w:lang w:val="en-US" w:eastAsia="zh-CN" w:bidi="ar"/>
        </w:rPr>
        <w:t>投标人在招标文件规定的投标文件递交截止时间前，供应商可以修改或撤回已递交的投标文件，但应</w:t>
      </w:r>
      <w:r>
        <w:rPr>
          <w:rFonts w:hint="eastAsia" w:ascii="宋体" w:hAnsi="宋体" w:cs="宋体"/>
          <w:color w:val="auto"/>
          <w:kern w:val="0"/>
          <w:sz w:val="21"/>
          <w:szCs w:val="21"/>
          <w:highlight w:val="none"/>
          <w:lang w:val="en-US" w:eastAsia="zh-CN" w:bidi="ar"/>
        </w:rPr>
        <w:t>已</w:t>
      </w:r>
      <w:r>
        <w:rPr>
          <w:rFonts w:hint="eastAsia" w:ascii="宋体" w:hAnsi="宋体" w:eastAsia="宋体" w:cs="宋体"/>
          <w:color w:val="auto"/>
          <w:kern w:val="0"/>
          <w:sz w:val="21"/>
          <w:szCs w:val="21"/>
          <w:highlight w:val="none"/>
          <w:lang w:val="en-US" w:eastAsia="zh-CN" w:bidi="ar"/>
        </w:rPr>
        <w:t>通知采购人。供应商</w:t>
      </w:r>
      <w:r>
        <w:rPr>
          <w:rFonts w:hint="eastAsia"/>
          <w:color w:val="auto"/>
          <w:highlight w:val="none"/>
        </w:rPr>
        <w:t>修改后</w:t>
      </w:r>
      <w:r>
        <w:rPr>
          <w:rFonts w:hint="eastAsia"/>
          <w:color w:val="auto"/>
          <w:highlight w:val="none"/>
          <w:lang w:val="en-US" w:eastAsia="zh-CN"/>
        </w:rPr>
        <w:t>的投标文件在</w:t>
      </w:r>
      <w:r>
        <w:rPr>
          <w:rFonts w:hint="eastAsia" w:ascii="宋体" w:hAnsi="宋体" w:eastAsia="宋体" w:cs="宋体"/>
          <w:color w:val="auto"/>
          <w:kern w:val="0"/>
          <w:sz w:val="21"/>
          <w:szCs w:val="21"/>
          <w:highlight w:val="none"/>
          <w:lang w:val="en-US" w:eastAsia="zh-CN" w:bidi="ar"/>
        </w:rPr>
        <w:t>投标文件递交截止时间前可以</w:t>
      </w:r>
      <w:r>
        <w:rPr>
          <w:rFonts w:hint="eastAsia"/>
          <w:color w:val="auto"/>
          <w:highlight w:val="none"/>
        </w:rPr>
        <w:t>重新</w:t>
      </w:r>
      <w:r>
        <w:rPr>
          <w:rFonts w:hint="eastAsia"/>
          <w:color w:val="auto"/>
          <w:highlight w:val="none"/>
          <w:lang w:val="en-US" w:eastAsia="zh-CN"/>
        </w:rPr>
        <w:t>递交</w:t>
      </w:r>
      <w:r>
        <w:rPr>
          <w:rFonts w:hint="eastAsia"/>
          <w:color w:val="auto"/>
          <w:highlight w:val="none"/>
        </w:rPr>
        <w:t>，</w:t>
      </w:r>
      <w:r>
        <w:rPr>
          <w:rFonts w:hint="eastAsia"/>
          <w:color w:val="auto"/>
          <w:highlight w:val="none"/>
          <w:lang w:val="en-US" w:eastAsia="zh-CN"/>
        </w:rPr>
        <w:t>开标</w:t>
      </w:r>
      <w:r>
        <w:rPr>
          <w:rFonts w:hint="eastAsia"/>
          <w:color w:val="auto"/>
          <w:highlight w:val="none"/>
        </w:rPr>
        <w:t>时以截止时间前供应商最终</w:t>
      </w:r>
      <w:r>
        <w:rPr>
          <w:rFonts w:hint="eastAsia"/>
          <w:color w:val="auto"/>
          <w:highlight w:val="none"/>
          <w:lang w:val="en-US" w:eastAsia="zh-CN"/>
        </w:rPr>
        <w:t>递交</w:t>
      </w:r>
      <w:r>
        <w:rPr>
          <w:rFonts w:hint="eastAsia"/>
          <w:color w:val="auto"/>
          <w:highlight w:val="none"/>
        </w:rPr>
        <w:t>的</w:t>
      </w:r>
      <w:r>
        <w:rPr>
          <w:rFonts w:hint="eastAsia"/>
          <w:color w:val="auto"/>
          <w:highlight w:val="none"/>
          <w:lang w:eastAsia="zh-CN"/>
        </w:rPr>
        <w:t>投标文件</w:t>
      </w:r>
      <w:r>
        <w:rPr>
          <w:rFonts w:hint="eastAsia"/>
          <w:color w:val="auto"/>
          <w:highlight w:val="none"/>
        </w:rPr>
        <w:t>为准</w:t>
      </w:r>
      <w:r>
        <w:rPr>
          <w:rFonts w:hint="eastAsia"/>
          <w:color w:val="auto"/>
          <w:highlight w:val="none"/>
          <w:lang w:eastAsia="zh-CN"/>
        </w:rPr>
        <w:t>。</w:t>
      </w:r>
    </w:p>
    <w:p>
      <w:pPr>
        <w:spacing w:before="156" w:beforeLines="50" w:after="156" w:afterLines="50" w:line="440" w:lineRule="exact"/>
        <w:jc w:val="center"/>
        <w:outlineLvl w:val="1"/>
        <w:rPr>
          <w:rFonts w:hint="eastAsia" w:ascii="宋体" w:hAnsi="宋体" w:eastAsia="宋体" w:cs="宋体"/>
          <w:b/>
          <w:color w:val="auto"/>
          <w:sz w:val="24"/>
          <w:szCs w:val="24"/>
          <w:highlight w:val="none"/>
          <w:lang w:val="en-US" w:eastAsia="zh-CN"/>
        </w:rPr>
      </w:pPr>
      <w:bookmarkStart w:id="120" w:name="_Toc13572"/>
      <w:bookmarkStart w:id="121" w:name="_Toc15866"/>
      <w:r>
        <w:rPr>
          <w:rFonts w:hint="eastAsia" w:ascii="宋体" w:hAnsi="宋体" w:cs="宋体"/>
          <w:b/>
          <w:color w:val="auto"/>
          <w:sz w:val="24"/>
          <w:szCs w:val="24"/>
          <w:highlight w:val="none"/>
        </w:rPr>
        <w:t>（五）</w:t>
      </w:r>
      <w:r>
        <w:rPr>
          <w:rFonts w:hint="eastAsia" w:ascii="宋体" w:hAnsi="宋体" w:cs="宋体"/>
          <w:b/>
          <w:color w:val="auto"/>
          <w:sz w:val="24"/>
          <w:szCs w:val="24"/>
          <w:highlight w:val="none"/>
          <w:lang w:val="en-US" w:eastAsia="zh-CN"/>
        </w:rPr>
        <w:t>开标</w:t>
      </w:r>
      <w:r>
        <w:rPr>
          <w:rFonts w:hint="eastAsia" w:ascii="宋体" w:hAnsi="宋体" w:cs="宋体"/>
          <w:b/>
          <w:color w:val="auto"/>
          <w:sz w:val="24"/>
          <w:szCs w:val="24"/>
          <w:highlight w:val="none"/>
        </w:rPr>
        <w:t>、评审和</w:t>
      </w:r>
      <w:bookmarkEnd w:id="116"/>
      <w:bookmarkEnd w:id="117"/>
      <w:bookmarkEnd w:id="118"/>
      <w:bookmarkEnd w:id="119"/>
      <w:r>
        <w:rPr>
          <w:rFonts w:hint="eastAsia" w:ascii="宋体" w:hAnsi="宋体" w:cs="宋体"/>
          <w:b/>
          <w:color w:val="auto"/>
          <w:sz w:val="24"/>
          <w:szCs w:val="24"/>
          <w:highlight w:val="none"/>
          <w:lang w:val="en-US" w:eastAsia="zh-CN"/>
        </w:rPr>
        <w:t>中标</w:t>
      </w:r>
      <w:bookmarkEnd w:id="120"/>
      <w:bookmarkEnd w:id="121"/>
    </w:p>
    <w:p>
      <w:pPr>
        <w:spacing w:line="440" w:lineRule="exact"/>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 xml:space="preserve">27. </w:t>
      </w:r>
      <w:r>
        <w:rPr>
          <w:rFonts w:hint="eastAsia" w:ascii="宋体" w:hAnsi="宋体" w:cs="宋体"/>
          <w:bCs/>
          <w:color w:val="auto"/>
          <w:szCs w:val="21"/>
          <w:highlight w:val="none"/>
          <w:lang w:val="en-US" w:eastAsia="zh-CN"/>
        </w:rPr>
        <w:t>开标</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27.1  开</w:t>
      </w:r>
      <w:r>
        <w:rPr>
          <w:rFonts w:hint="eastAsia" w:ascii="宋体" w:hAnsi="宋体" w:cs="宋体"/>
          <w:bCs/>
          <w:color w:val="auto"/>
          <w:szCs w:val="21"/>
          <w:highlight w:val="none"/>
          <w:lang w:val="en-US" w:eastAsia="zh-CN"/>
        </w:rPr>
        <w:t>标</w:t>
      </w:r>
      <w:r>
        <w:rPr>
          <w:rFonts w:hint="eastAsia" w:ascii="宋体" w:hAnsi="宋体" w:cs="宋体"/>
          <w:bCs/>
          <w:color w:val="auto"/>
          <w:szCs w:val="21"/>
          <w:highlight w:val="none"/>
        </w:rPr>
        <w:t>的时间和地点</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27.1.1采购人按</w:t>
      </w:r>
      <w:r>
        <w:rPr>
          <w:rFonts w:hint="eastAsia" w:ascii="宋体" w:hAnsi="宋体" w:cs="宋体"/>
          <w:bCs/>
          <w:color w:val="auto"/>
          <w:szCs w:val="21"/>
          <w:highlight w:val="none"/>
          <w:lang w:val="en-US" w:eastAsia="zh-CN"/>
        </w:rPr>
        <w:t>招标</w:t>
      </w:r>
      <w:r>
        <w:rPr>
          <w:rFonts w:hint="eastAsia" w:ascii="宋体"/>
          <w:color w:val="auto"/>
          <w:szCs w:val="21"/>
          <w:highlight w:val="none"/>
        </w:rPr>
        <w:t>公告中的时间和地点公开</w:t>
      </w:r>
      <w:r>
        <w:rPr>
          <w:rFonts w:hint="eastAsia" w:ascii="宋体"/>
          <w:color w:val="auto"/>
          <w:szCs w:val="21"/>
          <w:highlight w:val="none"/>
          <w:lang w:val="en-US" w:eastAsia="zh-CN"/>
        </w:rPr>
        <w:t>开标</w:t>
      </w:r>
      <w:r>
        <w:rPr>
          <w:rFonts w:hint="eastAsia" w:ascii="宋体" w:hAnsi="宋体" w:cs="宋体"/>
          <w:bCs/>
          <w:color w:val="auto"/>
          <w:szCs w:val="21"/>
          <w:highlight w:val="none"/>
        </w:rPr>
        <w:t>。</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27.2  参与</w:t>
      </w:r>
      <w:r>
        <w:rPr>
          <w:rFonts w:hint="eastAsia" w:ascii="宋体" w:hAnsi="宋体" w:cs="宋体"/>
          <w:bCs/>
          <w:color w:val="auto"/>
          <w:szCs w:val="21"/>
          <w:highlight w:val="none"/>
          <w:lang w:val="en-US" w:eastAsia="zh-CN"/>
        </w:rPr>
        <w:t>开标</w:t>
      </w:r>
      <w:r>
        <w:rPr>
          <w:rFonts w:hint="eastAsia" w:ascii="宋体" w:hAnsi="宋体" w:cs="宋体"/>
          <w:bCs/>
          <w:color w:val="auto"/>
          <w:szCs w:val="21"/>
          <w:highlight w:val="none"/>
        </w:rPr>
        <w:t>的部门</w:t>
      </w:r>
    </w:p>
    <w:p>
      <w:pPr>
        <w:spacing w:line="440" w:lineRule="exact"/>
        <w:ind w:right="-155" w:rightChars="-74" w:firstLine="420" w:firstLineChars="200"/>
        <w:jc w:val="left"/>
        <w:rPr>
          <w:rFonts w:hint="eastAsia" w:ascii="宋体" w:hAnsi="宋体" w:cs="宋体"/>
          <w:bCs/>
          <w:color w:val="auto"/>
          <w:spacing w:val="-8"/>
          <w:szCs w:val="21"/>
          <w:highlight w:val="none"/>
        </w:rPr>
      </w:pPr>
      <w:bookmarkStart w:id="122" w:name="_Toc6200"/>
      <w:bookmarkStart w:id="123" w:name="_Toc11244"/>
      <w:r>
        <w:rPr>
          <w:rFonts w:hint="eastAsia" w:ascii="宋体" w:hAnsi="宋体" w:cs="宋体"/>
          <w:bCs/>
          <w:color w:val="auto"/>
          <w:szCs w:val="21"/>
          <w:highlight w:val="none"/>
        </w:rPr>
        <w:t>27.2.1采购人可以邀请相关部门参加。</w:t>
      </w:r>
      <w:bookmarkEnd w:id="122"/>
      <w:bookmarkEnd w:id="123"/>
    </w:p>
    <w:p>
      <w:pPr>
        <w:adjustRightInd w:val="0"/>
        <w:snapToGrid w:val="0"/>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27.3开启程序</w:t>
      </w:r>
    </w:p>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lang w:val="en-US" w:eastAsia="zh-CN"/>
        </w:rPr>
        <w:t>开标</w:t>
      </w:r>
      <w:r>
        <w:rPr>
          <w:rFonts w:hint="eastAsia" w:ascii="宋体" w:hAnsi="宋体" w:cs="宋体"/>
          <w:bCs/>
          <w:color w:val="auto"/>
          <w:szCs w:val="21"/>
          <w:highlight w:val="none"/>
        </w:rPr>
        <w:t>会议由</w:t>
      </w:r>
      <w:r>
        <w:rPr>
          <w:rFonts w:hint="eastAsia" w:ascii="宋体"/>
          <w:color w:val="auto"/>
          <w:szCs w:val="21"/>
          <w:highlight w:val="none"/>
        </w:rPr>
        <w:t>采购代理机构主持</w:t>
      </w:r>
      <w:r>
        <w:rPr>
          <w:rFonts w:hint="eastAsia" w:ascii="宋体" w:hAnsi="宋体" w:cs="宋体"/>
          <w:bCs/>
          <w:color w:val="auto"/>
          <w:szCs w:val="21"/>
          <w:highlight w:val="none"/>
        </w:rPr>
        <w:t>。</w:t>
      </w:r>
    </w:p>
    <w:p>
      <w:pPr>
        <w:spacing w:line="440" w:lineRule="exact"/>
        <w:ind w:right="-155" w:rightChars="-74" w:firstLine="420" w:firstLineChars="200"/>
        <w:jc w:val="left"/>
        <w:rPr>
          <w:rFonts w:hint="eastAsia" w:ascii="宋体" w:hAnsi="宋体" w:cs="宋体"/>
          <w:bCs/>
          <w:color w:val="auto"/>
          <w:szCs w:val="21"/>
          <w:highlight w:val="none"/>
        </w:rPr>
      </w:pPr>
      <w:bookmarkStart w:id="124" w:name="OLE_LINK20"/>
      <w:r>
        <w:rPr>
          <w:rFonts w:hint="eastAsia" w:ascii="宋体" w:hAnsi="宋体" w:cs="宋体"/>
          <w:bCs/>
          <w:color w:val="auto"/>
          <w:szCs w:val="21"/>
          <w:highlight w:val="none"/>
        </w:rPr>
        <w:t>（1）宣布会议纪律；</w:t>
      </w:r>
    </w:p>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（2）宣布采购人、代理机构主持人、见证人等有关人员姓名；</w:t>
      </w:r>
    </w:p>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（3）公布提交首次</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截止时间前，递交</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的供应商名称情况等；</w:t>
      </w:r>
    </w:p>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（4）供应商在提交首次</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截止时间后，规定时间内完成</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lang w:val="en-US" w:eastAsia="zh-CN"/>
        </w:rPr>
        <w:t>拆解</w:t>
      </w:r>
      <w:r>
        <w:rPr>
          <w:rFonts w:hint="eastAsia" w:ascii="宋体" w:hAnsi="宋体" w:cs="宋体"/>
          <w:bCs/>
          <w:color w:val="auto"/>
          <w:szCs w:val="21"/>
          <w:highlight w:val="none"/>
        </w:rPr>
        <w:t>工作；</w:t>
      </w:r>
    </w:p>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（5）</w:t>
      </w:r>
      <w:r>
        <w:rPr>
          <w:rFonts w:hint="eastAsia" w:ascii="宋体"/>
          <w:color w:val="auto"/>
          <w:szCs w:val="21"/>
          <w:highlight w:val="none"/>
        </w:rPr>
        <w:t>公布供应商报价、质量目标、供货期及其他内容，并记录在案</w:t>
      </w:r>
      <w:r>
        <w:rPr>
          <w:rFonts w:hint="eastAsia" w:ascii="宋体" w:hAnsi="宋体" w:cs="宋体"/>
          <w:bCs/>
          <w:color w:val="auto"/>
          <w:szCs w:val="21"/>
          <w:highlight w:val="none"/>
        </w:rPr>
        <w:t>；</w:t>
      </w:r>
    </w:p>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（6）</w:t>
      </w:r>
      <w:r>
        <w:rPr>
          <w:rFonts w:hint="eastAsia" w:ascii="宋体" w:hAnsi="宋体" w:cs="宋体"/>
          <w:bCs/>
          <w:color w:val="auto"/>
          <w:szCs w:val="21"/>
          <w:highlight w:val="none"/>
          <w:lang w:val="en-US" w:eastAsia="zh-CN"/>
        </w:rPr>
        <w:t>开标</w:t>
      </w:r>
      <w:r>
        <w:rPr>
          <w:rFonts w:hint="eastAsia" w:ascii="宋体" w:hAnsi="宋体" w:cs="宋体"/>
          <w:bCs/>
          <w:color w:val="auto"/>
          <w:szCs w:val="21"/>
          <w:highlight w:val="none"/>
        </w:rPr>
        <w:t>结束。</w:t>
      </w:r>
    </w:p>
    <w:bookmarkEnd w:id="124"/>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27.4</w:t>
      </w:r>
      <w:r>
        <w:rPr>
          <w:rFonts w:hint="eastAsia" w:ascii="宋体" w:hAnsi="宋体" w:cs="宋体"/>
          <w:bCs/>
          <w:color w:val="auto"/>
          <w:szCs w:val="21"/>
          <w:highlight w:val="none"/>
          <w:lang w:val="en-US" w:eastAsia="zh-CN"/>
        </w:rPr>
        <w:t>开标</w:t>
      </w:r>
      <w:r>
        <w:rPr>
          <w:rFonts w:hint="eastAsia" w:ascii="宋体"/>
          <w:color w:val="auto"/>
          <w:szCs w:val="21"/>
          <w:highlight w:val="none"/>
        </w:rPr>
        <w:t>疑义</w:t>
      </w:r>
    </w:p>
    <w:p>
      <w:pPr>
        <w:spacing w:line="440" w:lineRule="exact"/>
        <w:ind w:right="-155" w:rightChars="-74"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供应商</w:t>
      </w:r>
      <w:r>
        <w:rPr>
          <w:rFonts w:hint="eastAsia" w:ascii="宋体" w:hAnsi="Calibri"/>
          <w:color w:val="auto"/>
          <w:szCs w:val="21"/>
          <w:highlight w:val="none"/>
        </w:rPr>
        <w:t>代表</w:t>
      </w:r>
      <w:r>
        <w:rPr>
          <w:rFonts w:hint="eastAsia" w:ascii="宋体" w:hAnsi="宋体" w:cs="宋体"/>
          <w:bCs/>
          <w:color w:val="auto"/>
          <w:szCs w:val="21"/>
          <w:highlight w:val="none"/>
        </w:rPr>
        <w:t>对</w:t>
      </w:r>
      <w:r>
        <w:rPr>
          <w:rFonts w:hint="eastAsia" w:ascii="宋体" w:hAnsi="宋体" w:cs="宋体"/>
          <w:bCs/>
          <w:color w:val="auto"/>
          <w:szCs w:val="21"/>
          <w:highlight w:val="none"/>
          <w:lang w:val="en-US" w:eastAsia="zh-CN"/>
        </w:rPr>
        <w:t>开标</w:t>
      </w:r>
      <w:r>
        <w:rPr>
          <w:rFonts w:hint="eastAsia" w:ascii="宋体" w:hAnsi="Calibri"/>
          <w:color w:val="auto"/>
          <w:szCs w:val="21"/>
          <w:highlight w:val="none"/>
        </w:rPr>
        <w:t>过程和</w:t>
      </w:r>
      <w:r>
        <w:rPr>
          <w:rFonts w:hint="eastAsia" w:ascii="宋体" w:hAnsi="Calibri"/>
          <w:color w:val="auto"/>
          <w:szCs w:val="21"/>
          <w:highlight w:val="none"/>
          <w:lang w:val="en-US" w:eastAsia="zh-CN"/>
        </w:rPr>
        <w:t>开标</w:t>
      </w:r>
      <w:r>
        <w:rPr>
          <w:rFonts w:hint="eastAsia" w:ascii="宋体" w:hAnsi="Calibri"/>
          <w:color w:val="auto"/>
          <w:szCs w:val="21"/>
          <w:highlight w:val="none"/>
        </w:rPr>
        <w:t>记录</w:t>
      </w:r>
      <w:r>
        <w:rPr>
          <w:rFonts w:hint="eastAsia" w:ascii="宋体" w:hAnsi="宋体" w:cs="宋体"/>
          <w:bCs/>
          <w:color w:val="auto"/>
          <w:szCs w:val="21"/>
          <w:highlight w:val="none"/>
        </w:rPr>
        <w:t>有</w:t>
      </w:r>
      <w:r>
        <w:rPr>
          <w:rFonts w:hint="eastAsia" w:ascii="宋体"/>
          <w:color w:val="auto"/>
          <w:szCs w:val="21"/>
          <w:highlight w:val="none"/>
        </w:rPr>
        <w:t>疑义</w:t>
      </w:r>
      <w:r>
        <w:rPr>
          <w:rFonts w:hint="eastAsia" w:ascii="宋体" w:hAnsi="宋体" w:cs="宋体"/>
          <w:bCs/>
          <w:color w:val="auto"/>
          <w:szCs w:val="21"/>
          <w:highlight w:val="none"/>
        </w:rPr>
        <w:t>的，</w:t>
      </w:r>
      <w:r>
        <w:rPr>
          <w:rFonts w:hint="eastAsia" w:ascii="宋体" w:hAnsi="Calibri"/>
          <w:color w:val="auto"/>
          <w:szCs w:val="21"/>
          <w:highlight w:val="none"/>
        </w:rPr>
        <w:t>以及认为采购人、采购代理机构相关工作人员有需要回避的情形的，应当场提出询问或者回避申请</w:t>
      </w:r>
      <w:r>
        <w:rPr>
          <w:rFonts w:hint="eastAsia" w:ascii="宋体"/>
          <w:color w:val="auto"/>
          <w:szCs w:val="21"/>
          <w:highlight w:val="none"/>
        </w:rPr>
        <w:t>。</w:t>
      </w:r>
    </w:p>
    <w:p>
      <w:pPr>
        <w:spacing w:line="440" w:lineRule="exact"/>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28.</w:t>
      </w:r>
      <w:r>
        <w:rPr>
          <w:rFonts w:hint="eastAsia" w:ascii="宋体" w:hAnsi="宋体" w:cs="宋体"/>
          <w:bCs/>
          <w:color w:val="auto"/>
          <w:szCs w:val="21"/>
          <w:highlight w:val="none"/>
          <w:lang w:val="en-US" w:eastAsia="zh-CN"/>
        </w:rPr>
        <w:t>评审小组</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28.1 </w:t>
      </w:r>
      <w:r>
        <w:rPr>
          <w:rFonts w:hint="eastAsia" w:ascii="宋体" w:hAnsi="宋体" w:cs="宋体"/>
          <w:bCs/>
          <w:color w:val="auto"/>
          <w:szCs w:val="21"/>
          <w:highlight w:val="none"/>
          <w:lang w:val="en-US" w:eastAsia="zh-CN"/>
        </w:rPr>
        <w:t>评审小组</w:t>
      </w:r>
      <w:r>
        <w:rPr>
          <w:rFonts w:hint="eastAsia" w:ascii="宋体" w:hAnsi="宋体" w:cs="宋体"/>
          <w:bCs/>
          <w:color w:val="auto"/>
          <w:szCs w:val="21"/>
          <w:highlight w:val="none"/>
        </w:rPr>
        <w:t>的组成</w:t>
      </w:r>
    </w:p>
    <w:p>
      <w:pPr>
        <w:spacing w:line="440" w:lineRule="exact"/>
        <w:ind w:firstLine="420" w:firstLineChars="200"/>
        <w:jc w:val="left"/>
        <w:rPr>
          <w:rFonts w:hint="eastAsia" w:ascii="宋体" w:hAnsi="宋体" w:cs="宋体"/>
          <w:bCs/>
          <w:color w:val="auto"/>
          <w:szCs w:val="21"/>
          <w:highlight w:val="none"/>
        </w:rPr>
      </w:pPr>
      <w:bookmarkStart w:id="125" w:name="_Toc3934"/>
      <w:bookmarkStart w:id="126" w:name="_Toc31626"/>
      <w:r>
        <w:rPr>
          <w:rFonts w:hint="eastAsia" w:ascii="宋体" w:hAnsi="宋体" w:cs="宋体"/>
          <w:bCs/>
          <w:color w:val="auto"/>
          <w:szCs w:val="21"/>
          <w:highlight w:val="none"/>
        </w:rPr>
        <w:t>28.1.1由采购人组建。</w:t>
      </w:r>
      <w:bookmarkEnd w:id="125"/>
      <w:bookmarkEnd w:id="126"/>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29.评审</w:t>
      </w:r>
    </w:p>
    <w:p>
      <w:pPr>
        <w:spacing w:line="440" w:lineRule="exact"/>
        <w:ind w:firstLine="420" w:firstLineChars="200"/>
        <w:jc w:val="left"/>
        <w:rPr>
          <w:rFonts w:hint="eastAsia" w:ascii="宋体" w:hAnsi="宋体" w:cs="宋体"/>
          <w:bCs/>
          <w:color w:val="auto"/>
          <w:szCs w:val="21"/>
          <w:highlight w:val="none"/>
        </w:rPr>
      </w:pPr>
      <w:bookmarkStart w:id="127" w:name="_Toc20572"/>
      <w:bookmarkStart w:id="128" w:name="_Toc26394"/>
      <w:r>
        <w:rPr>
          <w:rFonts w:hint="eastAsia" w:ascii="宋体" w:hAnsi="宋体" w:cs="宋体"/>
          <w:bCs/>
          <w:color w:val="auto"/>
          <w:szCs w:val="21"/>
          <w:highlight w:val="none"/>
        </w:rPr>
        <w:t>29.1评审准备工作</w:t>
      </w:r>
      <w:bookmarkEnd w:id="127"/>
      <w:bookmarkEnd w:id="128"/>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29.1.1</w:t>
      </w:r>
      <w:r>
        <w:rPr>
          <w:rFonts w:hint="eastAsia" w:ascii="宋体" w:hAnsi="宋体" w:cs="宋体"/>
          <w:bCs/>
          <w:color w:val="auto"/>
          <w:szCs w:val="21"/>
          <w:highlight w:val="none"/>
          <w:u w:val="none" w:color="auto"/>
        </w:rPr>
        <w:t>阅读由采购人或代理单位编写的采购项目情况的说明材料；</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29.1.2阅读、研究</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和相关评审资料，获取评审所需要的重要信息和数据；</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29.1.3熟悉</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规定的评审方法及在评审过程中需要考虑的相关因素；</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29.1.4核对评审工作用表。</w:t>
      </w:r>
    </w:p>
    <w:p>
      <w:pPr>
        <w:spacing w:line="440" w:lineRule="exact"/>
        <w:ind w:firstLine="420" w:firstLineChars="200"/>
        <w:jc w:val="left"/>
        <w:rPr>
          <w:rFonts w:hint="eastAsia" w:ascii="宋体" w:hAnsi="宋体" w:cs="宋体"/>
          <w:bCs/>
          <w:color w:val="auto"/>
          <w:szCs w:val="21"/>
          <w:highlight w:val="none"/>
        </w:rPr>
      </w:pPr>
      <w:bookmarkStart w:id="129" w:name="_Toc1551"/>
      <w:bookmarkStart w:id="130" w:name="_Toc28735"/>
      <w:r>
        <w:rPr>
          <w:rFonts w:hint="eastAsia" w:ascii="宋体" w:hAnsi="宋体" w:cs="宋体"/>
          <w:bCs/>
          <w:color w:val="auto"/>
          <w:szCs w:val="21"/>
          <w:highlight w:val="none"/>
        </w:rPr>
        <w:t>29.2 评审办法</w:t>
      </w:r>
      <w:bookmarkEnd w:id="129"/>
      <w:bookmarkEnd w:id="130"/>
    </w:p>
    <w:p>
      <w:pPr>
        <w:spacing w:line="440" w:lineRule="exact"/>
        <w:ind w:firstLine="420" w:firstLineChars="200"/>
        <w:jc w:val="left"/>
        <w:rPr>
          <w:rFonts w:hint="eastAsia" w:ascii="宋体" w:hAnsi="宋体" w:cs="宋体"/>
          <w:bCs/>
          <w:color w:val="auto"/>
          <w:szCs w:val="21"/>
          <w:highlight w:val="none"/>
          <w:u w:val="none" w:color="auto"/>
        </w:rPr>
      </w:pPr>
      <w:r>
        <w:rPr>
          <w:rFonts w:hint="eastAsia" w:ascii="宋体" w:hAnsi="宋体" w:cs="宋体"/>
          <w:bCs/>
          <w:color w:val="auto"/>
          <w:szCs w:val="21"/>
          <w:highlight w:val="none"/>
          <w:u w:val="none" w:color="auto"/>
        </w:rPr>
        <w:t>29.2.1</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u w:val="none" w:color="auto"/>
        </w:rPr>
        <w:t>按照第三章“评审办法”规定的方法、评审因素、标准和程序对</w:t>
      </w:r>
      <w:r>
        <w:rPr>
          <w:rFonts w:hint="eastAsia" w:ascii="宋体" w:hAnsi="宋体" w:cs="宋体"/>
          <w:bCs/>
          <w:color w:val="auto"/>
          <w:szCs w:val="21"/>
          <w:highlight w:val="none"/>
          <w:u w:val="none" w:color="auto"/>
          <w:lang w:eastAsia="zh-CN"/>
        </w:rPr>
        <w:t>投标文件</w:t>
      </w:r>
      <w:r>
        <w:rPr>
          <w:rFonts w:hint="eastAsia" w:ascii="宋体" w:hAnsi="宋体" w:cs="宋体"/>
          <w:bCs/>
          <w:color w:val="auto"/>
          <w:szCs w:val="21"/>
          <w:highlight w:val="none"/>
          <w:u w:val="none" w:color="auto"/>
        </w:rPr>
        <w:t>进行评审。第三章“评审办法”没有规定的方法、评审因素和标准，不作为评审依据。</w:t>
      </w:r>
    </w:p>
    <w:p>
      <w:pPr>
        <w:spacing w:line="440" w:lineRule="exact"/>
        <w:ind w:firstLine="420" w:firstLineChars="200"/>
        <w:jc w:val="left"/>
        <w:rPr>
          <w:rFonts w:hint="eastAsia" w:ascii="宋体" w:hAnsi="宋体" w:cs="宋体"/>
          <w:bCs/>
          <w:color w:val="auto"/>
          <w:szCs w:val="21"/>
          <w:highlight w:val="none"/>
        </w:rPr>
      </w:pPr>
      <w:bookmarkStart w:id="131" w:name="_Toc7441"/>
      <w:bookmarkStart w:id="132" w:name="_Toc28813"/>
      <w:r>
        <w:rPr>
          <w:rFonts w:hint="eastAsia" w:ascii="宋体" w:hAnsi="宋体" w:cs="宋体"/>
          <w:bCs/>
          <w:color w:val="auto"/>
          <w:szCs w:val="21"/>
          <w:highlight w:val="none"/>
        </w:rPr>
        <w:t>29.3评审原则：</w:t>
      </w:r>
      <w:bookmarkEnd w:id="131"/>
      <w:bookmarkEnd w:id="132"/>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遵循公平、公正、科学和择优的原则。</w:t>
      </w:r>
    </w:p>
    <w:p>
      <w:pPr>
        <w:spacing w:line="440" w:lineRule="exact"/>
        <w:ind w:firstLine="420" w:firstLineChars="200"/>
        <w:jc w:val="left"/>
        <w:rPr>
          <w:rFonts w:hint="eastAsia" w:ascii="宋体" w:hAnsi="宋体" w:cs="宋体"/>
          <w:bCs/>
          <w:color w:val="auto"/>
          <w:szCs w:val="21"/>
          <w:highlight w:val="none"/>
        </w:rPr>
      </w:pPr>
      <w:bookmarkStart w:id="133" w:name="_Toc16958"/>
      <w:bookmarkStart w:id="134" w:name="_Toc12227"/>
      <w:r>
        <w:rPr>
          <w:rFonts w:hint="eastAsia" w:ascii="宋体" w:hAnsi="宋体" w:cs="宋体"/>
          <w:bCs/>
          <w:color w:val="auto"/>
          <w:szCs w:val="21"/>
          <w:highlight w:val="none"/>
        </w:rPr>
        <w:t>29.4</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的澄清</w:t>
      </w:r>
      <w:bookmarkEnd w:id="133"/>
      <w:bookmarkEnd w:id="134"/>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29.4.1在评审过程中，</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认为需要，在监督下，可要求供应商对</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中的有关问题进行澄清或提供补充说明及有关资料，供应商应</w:t>
      </w:r>
      <w:r>
        <w:rPr>
          <w:rFonts w:hint="eastAsia" w:ascii="宋体" w:hAnsi="宋体" w:cs="宋体"/>
          <w:bCs/>
          <w:color w:val="auto"/>
          <w:szCs w:val="21"/>
          <w:highlight w:val="none"/>
          <w:lang w:eastAsia="zh-CN"/>
        </w:rPr>
        <w:t>作出</w:t>
      </w:r>
      <w:r>
        <w:rPr>
          <w:rFonts w:hint="eastAsia" w:ascii="宋体" w:hAnsi="宋体" w:cs="宋体"/>
          <w:bCs/>
          <w:color w:val="auto"/>
          <w:szCs w:val="21"/>
          <w:highlight w:val="none"/>
        </w:rPr>
        <w:t>答复，答复将视为</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的组成部分，答复中不得变更价格、供货期、自报质量等实质性内容。</w:t>
      </w:r>
    </w:p>
    <w:p>
      <w:pPr>
        <w:spacing w:line="440" w:lineRule="exact"/>
        <w:ind w:firstLine="420" w:firstLineChars="200"/>
        <w:jc w:val="left"/>
        <w:rPr>
          <w:rFonts w:hint="eastAsia" w:ascii="宋体" w:hAnsi="宋体" w:cs="宋体"/>
          <w:bCs/>
          <w:color w:val="auto"/>
          <w:szCs w:val="21"/>
          <w:highlight w:val="none"/>
        </w:rPr>
      </w:pPr>
      <w:bookmarkStart w:id="135" w:name="_Toc19713"/>
      <w:bookmarkStart w:id="136" w:name="_Toc22740"/>
      <w:r>
        <w:rPr>
          <w:rFonts w:hint="eastAsia" w:ascii="宋体" w:hAnsi="宋体" w:cs="宋体"/>
          <w:bCs/>
          <w:color w:val="auto"/>
          <w:szCs w:val="21"/>
          <w:highlight w:val="none"/>
        </w:rPr>
        <w:t>29.4.2</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递交截止时间后，供应商对</w:t>
      </w:r>
      <w:r>
        <w:rPr>
          <w:rFonts w:hint="eastAsia" w:ascii="宋体" w:hAnsi="宋体" w:cs="宋体"/>
          <w:bCs/>
          <w:color w:val="auto"/>
          <w:szCs w:val="21"/>
          <w:highlight w:val="none"/>
          <w:lang w:eastAsia="zh-CN"/>
        </w:rPr>
        <w:t>投标报价或其他</w:t>
      </w:r>
      <w:r>
        <w:rPr>
          <w:rFonts w:hint="eastAsia" w:ascii="宋体" w:hAnsi="宋体" w:cs="宋体"/>
          <w:bCs/>
          <w:color w:val="auto"/>
          <w:szCs w:val="21"/>
          <w:highlight w:val="none"/>
        </w:rPr>
        <w:t>实质性内容修正的函件和增加的任何优惠条件，一律不得作为评审、成交的依据。</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29.4.3采购人不接受供应商主动提出的澄清。</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29.5报价合理性的判断</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认为供应商的报价明显低于其他通过符合性审查供应商的报价，有可能影响产品质量或者不能诚信履约的，应当要求其在</w:t>
      </w:r>
      <w:r>
        <w:rPr>
          <w:rFonts w:hint="eastAsia" w:ascii="宋体" w:hAnsi="宋体" w:cs="宋体"/>
          <w:bCs/>
          <w:color w:val="auto"/>
          <w:szCs w:val="21"/>
          <w:highlight w:val="none"/>
          <w:lang w:val="en-US" w:eastAsia="zh-CN"/>
        </w:rPr>
        <w:t>开标现场</w:t>
      </w:r>
      <w:r>
        <w:rPr>
          <w:rFonts w:hint="eastAsia" w:ascii="宋体" w:hAnsi="宋体" w:cs="宋体"/>
          <w:bCs/>
          <w:color w:val="auto"/>
          <w:szCs w:val="21"/>
          <w:highlight w:val="none"/>
        </w:rPr>
        <w:t>合理的时间内提供说明，必要时提交相关证明材料；供应商不能证明其报价合理性的，</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应当将其作为无效响应处理。</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29.6评审意见分歧的处理办法</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应当对供应商提供的报告、证明材料及详细说明认真研究。对存在意见分歧的，可采用投票方式表决决定（按多数评委意见为准）；</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（2）采购和</w:t>
      </w:r>
      <w:r>
        <w:rPr>
          <w:rFonts w:hint="eastAsia" w:ascii="宋体" w:hAnsi="宋体" w:cs="宋体"/>
          <w:bCs/>
          <w:color w:val="auto"/>
          <w:szCs w:val="21"/>
          <w:highlight w:val="none"/>
          <w:lang w:val="en-US" w:eastAsia="zh-CN"/>
        </w:rPr>
        <w:t>投标</w:t>
      </w:r>
      <w:r>
        <w:rPr>
          <w:rFonts w:hint="eastAsia" w:ascii="宋体" w:hAnsi="宋体" w:cs="宋体"/>
          <w:bCs/>
          <w:color w:val="auto"/>
          <w:szCs w:val="21"/>
          <w:highlight w:val="none"/>
        </w:rPr>
        <w:t>当事人对评审结果提出质疑或者投诉，</w:t>
      </w:r>
      <w:r>
        <w:rPr>
          <w:rFonts w:hint="eastAsia" w:ascii="宋体" w:hAnsi="宋体" w:cs="宋体"/>
          <w:bCs/>
          <w:color w:val="auto"/>
          <w:szCs w:val="21"/>
          <w:highlight w:val="none"/>
          <w:lang w:val="en-US" w:eastAsia="zh-CN"/>
        </w:rPr>
        <w:t>采购人</w:t>
      </w:r>
      <w:r>
        <w:rPr>
          <w:rFonts w:hint="eastAsia" w:ascii="宋体" w:hAnsi="宋体" w:cs="宋体"/>
          <w:bCs/>
          <w:color w:val="auto"/>
          <w:szCs w:val="21"/>
          <w:highlight w:val="none"/>
        </w:rPr>
        <w:t>认为需要重新进行评审的，</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成员应当按照</w:t>
      </w:r>
      <w:r>
        <w:rPr>
          <w:rFonts w:hint="eastAsia" w:ascii="宋体" w:hAnsi="宋体" w:cs="宋体"/>
          <w:bCs/>
          <w:color w:val="auto"/>
          <w:szCs w:val="21"/>
          <w:highlight w:val="none"/>
          <w:lang w:val="en-US" w:eastAsia="zh-CN"/>
        </w:rPr>
        <w:t>采购人</w:t>
      </w:r>
      <w:r>
        <w:rPr>
          <w:rFonts w:hint="eastAsia" w:ascii="宋体" w:hAnsi="宋体" w:cs="宋体"/>
          <w:bCs/>
          <w:color w:val="auto"/>
          <w:szCs w:val="21"/>
          <w:highlight w:val="none"/>
        </w:rPr>
        <w:t>要求重新评审。</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29.7评审报告的签署</w:t>
      </w:r>
    </w:p>
    <w:bookmarkEnd w:id="135"/>
    <w:bookmarkEnd w:id="136"/>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29.7.1</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应当编制书面评审报告</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rPr>
        <w:t>所有成员应签字确认。对评审结论持有异议的</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成员可以书面方式阐述其不同意见和理由。</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成员拒绝在评审报告上签字且不陈述其不同意见和理由的，视为同意评审结论。</w:t>
      </w:r>
    </w:p>
    <w:p>
      <w:pPr>
        <w:spacing w:line="440" w:lineRule="exact"/>
        <w:ind w:firstLine="420" w:firstLineChars="200"/>
        <w:jc w:val="left"/>
        <w:rPr>
          <w:rFonts w:hint="eastAsia" w:ascii="宋体" w:hAnsi="宋体" w:cs="宋体"/>
          <w:bCs/>
          <w:color w:val="auto"/>
          <w:szCs w:val="21"/>
          <w:highlight w:val="none"/>
        </w:rPr>
      </w:pPr>
      <w:bookmarkStart w:id="137" w:name="_Toc20226"/>
      <w:bookmarkStart w:id="138" w:name="_Toc28755"/>
      <w:r>
        <w:rPr>
          <w:rFonts w:hint="eastAsia" w:ascii="宋体" w:hAnsi="宋体" w:cs="宋体"/>
          <w:bCs/>
          <w:color w:val="auto"/>
          <w:szCs w:val="21"/>
          <w:highlight w:val="none"/>
        </w:rPr>
        <w:t>29.8评审过程的保密</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成员和与评审活动有关的工作人员不得透露对</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的评审和比较、</w:t>
      </w:r>
      <w:r>
        <w:rPr>
          <w:rFonts w:hint="eastAsia" w:ascii="宋体" w:hAnsi="宋体" w:cs="宋体"/>
          <w:bCs/>
          <w:color w:val="auto"/>
          <w:szCs w:val="21"/>
          <w:highlight w:val="none"/>
          <w:lang w:eastAsia="zh-CN"/>
        </w:rPr>
        <w:t>中标候选人</w:t>
      </w:r>
      <w:r>
        <w:rPr>
          <w:rFonts w:hint="eastAsia" w:ascii="宋体" w:hAnsi="宋体" w:cs="宋体"/>
          <w:bCs/>
          <w:color w:val="auto"/>
          <w:szCs w:val="21"/>
          <w:highlight w:val="none"/>
        </w:rPr>
        <w:t>的推荐情况以及与评审有关的其他情况。</w:t>
      </w:r>
    </w:p>
    <w:bookmarkEnd w:id="137"/>
    <w:bookmarkEnd w:id="138"/>
    <w:p>
      <w:pPr>
        <w:spacing w:line="440" w:lineRule="exact"/>
        <w:ind w:firstLine="420" w:firstLineChars="200"/>
        <w:jc w:val="lef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rPr>
        <w:t xml:space="preserve">30. </w:t>
      </w:r>
      <w:r>
        <w:rPr>
          <w:rFonts w:hint="eastAsia" w:ascii="宋体" w:hAnsi="宋体" w:cs="宋体"/>
          <w:bCs/>
          <w:color w:val="auto"/>
          <w:szCs w:val="21"/>
          <w:highlight w:val="none"/>
          <w:lang w:val="en-US" w:eastAsia="zh-CN"/>
        </w:rPr>
        <w:t>定标</w:t>
      </w:r>
    </w:p>
    <w:p>
      <w:pPr>
        <w:spacing w:line="440" w:lineRule="exact"/>
        <w:ind w:firstLine="420" w:firstLineChars="200"/>
        <w:jc w:val="left"/>
        <w:rPr>
          <w:rFonts w:hint="eastAsia" w:ascii="宋体" w:hAnsi="宋体" w:cs="宋体"/>
          <w:bCs/>
          <w:color w:val="auto"/>
          <w:szCs w:val="21"/>
          <w:highlight w:val="none"/>
        </w:rPr>
      </w:pPr>
      <w:bookmarkStart w:id="139" w:name="_Toc16765"/>
      <w:bookmarkStart w:id="140" w:name="_Toc5877"/>
      <w:r>
        <w:rPr>
          <w:rFonts w:hint="eastAsia" w:ascii="宋体" w:hAnsi="宋体" w:cs="宋体"/>
          <w:bCs/>
          <w:color w:val="auto"/>
          <w:szCs w:val="21"/>
          <w:highlight w:val="none"/>
        </w:rPr>
        <w:t xml:space="preserve">30.1 </w:t>
      </w:r>
      <w:r>
        <w:rPr>
          <w:rFonts w:hint="eastAsia" w:ascii="宋体" w:hAnsi="宋体" w:cs="宋体"/>
          <w:bCs/>
          <w:color w:val="auto"/>
          <w:szCs w:val="21"/>
          <w:highlight w:val="none"/>
          <w:lang w:val="en-US" w:eastAsia="zh-CN"/>
        </w:rPr>
        <w:t>中标</w:t>
      </w:r>
      <w:r>
        <w:rPr>
          <w:rFonts w:hint="eastAsia" w:ascii="宋体" w:hAnsi="宋体" w:cs="宋体"/>
          <w:bCs/>
          <w:color w:val="auto"/>
          <w:szCs w:val="21"/>
          <w:highlight w:val="none"/>
        </w:rPr>
        <w:t>人的确定</w:t>
      </w:r>
      <w:bookmarkEnd w:id="139"/>
      <w:bookmarkEnd w:id="140"/>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30.1.1除供应商须知前附表规定</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直接确定</w:t>
      </w:r>
      <w:r>
        <w:rPr>
          <w:rFonts w:hint="eastAsia" w:ascii="宋体" w:hAnsi="宋体" w:cs="宋体"/>
          <w:bCs/>
          <w:color w:val="auto"/>
          <w:szCs w:val="21"/>
          <w:highlight w:val="none"/>
          <w:lang w:val="en-US" w:eastAsia="zh-CN"/>
        </w:rPr>
        <w:t>中标</w:t>
      </w:r>
      <w:r>
        <w:rPr>
          <w:rFonts w:hint="eastAsia" w:ascii="宋体" w:hAnsi="宋体" w:cs="宋体"/>
          <w:bCs/>
          <w:color w:val="auto"/>
          <w:szCs w:val="21"/>
          <w:highlight w:val="none"/>
        </w:rPr>
        <w:t>人外，采购人依据</w:t>
      </w:r>
      <w:r>
        <w:rPr>
          <w:rFonts w:hint="eastAsia" w:ascii="宋体" w:hAnsi="宋体" w:cs="宋体"/>
          <w:bCs/>
          <w:color w:val="auto"/>
          <w:szCs w:val="21"/>
          <w:highlight w:val="none"/>
          <w:lang w:val="en-US" w:eastAsia="zh-CN"/>
        </w:rPr>
        <w:t>评审小组</w:t>
      </w:r>
      <w:r>
        <w:rPr>
          <w:rFonts w:hint="eastAsia" w:ascii="宋体" w:hAnsi="宋体" w:cs="宋体"/>
          <w:bCs/>
          <w:color w:val="auto"/>
          <w:szCs w:val="21"/>
          <w:highlight w:val="none"/>
        </w:rPr>
        <w:t>推荐的</w:t>
      </w:r>
      <w:r>
        <w:rPr>
          <w:rFonts w:hint="eastAsia" w:ascii="宋体" w:hAnsi="宋体" w:cs="宋体"/>
          <w:bCs/>
          <w:color w:val="auto"/>
          <w:szCs w:val="21"/>
          <w:highlight w:val="none"/>
          <w:lang w:eastAsia="zh-CN"/>
        </w:rPr>
        <w:t>中标候选人</w:t>
      </w:r>
      <w:r>
        <w:rPr>
          <w:rFonts w:hint="eastAsia" w:ascii="宋体" w:hAnsi="宋体" w:cs="宋体"/>
          <w:bCs/>
          <w:color w:val="auto"/>
          <w:szCs w:val="21"/>
          <w:highlight w:val="none"/>
        </w:rPr>
        <w:t>确定</w:t>
      </w:r>
      <w:r>
        <w:rPr>
          <w:rFonts w:hint="eastAsia" w:ascii="宋体" w:hAnsi="宋体" w:cs="宋体"/>
          <w:bCs/>
          <w:color w:val="auto"/>
          <w:szCs w:val="21"/>
          <w:highlight w:val="none"/>
          <w:lang w:eastAsia="zh-CN"/>
        </w:rPr>
        <w:t>中标人</w:t>
      </w:r>
      <w:r>
        <w:rPr>
          <w:rFonts w:hint="eastAsia" w:ascii="宋体" w:hAnsi="宋体" w:cs="宋体"/>
          <w:bCs/>
          <w:color w:val="auto"/>
          <w:szCs w:val="21"/>
          <w:highlight w:val="none"/>
        </w:rPr>
        <w:t>，</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推荐</w:t>
      </w:r>
      <w:r>
        <w:rPr>
          <w:rFonts w:hint="eastAsia" w:ascii="宋体" w:hAnsi="宋体" w:cs="宋体"/>
          <w:bCs/>
          <w:color w:val="auto"/>
          <w:szCs w:val="21"/>
          <w:highlight w:val="none"/>
          <w:lang w:eastAsia="zh-CN"/>
        </w:rPr>
        <w:t>中标候选人</w:t>
      </w:r>
      <w:r>
        <w:rPr>
          <w:rFonts w:hint="eastAsia" w:ascii="宋体" w:hAnsi="宋体" w:cs="宋体"/>
          <w:bCs/>
          <w:color w:val="auto"/>
          <w:szCs w:val="21"/>
          <w:highlight w:val="none"/>
        </w:rPr>
        <w:t>的人数见供应商须知前附表。</w:t>
      </w:r>
    </w:p>
    <w:p>
      <w:pPr>
        <w:spacing w:line="440" w:lineRule="exact"/>
        <w:ind w:firstLine="420" w:firstLineChars="200"/>
        <w:jc w:val="left"/>
        <w:rPr>
          <w:rFonts w:hint="eastAsia" w:ascii="宋体" w:hAnsi="宋体" w:eastAsia="宋体" w:cs="宋体"/>
          <w:bCs/>
          <w:color w:val="auto"/>
          <w:szCs w:val="21"/>
          <w:highlight w:val="none"/>
          <w:lang w:eastAsia="zh-CN"/>
        </w:rPr>
      </w:pPr>
      <w:bookmarkStart w:id="141" w:name="_Toc11141"/>
      <w:bookmarkStart w:id="142" w:name="_Toc6029"/>
      <w:r>
        <w:rPr>
          <w:rFonts w:hint="eastAsia" w:ascii="宋体" w:hAnsi="宋体" w:cs="宋体"/>
          <w:bCs/>
          <w:color w:val="auto"/>
          <w:szCs w:val="21"/>
          <w:highlight w:val="none"/>
        </w:rPr>
        <w:t xml:space="preserve">30.2 </w:t>
      </w:r>
      <w:bookmarkEnd w:id="141"/>
      <w:bookmarkEnd w:id="142"/>
      <w:r>
        <w:rPr>
          <w:rFonts w:hint="eastAsia" w:ascii="宋体" w:hAnsi="宋体" w:cs="宋体"/>
          <w:bCs/>
          <w:color w:val="auto"/>
          <w:szCs w:val="21"/>
          <w:highlight w:val="none"/>
          <w:lang w:eastAsia="zh-CN"/>
        </w:rPr>
        <w:t>中标通知书</w:t>
      </w:r>
    </w:p>
    <w:p>
      <w:pPr>
        <w:pStyle w:val="20"/>
        <w:widowControl w:val="0"/>
        <w:spacing w:line="440" w:lineRule="exact"/>
        <w:ind w:firstLine="420" w:firstLineChars="200"/>
        <w:textAlignment w:val="auto"/>
        <w:rPr>
          <w:rFonts w:hint="eastAsia" w:ascii="宋体" w:hAnsi="宋体" w:cs="宋体"/>
          <w:bCs/>
          <w:color w:val="auto"/>
          <w:szCs w:val="21"/>
          <w:highlight w:val="none"/>
        </w:rPr>
      </w:pPr>
      <w:r>
        <w:rPr>
          <w:rFonts w:hint="eastAsia" w:ascii="宋体" w:hAnsi="宋体" w:cs="宋体"/>
          <w:bCs/>
          <w:color w:val="auto"/>
          <w:szCs w:val="21"/>
          <w:highlight w:val="none"/>
        </w:rPr>
        <w:t>30.2.1采购人或代理机构应在</w:t>
      </w:r>
      <w:r>
        <w:rPr>
          <w:rFonts w:hint="eastAsia" w:ascii="宋体" w:hAnsi="宋体" w:cs="宋体"/>
          <w:bCs/>
          <w:color w:val="auto"/>
          <w:szCs w:val="21"/>
          <w:highlight w:val="none"/>
          <w:lang w:eastAsia="zh-CN"/>
        </w:rPr>
        <w:t>中标人</w:t>
      </w:r>
      <w:r>
        <w:rPr>
          <w:rFonts w:hint="eastAsia" w:ascii="宋体" w:hAnsi="宋体" w:cs="宋体"/>
          <w:bCs/>
          <w:color w:val="auto"/>
          <w:szCs w:val="21"/>
          <w:highlight w:val="none"/>
        </w:rPr>
        <w:t>确定之日起2个工作日内发出</w:t>
      </w:r>
      <w:r>
        <w:rPr>
          <w:rFonts w:hint="eastAsia" w:ascii="宋体" w:hAnsi="宋体" w:cs="宋体"/>
          <w:bCs/>
          <w:color w:val="auto"/>
          <w:szCs w:val="21"/>
          <w:highlight w:val="none"/>
          <w:lang w:eastAsia="zh-CN"/>
        </w:rPr>
        <w:t>中标通知书</w:t>
      </w:r>
      <w:r>
        <w:rPr>
          <w:rFonts w:hint="eastAsia" w:ascii="宋体" w:hAnsi="宋体" w:cs="宋体"/>
          <w:bCs/>
          <w:color w:val="auto"/>
          <w:szCs w:val="21"/>
          <w:highlight w:val="none"/>
        </w:rPr>
        <w:t>。</w:t>
      </w:r>
    </w:p>
    <w:p>
      <w:pPr>
        <w:widowControl w:val="0"/>
        <w:snapToGrid w:val="0"/>
        <w:spacing w:line="440" w:lineRule="exact"/>
        <w:ind w:firstLine="420" w:firstLineChars="200"/>
        <w:jc w:val="left"/>
        <w:textAlignment w:val="auto"/>
        <w:rPr>
          <w:rFonts w:hint="eastAsia" w:ascii="宋体" w:hAnsi="宋体" w:cs="宋体"/>
          <w:bCs/>
          <w:color w:val="auto"/>
          <w:szCs w:val="21"/>
          <w:highlight w:val="none"/>
        </w:rPr>
      </w:pPr>
      <w:r>
        <w:rPr>
          <w:rFonts w:hint="eastAsia" w:ascii="宋体" w:hAnsi="宋体" w:cs="宋体"/>
          <w:bCs/>
          <w:color w:val="auto"/>
          <w:szCs w:val="21"/>
          <w:highlight w:val="none"/>
        </w:rPr>
        <w:t>30.2.2</w:t>
      </w:r>
      <w:r>
        <w:rPr>
          <w:rFonts w:hint="eastAsia" w:ascii="宋体" w:hAnsi="宋体" w:cs="宋体"/>
          <w:bCs/>
          <w:color w:val="auto"/>
          <w:szCs w:val="21"/>
          <w:highlight w:val="none"/>
          <w:lang w:eastAsia="zh-CN"/>
        </w:rPr>
        <w:t>中标通知书</w:t>
      </w:r>
      <w:r>
        <w:rPr>
          <w:rFonts w:hint="eastAsia" w:ascii="宋体" w:hAnsi="宋体" w:cs="宋体"/>
          <w:bCs/>
          <w:color w:val="auto"/>
          <w:szCs w:val="21"/>
          <w:highlight w:val="none"/>
        </w:rPr>
        <w:t>须加盖采购人、代理公司公章后，方可发出。</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 xml:space="preserve">31. </w:t>
      </w:r>
      <w:bookmarkStart w:id="143" w:name="_Toc449028872"/>
      <w:r>
        <w:rPr>
          <w:rFonts w:hint="eastAsia" w:ascii="宋体" w:hAnsi="宋体" w:cs="宋体"/>
          <w:bCs/>
          <w:color w:val="auto"/>
          <w:szCs w:val="21"/>
          <w:highlight w:val="none"/>
        </w:rPr>
        <w:t>开</w:t>
      </w:r>
      <w:r>
        <w:rPr>
          <w:rFonts w:hint="eastAsia" w:ascii="宋体" w:hAnsi="宋体" w:cs="宋体"/>
          <w:bCs/>
          <w:color w:val="auto"/>
          <w:szCs w:val="21"/>
          <w:highlight w:val="none"/>
          <w:lang w:val="en-US" w:eastAsia="zh-CN"/>
        </w:rPr>
        <w:t>标</w:t>
      </w:r>
      <w:r>
        <w:rPr>
          <w:rFonts w:hint="eastAsia" w:ascii="宋体" w:hAnsi="宋体" w:cs="宋体"/>
          <w:bCs/>
          <w:color w:val="auto"/>
          <w:szCs w:val="21"/>
          <w:highlight w:val="none"/>
        </w:rPr>
        <w:t>、评审异常情况处理</w:t>
      </w:r>
    </w:p>
    <w:p>
      <w:pPr>
        <w:adjustRightInd w:val="0"/>
        <w:snapToGrid w:val="0"/>
        <w:spacing w:line="460" w:lineRule="exact"/>
        <w:ind w:firstLine="420" w:firstLineChars="200"/>
        <w:rPr>
          <w:rFonts w:hint="eastAsia" w:ascii="宋体" w:eastAsia="宋体"/>
          <w:color w:val="auto"/>
          <w:kern w:val="10"/>
          <w:szCs w:val="21"/>
          <w:highlight w:val="none"/>
          <w:lang w:val="en-US" w:eastAsia="zh-CN"/>
        </w:rPr>
      </w:pPr>
      <w:r>
        <w:rPr>
          <w:rFonts w:hint="eastAsia" w:ascii="宋体"/>
          <w:color w:val="auto"/>
          <w:kern w:val="10"/>
          <w:szCs w:val="21"/>
          <w:highlight w:val="none"/>
        </w:rPr>
        <w:t>31.1重新</w:t>
      </w:r>
      <w:r>
        <w:rPr>
          <w:rFonts w:hint="eastAsia" w:ascii="宋体"/>
          <w:color w:val="auto"/>
          <w:kern w:val="10"/>
          <w:szCs w:val="21"/>
          <w:highlight w:val="none"/>
          <w:lang w:val="en-US" w:eastAsia="zh-CN"/>
        </w:rPr>
        <w:t>开标</w:t>
      </w:r>
    </w:p>
    <w:p>
      <w:pPr>
        <w:adjustRightInd w:val="0"/>
        <w:snapToGrid w:val="0"/>
        <w:spacing w:line="460" w:lineRule="exact"/>
        <w:ind w:firstLine="420" w:firstLineChars="200"/>
        <w:rPr>
          <w:rFonts w:hint="eastAsia" w:ascii="宋体"/>
          <w:color w:val="auto"/>
          <w:kern w:val="10"/>
          <w:szCs w:val="21"/>
          <w:highlight w:val="none"/>
        </w:rPr>
      </w:pPr>
      <w:r>
        <w:rPr>
          <w:rFonts w:hint="eastAsia" w:ascii="宋体"/>
          <w:color w:val="auto"/>
          <w:kern w:val="10"/>
          <w:szCs w:val="21"/>
          <w:highlight w:val="none"/>
        </w:rPr>
        <w:t>有下列情形之一的，</w:t>
      </w:r>
      <w:r>
        <w:rPr>
          <w:rFonts w:hint="eastAsia" w:ascii="宋体" w:hAnsi="宋体" w:cs="宋体"/>
          <w:color w:val="auto"/>
          <w:kern w:val="10"/>
          <w:szCs w:val="21"/>
          <w:highlight w:val="none"/>
        </w:rPr>
        <w:t>采购人将重新</w:t>
      </w:r>
      <w:r>
        <w:rPr>
          <w:rFonts w:hint="eastAsia" w:ascii="宋体" w:hAnsi="宋体" w:cs="宋体"/>
          <w:color w:val="auto"/>
          <w:kern w:val="10"/>
          <w:szCs w:val="21"/>
          <w:highlight w:val="none"/>
          <w:lang w:val="en-US" w:eastAsia="zh-CN"/>
        </w:rPr>
        <w:t>招标</w:t>
      </w:r>
      <w:r>
        <w:rPr>
          <w:rFonts w:hint="eastAsia" w:ascii="宋体" w:hAnsi="宋体" w:cs="宋体"/>
          <w:color w:val="auto"/>
          <w:kern w:val="10"/>
          <w:szCs w:val="21"/>
          <w:highlight w:val="none"/>
        </w:rPr>
        <w:t>：</w:t>
      </w:r>
    </w:p>
    <w:p>
      <w:pPr>
        <w:adjustRightInd w:val="0"/>
        <w:snapToGrid w:val="0"/>
        <w:spacing w:line="46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1</w:t>
      </w:r>
      <w:r>
        <w:rPr>
          <w:rFonts w:hint="eastAsia" w:ascii="宋体"/>
          <w:color w:val="auto"/>
          <w:kern w:val="10"/>
          <w:szCs w:val="21"/>
          <w:highlight w:val="none"/>
          <w:lang w:eastAsia="zh-CN"/>
        </w:rPr>
        <w:t>）投标文件</w:t>
      </w:r>
      <w:r>
        <w:rPr>
          <w:rFonts w:hint="eastAsia" w:ascii="宋体"/>
          <w:color w:val="auto"/>
          <w:kern w:val="10"/>
          <w:szCs w:val="21"/>
          <w:highlight w:val="none"/>
        </w:rPr>
        <w:t xml:space="preserve">递交截止时间止，供应商少于三个的； </w:t>
      </w:r>
    </w:p>
    <w:p>
      <w:pPr>
        <w:adjustRightInd w:val="0"/>
        <w:snapToGrid w:val="0"/>
        <w:spacing w:line="46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2</w:t>
      </w:r>
      <w:r>
        <w:rPr>
          <w:rFonts w:hint="eastAsia" w:ascii="宋体"/>
          <w:color w:val="auto"/>
          <w:kern w:val="10"/>
          <w:szCs w:val="21"/>
          <w:highlight w:val="none"/>
          <w:lang w:eastAsia="zh-CN"/>
        </w:rPr>
        <w:t>）</w:t>
      </w:r>
      <w:r>
        <w:rPr>
          <w:rFonts w:ascii="Helvetica" w:hAnsi="Helvetica" w:eastAsia="Helvetica" w:cs="Helvetica"/>
          <w:color w:val="auto"/>
          <w:szCs w:val="21"/>
          <w:highlight w:val="none"/>
          <w:shd w:val="clear" w:color="auto" w:fill="FFFFFF"/>
        </w:rPr>
        <w:t>符合专业条件的供应商或者对</w:t>
      </w:r>
      <w:r>
        <w:rPr>
          <w:rFonts w:hint="eastAsia" w:ascii="Helvetica" w:hAnsi="Helvetica" w:eastAsia="宋体" w:cs="Helvetica"/>
          <w:color w:val="auto"/>
          <w:szCs w:val="21"/>
          <w:highlight w:val="none"/>
          <w:shd w:val="clear" w:color="auto" w:fill="FFFFFF"/>
          <w:lang w:eastAsia="zh-CN"/>
        </w:rPr>
        <w:t>招标文件</w:t>
      </w:r>
      <w:r>
        <w:rPr>
          <w:rFonts w:ascii="Helvetica" w:hAnsi="Helvetica" w:eastAsia="Helvetica" w:cs="Helvetica"/>
          <w:color w:val="auto"/>
          <w:szCs w:val="21"/>
          <w:highlight w:val="none"/>
          <w:shd w:val="clear" w:color="auto" w:fill="FFFFFF"/>
        </w:rPr>
        <w:t>作实质响应的供应商不足三家的</w:t>
      </w:r>
      <w:r>
        <w:rPr>
          <w:rFonts w:hint="eastAsia" w:ascii="宋体"/>
          <w:color w:val="auto"/>
          <w:kern w:val="10"/>
          <w:szCs w:val="21"/>
          <w:highlight w:val="none"/>
        </w:rPr>
        <w:t>；</w:t>
      </w:r>
    </w:p>
    <w:p>
      <w:pPr>
        <w:adjustRightInd w:val="0"/>
        <w:snapToGrid w:val="0"/>
        <w:spacing w:line="46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3</w:t>
      </w:r>
      <w:r>
        <w:rPr>
          <w:rFonts w:hint="eastAsia" w:ascii="宋体"/>
          <w:color w:val="auto"/>
          <w:kern w:val="10"/>
          <w:szCs w:val="21"/>
          <w:highlight w:val="none"/>
          <w:lang w:eastAsia="zh-CN"/>
        </w:rPr>
        <w:t>）</w:t>
      </w:r>
      <w:r>
        <w:rPr>
          <w:rFonts w:hint="eastAsia" w:ascii="宋体"/>
          <w:color w:val="auto"/>
          <w:kern w:val="10"/>
          <w:szCs w:val="21"/>
          <w:highlight w:val="none"/>
        </w:rPr>
        <w:t>出现影响采购公正的违法、违规行为的；</w:t>
      </w:r>
    </w:p>
    <w:p>
      <w:pPr>
        <w:adjustRightInd w:val="0"/>
        <w:snapToGrid w:val="0"/>
        <w:spacing w:line="460" w:lineRule="exact"/>
        <w:ind w:firstLine="420" w:firstLineChars="200"/>
        <w:rPr>
          <w:rFonts w:hint="eastAsia"/>
          <w:color w:val="auto"/>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4</w:t>
      </w:r>
      <w:r>
        <w:rPr>
          <w:rFonts w:hint="eastAsia" w:ascii="宋体"/>
          <w:color w:val="auto"/>
          <w:kern w:val="10"/>
          <w:szCs w:val="21"/>
          <w:highlight w:val="none"/>
          <w:lang w:eastAsia="zh-CN"/>
        </w:rPr>
        <w:t>）</w:t>
      </w:r>
      <w:r>
        <w:rPr>
          <w:rFonts w:hint="eastAsia" w:ascii="宋体"/>
          <w:color w:val="auto"/>
          <w:kern w:val="10"/>
          <w:szCs w:val="21"/>
          <w:highlight w:val="none"/>
        </w:rPr>
        <w:t>供应商的报价均脱离实际且无充分证据的；</w:t>
      </w:r>
    </w:p>
    <w:p>
      <w:pPr>
        <w:adjustRightInd w:val="0"/>
        <w:snapToGrid w:val="0"/>
        <w:spacing w:line="46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5</w:t>
      </w:r>
      <w:r>
        <w:rPr>
          <w:rFonts w:hint="eastAsia" w:ascii="宋体"/>
          <w:color w:val="auto"/>
          <w:kern w:val="10"/>
          <w:szCs w:val="21"/>
          <w:highlight w:val="none"/>
          <w:lang w:eastAsia="zh-CN"/>
        </w:rPr>
        <w:t>）</w:t>
      </w:r>
      <w:r>
        <w:rPr>
          <w:rFonts w:hint="eastAsia" w:ascii="宋体"/>
          <w:color w:val="auto"/>
          <w:kern w:val="10"/>
          <w:szCs w:val="21"/>
          <w:highlight w:val="none"/>
        </w:rPr>
        <w:t>因重大变故，采购任务取消的</w:t>
      </w:r>
      <w:r>
        <w:rPr>
          <w:rFonts w:hint="eastAsia" w:hAnsi="宋体"/>
          <w:bCs/>
          <w:color w:val="auto"/>
          <w:szCs w:val="21"/>
          <w:highlight w:val="none"/>
        </w:rPr>
        <w:t>。</w:t>
      </w:r>
    </w:p>
    <w:p>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bCs/>
          <w:color w:val="auto"/>
          <w:szCs w:val="21"/>
          <w:highlight w:val="none"/>
        </w:rPr>
      </w:pPr>
      <w:r>
        <w:rPr>
          <w:rFonts w:hint="eastAsia" w:ascii="宋体" w:hAnsi="宋体" w:cs="宋体"/>
          <w:bCs/>
          <w:color w:val="auto"/>
          <w:szCs w:val="21"/>
          <w:highlight w:val="none"/>
        </w:rPr>
        <w:t>31.2变更采购方式</w:t>
      </w:r>
    </w:p>
    <w:p>
      <w:pPr>
        <w:spacing w:line="440" w:lineRule="exact"/>
        <w:ind w:firstLine="420" w:firstLineChars="200"/>
        <w:jc w:val="left"/>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32.2.1投标截止时间结束后提交投标文件的投标人少于3家或者符合专业条件的投标人或对招标文件作出实质性响应的投标人不足3家的，招标人可采取竞争性磋商方式进行项目发包。</w:t>
      </w:r>
    </w:p>
    <w:p>
      <w:pPr>
        <w:spacing w:line="440" w:lineRule="exact"/>
        <w:ind w:firstLine="420" w:firstLineChars="200"/>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lang w:val="en-US" w:eastAsia="zh-CN"/>
        </w:rPr>
        <w:t>32.2.2参加竞争性磋商的投标人必须符合下列条件：①、投标资格符合招标文件要求；②、对招标文件作出实质性响应。</w:t>
      </w:r>
    </w:p>
    <w:bookmarkEnd w:id="143"/>
    <w:p>
      <w:pPr>
        <w:spacing w:before="156" w:beforeLines="50" w:after="156" w:afterLines="50" w:line="440" w:lineRule="exact"/>
        <w:jc w:val="center"/>
        <w:outlineLvl w:val="1"/>
        <w:rPr>
          <w:rFonts w:hint="eastAsia" w:ascii="宋体" w:hAnsi="宋体" w:cs="宋体"/>
          <w:b/>
          <w:color w:val="auto"/>
          <w:sz w:val="24"/>
          <w:szCs w:val="24"/>
          <w:highlight w:val="none"/>
        </w:rPr>
      </w:pPr>
      <w:bookmarkStart w:id="144" w:name="_Toc26122"/>
      <w:bookmarkStart w:id="145" w:name="_Toc14776"/>
      <w:bookmarkStart w:id="146" w:name="_Toc19419"/>
      <w:bookmarkStart w:id="147" w:name="_Toc15011"/>
      <w:bookmarkStart w:id="148" w:name="_Toc16690"/>
      <w:bookmarkStart w:id="149" w:name="_Toc8926"/>
      <w:r>
        <w:rPr>
          <w:rFonts w:hint="eastAsia" w:ascii="宋体" w:hAnsi="宋体" w:cs="宋体"/>
          <w:b/>
          <w:color w:val="auto"/>
          <w:sz w:val="24"/>
          <w:szCs w:val="24"/>
          <w:highlight w:val="none"/>
        </w:rPr>
        <w:t>（六）合同的授予</w:t>
      </w:r>
      <w:bookmarkEnd w:id="144"/>
      <w:bookmarkEnd w:id="145"/>
      <w:bookmarkEnd w:id="146"/>
      <w:bookmarkEnd w:id="147"/>
      <w:bookmarkEnd w:id="148"/>
      <w:bookmarkEnd w:id="149"/>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32.合同授予标准</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32.1本采购项目的合同将授予按本供应商须知第30条规定所确定的</w:t>
      </w:r>
      <w:r>
        <w:rPr>
          <w:rFonts w:hint="eastAsia" w:ascii="宋体" w:hAnsi="宋体" w:cs="宋体"/>
          <w:bCs/>
          <w:color w:val="auto"/>
          <w:szCs w:val="21"/>
          <w:highlight w:val="none"/>
          <w:lang w:eastAsia="zh-CN"/>
        </w:rPr>
        <w:t>中标人</w:t>
      </w:r>
      <w:r>
        <w:rPr>
          <w:rFonts w:hint="eastAsia" w:ascii="宋体" w:hAnsi="宋体" w:cs="宋体"/>
          <w:bCs/>
          <w:color w:val="auto"/>
          <w:szCs w:val="21"/>
          <w:highlight w:val="none"/>
        </w:rPr>
        <w:t>。</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33.合同协议书的签订</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33.1采购人与成交供应商将于</w:t>
      </w:r>
      <w:r>
        <w:rPr>
          <w:rFonts w:hint="eastAsia" w:ascii="宋体" w:hAnsi="宋体" w:cs="宋体"/>
          <w:bCs/>
          <w:color w:val="auto"/>
          <w:szCs w:val="21"/>
          <w:highlight w:val="none"/>
          <w:lang w:eastAsia="zh-CN"/>
        </w:rPr>
        <w:t>中标通知书</w:t>
      </w:r>
      <w:r>
        <w:rPr>
          <w:rFonts w:hint="eastAsia" w:ascii="宋体" w:hAnsi="宋体" w:cs="宋体"/>
          <w:bCs/>
          <w:color w:val="auto"/>
          <w:szCs w:val="21"/>
          <w:highlight w:val="none"/>
        </w:rPr>
        <w:t>发出之日起7个工作日内，按照</w:t>
      </w:r>
      <w:r>
        <w:rPr>
          <w:rFonts w:hint="eastAsia" w:ascii="宋体" w:hAnsi="宋体" w:cs="宋体"/>
          <w:bCs/>
          <w:color w:val="auto"/>
          <w:szCs w:val="21"/>
          <w:highlight w:val="none"/>
          <w:lang w:eastAsia="zh-CN"/>
        </w:rPr>
        <w:t>招标文件</w:t>
      </w:r>
      <w:r>
        <w:rPr>
          <w:rFonts w:hint="eastAsia" w:ascii="宋体" w:hAnsi="宋体" w:cs="宋体"/>
          <w:bCs/>
          <w:color w:val="auto"/>
          <w:szCs w:val="21"/>
          <w:highlight w:val="none"/>
        </w:rPr>
        <w:t>和成交供应商的</w:t>
      </w:r>
      <w:r>
        <w:rPr>
          <w:rFonts w:hint="eastAsia" w:ascii="宋体" w:hAnsi="宋体" w:cs="宋体"/>
          <w:bCs/>
          <w:color w:val="auto"/>
          <w:szCs w:val="21"/>
          <w:highlight w:val="none"/>
          <w:lang w:eastAsia="zh-CN"/>
        </w:rPr>
        <w:t>投标文件</w:t>
      </w:r>
      <w:r>
        <w:rPr>
          <w:rFonts w:hint="eastAsia" w:ascii="宋体" w:hAnsi="宋体" w:cs="宋体"/>
          <w:bCs/>
          <w:color w:val="auto"/>
          <w:szCs w:val="21"/>
          <w:highlight w:val="none"/>
        </w:rPr>
        <w:t>订立书面采购合同。采购人和成交供应商不得再行订立背离合同实质性内容的其他协议。</w:t>
      </w:r>
    </w:p>
    <w:p>
      <w:pPr>
        <w:spacing w:line="440" w:lineRule="exact"/>
        <w:ind w:firstLine="525" w:firstLineChars="250"/>
        <w:jc w:val="left"/>
        <w:rPr>
          <w:rFonts w:hint="eastAsia" w:ascii="宋体"/>
          <w:color w:val="auto"/>
          <w:szCs w:val="21"/>
          <w:highlight w:val="none"/>
        </w:rPr>
      </w:pPr>
      <w:r>
        <w:rPr>
          <w:rFonts w:hint="eastAsia" w:ascii="宋体" w:hAnsi="宋体" w:cs="宋体"/>
          <w:bCs/>
          <w:color w:val="auto"/>
          <w:szCs w:val="21"/>
          <w:highlight w:val="none"/>
        </w:rPr>
        <w:t>33.2采购人如不按供应商须知第</w:t>
      </w:r>
      <w:r>
        <w:rPr>
          <w:rFonts w:hint="eastAsia" w:ascii="宋体" w:hAnsi="宋体" w:cs="宋体"/>
          <w:bCs/>
          <w:color w:val="auto"/>
          <w:szCs w:val="21"/>
          <w:highlight w:val="none"/>
          <w:lang w:val="en-US" w:eastAsia="zh-CN"/>
        </w:rPr>
        <w:t>33</w:t>
      </w:r>
      <w:r>
        <w:rPr>
          <w:rFonts w:hint="eastAsia" w:ascii="宋体" w:hAnsi="宋体" w:cs="宋体"/>
          <w:bCs/>
          <w:color w:val="auto"/>
          <w:szCs w:val="21"/>
          <w:highlight w:val="none"/>
        </w:rPr>
        <w:t>条的规定与成交供应商订立合同，或者采购人要求成交供应商订立背离合同实质性内容的协议，</w:t>
      </w:r>
      <w:r>
        <w:rPr>
          <w:rFonts w:ascii="Helvetica" w:hAnsi="Helvetica" w:eastAsia="Helvetica" w:cs="Helvetica"/>
          <w:color w:val="auto"/>
          <w:szCs w:val="21"/>
          <w:highlight w:val="none"/>
          <w:shd w:val="clear" w:color="auto" w:fill="FFFFFF"/>
        </w:rPr>
        <w:t>给他人造成损失的，依法承担民事责任</w:t>
      </w:r>
      <w:r>
        <w:rPr>
          <w:rFonts w:hint="eastAsia" w:ascii="宋体"/>
          <w:color w:val="auto"/>
          <w:szCs w:val="21"/>
          <w:highlight w:val="none"/>
        </w:rPr>
        <w:t>，同时依法承担相应法律责任。</w:t>
      </w:r>
    </w:p>
    <w:p>
      <w:pPr>
        <w:spacing w:line="440" w:lineRule="exact"/>
        <w:ind w:firstLine="525" w:firstLineChars="250"/>
        <w:jc w:val="left"/>
        <w:rPr>
          <w:rFonts w:hint="eastAsia" w:ascii="宋体"/>
          <w:color w:val="auto"/>
          <w:szCs w:val="21"/>
          <w:highlight w:val="none"/>
        </w:rPr>
      </w:pPr>
      <w:r>
        <w:rPr>
          <w:rFonts w:hint="eastAsia" w:ascii="宋体" w:hAnsi="宋体" w:cs="宋体"/>
          <w:bCs/>
          <w:color w:val="auto"/>
          <w:szCs w:val="21"/>
          <w:highlight w:val="none"/>
        </w:rPr>
        <w:t>33.3成交供应商如不按供应商须知第</w:t>
      </w:r>
      <w:r>
        <w:rPr>
          <w:rFonts w:hint="eastAsia" w:ascii="宋体" w:hAnsi="宋体" w:cs="宋体"/>
          <w:bCs/>
          <w:color w:val="auto"/>
          <w:szCs w:val="21"/>
          <w:highlight w:val="none"/>
          <w:lang w:val="en-US" w:eastAsia="zh-CN"/>
        </w:rPr>
        <w:t>33</w:t>
      </w:r>
      <w:r>
        <w:rPr>
          <w:rFonts w:hint="eastAsia" w:ascii="宋体" w:hAnsi="宋体" w:cs="宋体"/>
          <w:bCs/>
          <w:color w:val="auto"/>
          <w:szCs w:val="21"/>
          <w:highlight w:val="none"/>
        </w:rPr>
        <w:t>条的规定与采购人订立合同，</w:t>
      </w:r>
      <w:r>
        <w:rPr>
          <w:rFonts w:hint="eastAsia" w:ascii="宋体"/>
          <w:color w:val="auto"/>
          <w:szCs w:val="21"/>
          <w:highlight w:val="none"/>
        </w:rPr>
        <w:t>则采购人将废除授标，</w:t>
      </w:r>
      <w:r>
        <w:rPr>
          <w:rFonts w:ascii="Helvetica" w:hAnsi="Helvetica" w:eastAsia="Helvetica" w:cs="Helvetica"/>
          <w:color w:val="auto"/>
          <w:szCs w:val="21"/>
          <w:highlight w:val="none"/>
          <w:shd w:val="clear" w:color="auto" w:fill="FFFFFF"/>
        </w:rPr>
        <w:t>给</w:t>
      </w:r>
      <w:r>
        <w:rPr>
          <w:rFonts w:hint="eastAsia" w:ascii="Helvetica" w:hAnsi="Helvetica" w:cs="Helvetica"/>
          <w:color w:val="auto"/>
          <w:szCs w:val="21"/>
          <w:highlight w:val="none"/>
          <w:shd w:val="clear" w:color="auto" w:fill="FFFFFF"/>
        </w:rPr>
        <w:t>采购人</w:t>
      </w:r>
      <w:r>
        <w:rPr>
          <w:rFonts w:ascii="Helvetica" w:hAnsi="Helvetica" w:eastAsia="Helvetica" w:cs="Helvetica"/>
          <w:color w:val="auto"/>
          <w:szCs w:val="21"/>
          <w:highlight w:val="none"/>
          <w:shd w:val="clear" w:color="auto" w:fill="FFFFFF"/>
        </w:rPr>
        <w:t>造成损失的，依法承担民事责任</w:t>
      </w:r>
      <w:r>
        <w:rPr>
          <w:rFonts w:hint="eastAsia" w:ascii="宋体"/>
          <w:color w:val="auto"/>
          <w:szCs w:val="21"/>
          <w:highlight w:val="none"/>
        </w:rPr>
        <w:t>，同时依法承担相应法律责任。</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33.4成交供应商应当按照合同约定履行义务，完成成交项目，不得将成交项目转让（转包）给他人。</w:t>
      </w:r>
    </w:p>
    <w:p>
      <w:pPr>
        <w:spacing w:line="440" w:lineRule="exact"/>
        <w:ind w:firstLine="420" w:firstLineChars="200"/>
        <w:rPr>
          <w:rFonts w:hint="eastAsia" w:ascii="宋体" w:hAnsi="宋体"/>
          <w:b/>
          <w:color w:val="auto"/>
          <w:szCs w:val="21"/>
          <w:highlight w:val="none"/>
        </w:rPr>
      </w:pPr>
      <w:bookmarkStart w:id="150" w:name="_Toc217446068"/>
      <w:r>
        <w:rPr>
          <w:rFonts w:hint="eastAsia" w:ascii="宋体" w:hAnsi="宋体" w:cs="宋体"/>
          <w:bCs/>
          <w:color w:val="auto"/>
          <w:szCs w:val="21"/>
          <w:highlight w:val="none"/>
        </w:rPr>
        <w:t>34.</w:t>
      </w:r>
      <w:bookmarkEnd w:id="150"/>
      <w:r>
        <w:rPr>
          <w:rFonts w:hint="eastAsia" w:ascii="宋体" w:hAnsi="宋体"/>
          <w:b/>
          <w:color w:val="auto"/>
          <w:szCs w:val="21"/>
          <w:highlight w:val="none"/>
        </w:rPr>
        <w:t>履约保证金</w:t>
      </w:r>
      <w:r>
        <w:rPr>
          <w:rFonts w:hint="eastAsia"/>
          <w:b/>
          <w:color w:val="auto"/>
          <w:szCs w:val="21"/>
          <w:highlight w:val="none"/>
        </w:rPr>
        <w:t>（本项目不采用）</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34.1在签订合同前，</w:t>
      </w:r>
      <w:r>
        <w:rPr>
          <w:rFonts w:hint="eastAsia" w:ascii="宋体"/>
          <w:color w:val="auto"/>
          <w:szCs w:val="21"/>
          <w:highlight w:val="none"/>
          <w:lang w:eastAsia="zh-CN"/>
        </w:rPr>
        <w:t>中标人</w:t>
      </w:r>
      <w:r>
        <w:rPr>
          <w:rFonts w:hint="eastAsia" w:ascii="宋体"/>
          <w:color w:val="auto"/>
          <w:szCs w:val="21"/>
          <w:highlight w:val="none"/>
        </w:rPr>
        <w:t>应按供应商须知前附表规定的担保形式、金额和</w:t>
      </w:r>
      <w:r>
        <w:rPr>
          <w:rFonts w:hint="eastAsia" w:ascii="宋体"/>
          <w:color w:val="auto"/>
          <w:szCs w:val="21"/>
          <w:highlight w:val="none"/>
          <w:lang w:eastAsia="zh-CN"/>
        </w:rPr>
        <w:t>招标文件</w:t>
      </w:r>
      <w:r>
        <w:rPr>
          <w:rFonts w:hint="eastAsia" w:ascii="宋体"/>
          <w:color w:val="auto"/>
          <w:szCs w:val="21"/>
          <w:highlight w:val="none"/>
        </w:rPr>
        <w:t>第五章“合同条款及格式”规定的或者事先经过采购人书面认可的履约担保格式向采购人提交履约担保。</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 xml:space="preserve">34.2 </w:t>
      </w:r>
      <w:r>
        <w:rPr>
          <w:rFonts w:hint="eastAsia" w:ascii="宋体"/>
          <w:color w:val="auto"/>
          <w:szCs w:val="21"/>
          <w:highlight w:val="none"/>
          <w:lang w:eastAsia="zh-CN"/>
        </w:rPr>
        <w:t>中标人</w:t>
      </w:r>
      <w:r>
        <w:rPr>
          <w:rFonts w:hint="eastAsia" w:ascii="宋体"/>
          <w:color w:val="auto"/>
          <w:szCs w:val="21"/>
          <w:highlight w:val="none"/>
        </w:rPr>
        <w:t>不能按本章第34.1款要求提交履约担保的，视为放弃成交，</w:t>
      </w:r>
      <w:r>
        <w:rPr>
          <w:rFonts w:ascii="Helvetica" w:hAnsi="Helvetica" w:eastAsia="Helvetica" w:cs="Helvetica"/>
          <w:color w:val="auto"/>
          <w:szCs w:val="21"/>
          <w:highlight w:val="none"/>
          <w:shd w:val="clear" w:color="auto" w:fill="FFFFFF"/>
        </w:rPr>
        <w:t>给</w:t>
      </w:r>
      <w:r>
        <w:rPr>
          <w:rFonts w:hint="eastAsia" w:ascii="Helvetica" w:hAnsi="Helvetica" w:cs="Helvetica"/>
          <w:color w:val="auto"/>
          <w:szCs w:val="21"/>
          <w:highlight w:val="none"/>
          <w:shd w:val="clear" w:color="auto" w:fill="FFFFFF"/>
        </w:rPr>
        <w:t>采购人</w:t>
      </w:r>
      <w:r>
        <w:rPr>
          <w:rFonts w:ascii="Helvetica" w:hAnsi="Helvetica" w:eastAsia="Helvetica" w:cs="Helvetica"/>
          <w:color w:val="auto"/>
          <w:szCs w:val="21"/>
          <w:highlight w:val="none"/>
          <w:shd w:val="clear" w:color="auto" w:fill="FFFFFF"/>
        </w:rPr>
        <w:t>造成损失的，依法承担民事责任</w:t>
      </w:r>
      <w:r>
        <w:rPr>
          <w:rFonts w:hint="eastAsia" w:ascii="宋体"/>
          <w:color w:val="auto"/>
          <w:szCs w:val="21"/>
          <w:highlight w:val="none"/>
        </w:rPr>
        <w:t>。</w:t>
      </w:r>
    </w:p>
    <w:p>
      <w:pPr>
        <w:spacing w:before="156" w:beforeLines="50" w:after="156" w:afterLines="50" w:line="440" w:lineRule="exact"/>
        <w:jc w:val="center"/>
        <w:outlineLvl w:val="1"/>
        <w:rPr>
          <w:rFonts w:hint="eastAsia" w:ascii="宋体" w:hAnsi="宋体" w:cs="宋体"/>
          <w:b/>
          <w:color w:val="auto"/>
          <w:sz w:val="24"/>
          <w:szCs w:val="24"/>
          <w:highlight w:val="none"/>
        </w:rPr>
      </w:pPr>
      <w:bookmarkStart w:id="151" w:name="_Toc6993"/>
      <w:bookmarkStart w:id="152" w:name="_Toc2737"/>
      <w:bookmarkStart w:id="153" w:name="_Toc3715"/>
      <w:bookmarkStart w:id="154" w:name="_Toc5108"/>
      <w:bookmarkStart w:id="155" w:name="_Toc11441"/>
      <w:bookmarkStart w:id="156" w:name="_Toc30139"/>
      <w:r>
        <w:rPr>
          <w:rFonts w:hint="eastAsia" w:ascii="宋体" w:hAnsi="宋体" w:cs="宋体"/>
          <w:b/>
          <w:color w:val="auto"/>
          <w:sz w:val="24"/>
          <w:szCs w:val="24"/>
          <w:highlight w:val="none"/>
        </w:rPr>
        <w:t>（七）纪律和监督</w:t>
      </w:r>
      <w:bookmarkEnd w:id="151"/>
      <w:bookmarkEnd w:id="152"/>
      <w:bookmarkEnd w:id="153"/>
      <w:bookmarkEnd w:id="154"/>
      <w:bookmarkEnd w:id="155"/>
      <w:bookmarkEnd w:id="156"/>
    </w:p>
    <w:p>
      <w:pPr>
        <w:spacing w:line="440" w:lineRule="exact"/>
        <w:ind w:firstLine="420" w:firstLineChars="200"/>
        <w:jc w:val="left"/>
        <w:rPr>
          <w:rFonts w:hint="eastAsia" w:ascii="宋体" w:hAnsi="宋体" w:cs="宋体"/>
          <w:bCs/>
          <w:color w:val="auto"/>
          <w:szCs w:val="21"/>
          <w:highlight w:val="none"/>
        </w:rPr>
      </w:pPr>
      <w:bookmarkStart w:id="157" w:name="_Toc27252"/>
      <w:bookmarkStart w:id="158" w:name="_Toc25263"/>
      <w:r>
        <w:rPr>
          <w:rFonts w:hint="eastAsia" w:ascii="宋体" w:hAnsi="宋体" w:cs="宋体"/>
          <w:bCs/>
          <w:color w:val="auto"/>
          <w:szCs w:val="21"/>
          <w:highlight w:val="none"/>
        </w:rPr>
        <w:t>35. 对采购人的纪律要求</w:t>
      </w:r>
      <w:bookmarkEnd w:id="157"/>
      <w:bookmarkEnd w:id="158"/>
      <w:r>
        <w:rPr>
          <w:rFonts w:hint="eastAsia" w:ascii="宋体" w:hAnsi="宋体" w:cs="宋体"/>
          <w:bCs/>
          <w:color w:val="auto"/>
          <w:szCs w:val="21"/>
          <w:highlight w:val="none"/>
        </w:rPr>
        <w:t xml:space="preserve"> </w:t>
      </w:r>
    </w:p>
    <w:p>
      <w:pPr>
        <w:adjustRightInd w:val="0"/>
        <w:snapToGrid w:val="0"/>
        <w:spacing w:line="440" w:lineRule="exact"/>
        <w:ind w:firstLine="420" w:firstLineChars="200"/>
        <w:jc w:val="left"/>
        <w:rPr>
          <w:rFonts w:hint="eastAsia" w:ascii="宋体" w:hAnsi="宋体" w:cs="宋体"/>
          <w:bCs/>
          <w:color w:val="auto"/>
          <w:kern w:val="10"/>
          <w:szCs w:val="21"/>
          <w:highlight w:val="none"/>
        </w:rPr>
      </w:pPr>
      <w:r>
        <w:rPr>
          <w:rFonts w:hint="eastAsia" w:ascii="宋体" w:hAnsi="宋体" w:cs="宋体"/>
          <w:bCs/>
          <w:color w:val="auto"/>
          <w:kern w:val="10"/>
          <w:szCs w:val="21"/>
          <w:highlight w:val="none"/>
        </w:rPr>
        <w:t>35.1采购人不得</w:t>
      </w:r>
      <w:r>
        <w:rPr>
          <w:rFonts w:hint="eastAsia" w:ascii="宋体" w:hAnsi="宋体" w:cs="宋体"/>
          <w:bCs/>
          <w:color w:val="auto"/>
          <w:kern w:val="10"/>
          <w:szCs w:val="21"/>
          <w:highlight w:val="none"/>
          <w:lang w:eastAsia="zh-CN"/>
        </w:rPr>
        <w:t>泄露</w:t>
      </w:r>
      <w:r>
        <w:rPr>
          <w:rFonts w:hint="eastAsia" w:ascii="宋体" w:hAnsi="宋体" w:cs="宋体"/>
          <w:bCs/>
          <w:color w:val="auto"/>
          <w:kern w:val="10"/>
          <w:szCs w:val="21"/>
          <w:highlight w:val="none"/>
          <w:lang w:val="en-US" w:eastAsia="zh-CN"/>
        </w:rPr>
        <w:t>开标</w:t>
      </w:r>
      <w:r>
        <w:rPr>
          <w:rFonts w:hint="eastAsia" w:ascii="宋体" w:hAnsi="宋体" w:cs="宋体"/>
          <w:bCs/>
          <w:color w:val="auto"/>
          <w:kern w:val="10"/>
          <w:szCs w:val="21"/>
          <w:highlight w:val="none"/>
        </w:rPr>
        <w:t xml:space="preserve">活动中应当保密的情况和资料，不得与供应商串通损害国家利益，社会公共利益或者他人合法权益。 </w:t>
      </w:r>
    </w:p>
    <w:p>
      <w:pPr>
        <w:spacing w:line="440" w:lineRule="exact"/>
        <w:ind w:firstLine="420" w:firstLineChars="200"/>
        <w:jc w:val="left"/>
        <w:rPr>
          <w:rFonts w:hint="eastAsia" w:ascii="宋体" w:hAnsi="宋体" w:cs="宋体"/>
          <w:bCs/>
          <w:color w:val="auto"/>
          <w:szCs w:val="21"/>
          <w:highlight w:val="none"/>
        </w:rPr>
      </w:pPr>
      <w:bookmarkStart w:id="159" w:name="_Toc14174"/>
      <w:bookmarkStart w:id="160" w:name="_Toc26459"/>
      <w:r>
        <w:rPr>
          <w:rFonts w:hint="eastAsia" w:ascii="宋体" w:hAnsi="宋体" w:cs="宋体"/>
          <w:bCs/>
          <w:color w:val="auto"/>
          <w:szCs w:val="21"/>
          <w:highlight w:val="none"/>
        </w:rPr>
        <w:t>36. 对供应商的纪律要求</w:t>
      </w:r>
      <w:bookmarkEnd w:id="159"/>
      <w:bookmarkEnd w:id="160"/>
      <w:r>
        <w:rPr>
          <w:rFonts w:hint="eastAsia" w:ascii="宋体" w:hAnsi="宋体" w:cs="宋体"/>
          <w:bCs/>
          <w:color w:val="auto"/>
          <w:szCs w:val="21"/>
          <w:highlight w:val="none"/>
        </w:rPr>
        <w:t xml:space="preserve"> </w:t>
      </w:r>
    </w:p>
    <w:p>
      <w:pPr>
        <w:adjustRightInd w:val="0"/>
        <w:snapToGrid w:val="0"/>
        <w:spacing w:line="440" w:lineRule="exact"/>
        <w:ind w:firstLine="420" w:firstLineChars="200"/>
        <w:jc w:val="left"/>
        <w:rPr>
          <w:rFonts w:hint="eastAsia" w:ascii="宋体" w:hAnsi="宋体" w:cs="宋体"/>
          <w:bCs/>
          <w:color w:val="auto"/>
          <w:kern w:val="10"/>
          <w:szCs w:val="21"/>
          <w:highlight w:val="none"/>
        </w:rPr>
      </w:pPr>
      <w:r>
        <w:rPr>
          <w:rFonts w:hint="eastAsia" w:ascii="宋体" w:hAnsi="宋体" w:cs="宋体"/>
          <w:bCs/>
          <w:color w:val="auto"/>
          <w:kern w:val="10"/>
          <w:szCs w:val="21"/>
          <w:highlight w:val="none"/>
        </w:rPr>
        <w:t>36.1供应商不得相互串通或者与采购人串通，不得向采购人或者</w:t>
      </w:r>
      <w:r>
        <w:rPr>
          <w:rFonts w:hint="eastAsia" w:ascii="宋体" w:hAnsi="宋体" w:cs="宋体"/>
          <w:bCs/>
          <w:color w:val="auto"/>
          <w:kern w:val="10"/>
          <w:szCs w:val="21"/>
          <w:highlight w:val="none"/>
          <w:lang w:eastAsia="zh-CN"/>
        </w:rPr>
        <w:t>评审小组</w:t>
      </w:r>
      <w:r>
        <w:rPr>
          <w:rFonts w:hint="eastAsia" w:ascii="宋体" w:hAnsi="宋体" w:cs="宋体"/>
          <w:bCs/>
          <w:color w:val="auto"/>
          <w:kern w:val="10"/>
          <w:szCs w:val="21"/>
          <w:highlight w:val="none"/>
        </w:rPr>
        <w:t>成员行贿谋取成交，不得以他人名义或者以其他方式弄虚作假骗取成交；供应商不得以任何方式干扰、影响评审工作。</w:t>
      </w:r>
    </w:p>
    <w:p>
      <w:pPr>
        <w:spacing w:line="440" w:lineRule="exact"/>
        <w:ind w:firstLine="420" w:firstLineChars="200"/>
        <w:jc w:val="left"/>
        <w:rPr>
          <w:rFonts w:hint="eastAsia" w:ascii="宋体" w:hAnsi="宋体" w:cs="宋体"/>
          <w:bCs/>
          <w:color w:val="auto"/>
          <w:szCs w:val="21"/>
          <w:highlight w:val="none"/>
        </w:rPr>
      </w:pPr>
      <w:bookmarkStart w:id="161" w:name="_Toc26945"/>
      <w:bookmarkStart w:id="162" w:name="_Toc5318"/>
      <w:r>
        <w:rPr>
          <w:rFonts w:hint="eastAsia" w:ascii="宋体" w:hAnsi="宋体" w:cs="宋体"/>
          <w:bCs/>
          <w:color w:val="auto"/>
          <w:szCs w:val="21"/>
          <w:highlight w:val="none"/>
        </w:rPr>
        <w:t>37. 对</w:t>
      </w:r>
      <w:r>
        <w:rPr>
          <w:rFonts w:hint="eastAsia" w:ascii="宋体" w:hAnsi="宋体" w:cs="宋体"/>
          <w:bCs/>
          <w:color w:val="auto"/>
          <w:szCs w:val="21"/>
          <w:highlight w:val="none"/>
          <w:lang w:eastAsia="zh-CN"/>
        </w:rPr>
        <w:t>评审小组</w:t>
      </w:r>
      <w:r>
        <w:rPr>
          <w:rFonts w:hint="eastAsia" w:ascii="宋体" w:hAnsi="宋体" w:cs="宋体"/>
          <w:bCs/>
          <w:color w:val="auto"/>
          <w:szCs w:val="21"/>
          <w:highlight w:val="none"/>
        </w:rPr>
        <w:t>成员的纪律要求</w:t>
      </w:r>
      <w:bookmarkEnd w:id="161"/>
      <w:bookmarkEnd w:id="162"/>
      <w:r>
        <w:rPr>
          <w:rFonts w:hint="eastAsia" w:ascii="宋体" w:hAnsi="宋体" w:cs="宋体"/>
          <w:bCs/>
          <w:color w:val="auto"/>
          <w:szCs w:val="21"/>
          <w:highlight w:val="none"/>
        </w:rPr>
        <w:t xml:space="preserve"> </w:t>
      </w:r>
    </w:p>
    <w:p>
      <w:pPr>
        <w:adjustRightInd w:val="0"/>
        <w:snapToGrid w:val="0"/>
        <w:spacing w:line="440" w:lineRule="exact"/>
        <w:ind w:firstLine="420" w:firstLineChars="200"/>
        <w:jc w:val="left"/>
        <w:rPr>
          <w:rFonts w:hint="eastAsia" w:ascii="宋体" w:hAnsi="宋体" w:cs="宋体"/>
          <w:bCs/>
          <w:color w:val="auto"/>
          <w:kern w:val="10"/>
          <w:szCs w:val="21"/>
          <w:highlight w:val="none"/>
        </w:rPr>
      </w:pPr>
      <w:r>
        <w:rPr>
          <w:rFonts w:hint="eastAsia" w:ascii="宋体" w:hAnsi="宋体" w:cs="宋体"/>
          <w:bCs/>
          <w:color w:val="auto"/>
          <w:kern w:val="10"/>
          <w:szCs w:val="21"/>
          <w:highlight w:val="none"/>
        </w:rPr>
        <w:t>37.1</w:t>
      </w:r>
      <w:r>
        <w:rPr>
          <w:rFonts w:hint="eastAsia" w:ascii="宋体" w:hAnsi="宋体" w:cs="宋体"/>
          <w:bCs/>
          <w:color w:val="auto"/>
          <w:szCs w:val="21"/>
          <w:highlight w:val="none"/>
          <w:lang w:eastAsia="zh-CN"/>
        </w:rPr>
        <w:t>评审小组</w:t>
      </w:r>
      <w:r>
        <w:rPr>
          <w:rFonts w:hint="eastAsia" w:ascii="宋体" w:hAnsi="宋体" w:cs="宋体"/>
          <w:bCs/>
          <w:color w:val="auto"/>
          <w:kern w:val="10"/>
          <w:szCs w:val="21"/>
          <w:highlight w:val="none"/>
        </w:rPr>
        <w:t>成员不得收受他人的财物或者其他好处，不得向他人</w:t>
      </w:r>
      <w:r>
        <w:rPr>
          <w:rFonts w:hint="eastAsia" w:ascii="宋体" w:hAnsi="宋体" w:cs="宋体"/>
          <w:bCs/>
          <w:color w:val="auto"/>
          <w:kern w:val="10"/>
          <w:szCs w:val="21"/>
          <w:highlight w:val="none"/>
          <w:lang w:eastAsia="zh-CN"/>
        </w:rPr>
        <w:t>透露</w:t>
      </w:r>
      <w:r>
        <w:rPr>
          <w:rFonts w:hint="eastAsia" w:ascii="宋体" w:hAnsi="宋体" w:cs="宋体"/>
          <w:bCs/>
          <w:color w:val="auto"/>
          <w:kern w:val="10"/>
          <w:szCs w:val="21"/>
          <w:highlight w:val="none"/>
        </w:rPr>
        <w:t>对</w:t>
      </w:r>
      <w:r>
        <w:rPr>
          <w:rFonts w:hint="eastAsia" w:ascii="宋体" w:hAnsi="宋体" w:cs="宋体"/>
          <w:bCs/>
          <w:color w:val="auto"/>
          <w:kern w:val="10"/>
          <w:szCs w:val="21"/>
          <w:highlight w:val="none"/>
          <w:lang w:eastAsia="zh-CN"/>
        </w:rPr>
        <w:t>投标文件</w:t>
      </w:r>
      <w:r>
        <w:rPr>
          <w:rFonts w:hint="eastAsia" w:ascii="宋体" w:hAnsi="宋体" w:cs="宋体"/>
          <w:bCs/>
          <w:color w:val="auto"/>
          <w:kern w:val="10"/>
          <w:szCs w:val="21"/>
          <w:highlight w:val="none"/>
        </w:rPr>
        <w:t>的评审和比较、</w:t>
      </w:r>
      <w:r>
        <w:rPr>
          <w:rFonts w:hint="eastAsia" w:ascii="宋体" w:hAnsi="宋体" w:cs="宋体"/>
          <w:bCs/>
          <w:color w:val="auto"/>
          <w:kern w:val="10"/>
          <w:szCs w:val="21"/>
          <w:highlight w:val="none"/>
          <w:lang w:eastAsia="zh-CN"/>
        </w:rPr>
        <w:t>中标候选人</w:t>
      </w:r>
      <w:r>
        <w:rPr>
          <w:rFonts w:hint="eastAsia" w:ascii="宋体" w:hAnsi="宋体" w:cs="宋体"/>
          <w:bCs/>
          <w:color w:val="auto"/>
          <w:kern w:val="10"/>
          <w:szCs w:val="21"/>
          <w:highlight w:val="none"/>
        </w:rPr>
        <w:t>的推荐情况以及评审有关的其他情况。</w:t>
      </w:r>
    </w:p>
    <w:p>
      <w:pPr>
        <w:adjustRightInd w:val="0"/>
        <w:snapToGrid w:val="0"/>
        <w:spacing w:line="440" w:lineRule="exact"/>
        <w:ind w:firstLine="420" w:firstLineChars="200"/>
        <w:jc w:val="left"/>
        <w:rPr>
          <w:rFonts w:hint="eastAsia" w:ascii="宋体" w:hAnsi="宋体" w:cs="宋体"/>
          <w:bCs/>
          <w:color w:val="auto"/>
          <w:kern w:val="10"/>
          <w:szCs w:val="21"/>
          <w:highlight w:val="none"/>
        </w:rPr>
      </w:pPr>
      <w:r>
        <w:rPr>
          <w:rFonts w:hint="eastAsia" w:ascii="宋体" w:hAnsi="宋体" w:cs="宋体"/>
          <w:bCs/>
          <w:color w:val="auto"/>
          <w:kern w:val="10"/>
          <w:szCs w:val="21"/>
          <w:highlight w:val="none"/>
        </w:rPr>
        <w:t>37.2在评审活动中，</w:t>
      </w:r>
      <w:r>
        <w:rPr>
          <w:rFonts w:hint="eastAsia" w:ascii="宋体" w:hAnsi="宋体" w:cs="宋体"/>
          <w:bCs/>
          <w:color w:val="auto"/>
          <w:szCs w:val="21"/>
          <w:highlight w:val="none"/>
          <w:lang w:eastAsia="zh-CN"/>
        </w:rPr>
        <w:t>评审小组</w:t>
      </w:r>
      <w:r>
        <w:rPr>
          <w:rFonts w:hint="eastAsia" w:ascii="宋体" w:hAnsi="宋体" w:cs="宋体"/>
          <w:bCs/>
          <w:color w:val="auto"/>
          <w:kern w:val="10"/>
          <w:szCs w:val="21"/>
          <w:highlight w:val="none"/>
        </w:rPr>
        <w:t xml:space="preserve">成员不得擅离职守，影响评审程序正常进行，不得使用第三章“评审办法”没有规定的评审因素和标准进行评审。 </w:t>
      </w:r>
    </w:p>
    <w:p>
      <w:pPr>
        <w:spacing w:line="440" w:lineRule="exact"/>
        <w:ind w:firstLine="420" w:firstLineChars="200"/>
        <w:jc w:val="left"/>
        <w:rPr>
          <w:rFonts w:hint="eastAsia" w:ascii="宋体" w:hAnsi="宋体" w:cs="宋体"/>
          <w:bCs/>
          <w:color w:val="auto"/>
          <w:szCs w:val="21"/>
          <w:highlight w:val="none"/>
        </w:rPr>
      </w:pPr>
      <w:bookmarkStart w:id="163" w:name="_Toc27618"/>
      <w:bookmarkStart w:id="164" w:name="_Toc21038"/>
      <w:r>
        <w:rPr>
          <w:rFonts w:hint="eastAsia" w:ascii="宋体" w:hAnsi="宋体" w:cs="宋体"/>
          <w:bCs/>
          <w:color w:val="auto"/>
          <w:szCs w:val="21"/>
          <w:highlight w:val="none"/>
        </w:rPr>
        <w:t>38. 对与评审活动有关的工作人员的纪律要求</w:t>
      </w:r>
      <w:bookmarkEnd w:id="163"/>
      <w:bookmarkEnd w:id="164"/>
      <w:r>
        <w:rPr>
          <w:rFonts w:hint="eastAsia" w:ascii="宋体" w:hAnsi="宋体" w:cs="宋体"/>
          <w:bCs/>
          <w:color w:val="auto"/>
          <w:szCs w:val="21"/>
          <w:highlight w:val="none"/>
        </w:rPr>
        <w:t xml:space="preserve"> </w:t>
      </w:r>
    </w:p>
    <w:p>
      <w:pPr>
        <w:adjustRightInd w:val="0"/>
        <w:snapToGrid w:val="0"/>
        <w:spacing w:line="440" w:lineRule="exact"/>
        <w:ind w:firstLine="420" w:firstLineChars="200"/>
        <w:jc w:val="left"/>
        <w:rPr>
          <w:rFonts w:hint="eastAsia" w:ascii="宋体" w:hAnsi="宋体" w:cs="宋体"/>
          <w:bCs/>
          <w:color w:val="auto"/>
          <w:kern w:val="10"/>
          <w:szCs w:val="21"/>
          <w:highlight w:val="none"/>
        </w:rPr>
      </w:pPr>
      <w:r>
        <w:rPr>
          <w:rFonts w:hint="eastAsia" w:ascii="宋体" w:hAnsi="宋体" w:cs="宋体"/>
          <w:bCs/>
          <w:color w:val="auto"/>
          <w:kern w:val="10"/>
          <w:szCs w:val="21"/>
          <w:highlight w:val="none"/>
        </w:rPr>
        <w:t>38.1与评审活动有关的工作人员不得收受他人的财物或者其他好处，不得向他人</w:t>
      </w:r>
      <w:r>
        <w:rPr>
          <w:rFonts w:hint="eastAsia" w:ascii="宋体" w:hAnsi="宋体" w:cs="宋体"/>
          <w:bCs/>
          <w:color w:val="auto"/>
          <w:kern w:val="10"/>
          <w:szCs w:val="21"/>
          <w:highlight w:val="none"/>
          <w:lang w:eastAsia="zh-CN"/>
        </w:rPr>
        <w:t>透露</w:t>
      </w:r>
      <w:r>
        <w:rPr>
          <w:rFonts w:hint="eastAsia" w:ascii="宋体" w:hAnsi="宋体" w:cs="宋体"/>
          <w:bCs/>
          <w:color w:val="auto"/>
          <w:kern w:val="10"/>
          <w:szCs w:val="21"/>
          <w:highlight w:val="none"/>
        </w:rPr>
        <w:t>对</w:t>
      </w:r>
      <w:r>
        <w:rPr>
          <w:rFonts w:hint="eastAsia" w:ascii="宋体" w:hAnsi="宋体" w:cs="宋体"/>
          <w:bCs/>
          <w:color w:val="auto"/>
          <w:kern w:val="10"/>
          <w:szCs w:val="21"/>
          <w:highlight w:val="none"/>
          <w:lang w:eastAsia="zh-CN"/>
        </w:rPr>
        <w:t>投标文件</w:t>
      </w:r>
      <w:r>
        <w:rPr>
          <w:rFonts w:hint="eastAsia" w:ascii="宋体" w:hAnsi="宋体" w:cs="宋体"/>
          <w:bCs/>
          <w:color w:val="auto"/>
          <w:kern w:val="10"/>
          <w:szCs w:val="21"/>
          <w:highlight w:val="none"/>
        </w:rPr>
        <w:t>的评审和比较、</w:t>
      </w:r>
      <w:r>
        <w:rPr>
          <w:rFonts w:hint="eastAsia" w:ascii="宋体" w:hAnsi="宋体" w:cs="宋体"/>
          <w:bCs/>
          <w:color w:val="auto"/>
          <w:kern w:val="10"/>
          <w:szCs w:val="21"/>
          <w:highlight w:val="none"/>
          <w:lang w:eastAsia="zh-CN"/>
        </w:rPr>
        <w:t>中标候选人</w:t>
      </w:r>
      <w:r>
        <w:rPr>
          <w:rFonts w:hint="eastAsia" w:ascii="宋体" w:hAnsi="宋体" w:cs="宋体"/>
          <w:bCs/>
          <w:color w:val="auto"/>
          <w:kern w:val="10"/>
          <w:szCs w:val="21"/>
          <w:highlight w:val="none"/>
        </w:rPr>
        <w:t>的推荐情况以及评审有关的其他情况。在评审活动中，与评审活动有关的工作人员不得擅离职守，影响评审程序正常进行。</w:t>
      </w:r>
    </w:p>
    <w:p>
      <w:pPr>
        <w:spacing w:before="156" w:beforeLines="50" w:after="156" w:afterLines="50" w:line="440" w:lineRule="exact"/>
        <w:jc w:val="center"/>
        <w:outlineLvl w:val="1"/>
        <w:rPr>
          <w:rFonts w:hint="eastAsia" w:ascii="宋体" w:hAnsi="宋体" w:cs="宋体"/>
          <w:b/>
          <w:color w:val="auto"/>
          <w:sz w:val="24"/>
          <w:szCs w:val="24"/>
          <w:highlight w:val="none"/>
        </w:rPr>
      </w:pPr>
      <w:bookmarkStart w:id="165" w:name="_Toc449028875"/>
      <w:bookmarkStart w:id="166" w:name="_Toc5958"/>
      <w:bookmarkStart w:id="167" w:name="_Toc23928"/>
      <w:bookmarkStart w:id="168" w:name="_Toc1260"/>
      <w:bookmarkStart w:id="169" w:name="_Toc11284"/>
      <w:bookmarkStart w:id="170" w:name="_Toc21384"/>
      <w:bookmarkStart w:id="171" w:name="_Toc571"/>
      <w:r>
        <w:rPr>
          <w:rFonts w:hint="eastAsia" w:ascii="宋体" w:hAnsi="宋体" w:cs="宋体"/>
          <w:b/>
          <w:color w:val="auto"/>
          <w:sz w:val="24"/>
          <w:szCs w:val="24"/>
          <w:highlight w:val="none"/>
        </w:rPr>
        <w:t>（八）质疑与投诉</w:t>
      </w:r>
      <w:bookmarkEnd w:id="165"/>
      <w:bookmarkEnd w:id="166"/>
      <w:bookmarkEnd w:id="167"/>
      <w:bookmarkEnd w:id="168"/>
      <w:bookmarkEnd w:id="169"/>
      <w:bookmarkEnd w:id="170"/>
      <w:bookmarkEnd w:id="171"/>
    </w:p>
    <w:p>
      <w:pPr>
        <w:spacing w:line="440" w:lineRule="exact"/>
        <w:ind w:firstLine="420" w:firstLineChars="200"/>
        <w:jc w:val="left"/>
        <w:rPr>
          <w:rFonts w:hint="eastAsia" w:ascii="宋体" w:hAnsi="宋体" w:cs="宋体"/>
          <w:bCs/>
          <w:color w:val="auto"/>
          <w:szCs w:val="21"/>
          <w:highlight w:val="none"/>
        </w:rPr>
      </w:pPr>
      <w:bookmarkStart w:id="172" w:name="_Toc19843"/>
      <w:bookmarkStart w:id="173" w:name="_Toc25816"/>
      <w:r>
        <w:rPr>
          <w:rFonts w:hint="eastAsia" w:ascii="宋体" w:hAnsi="宋体" w:cs="宋体"/>
          <w:bCs/>
          <w:color w:val="auto"/>
          <w:szCs w:val="21"/>
          <w:highlight w:val="none"/>
        </w:rPr>
        <w:t>39.询问、质疑</w:t>
      </w:r>
      <w:bookmarkEnd w:id="172"/>
      <w:bookmarkEnd w:id="173"/>
    </w:p>
    <w:p>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baseline"/>
        <w:rPr>
          <w:rFonts w:hint="eastAsia" w:ascii="宋体" w:hAnsi="宋体" w:cs="宋体"/>
          <w:bCs/>
          <w:color w:val="auto"/>
          <w:szCs w:val="21"/>
          <w:highlight w:val="none"/>
        </w:rPr>
      </w:pPr>
      <w:r>
        <w:rPr>
          <w:rFonts w:hint="eastAsia" w:ascii="宋体" w:hAnsi="宋体" w:cs="宋体"/>
          <w:bCs/>
          <w:color w:val="auto"/>
          <w:szCs w:val="21"/>
          <w:highlight w:val="none"/>
        </w:rPr>
        <w:t>39.1供应商对</w:t>
      </w:r>
      <w:r>
        <w:rPr>
          <w:rFonts w:hint="eastAsia" w:ascii="宋体" w:hAnsi="宋体" w:cs="宋体"/>
          <w:bCs/>
          <w:color w:val="auto"/>
          <w:szCs w:val="21"/>
          <w:highlight w:val="none"/>
          <w:lang w:val="en-US" w:eastAsia="zh-CN"/>
        </w:rPr>
        <w:t>招标</w:t>
      </w:r>
      <w:r>
        <w:rPr>
          <w:rFonts w:hint="eastAsia" w:ascii="宋体" w:hAnsi="宋体" w:cs="宋体"/>
          <w:bCs/>
          <w:color w:val="auto"/>
          <w:szCs w:val="21"/>
          <w:highlight w:val="none"/>
        </w:rPr>
        <w:t>活动事项有疑问的，可以向采购人提出询问，采购人将在三个工作日内作出答复，但答复的内容不涉及商业秘密。</w:t>
      </w:r>
    </w:p>
    <w:p>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baseline"/>
        <w:rPr>
          <w:rFonts w:hint="eastAsia" w:ascii="宋体" w:hAnsi="宋体" w:cs="宋体"/>
          <w:bCs/>
          <w:color w:val="auto"/>
          <w:szCs w:val="21"/>
          <w:highlight w:val="none"/>
        </w:rPr>
      </w:pPr>
      <w:r>
        <w:rPr>
          <w:rFonts w:hint="eastAsia" w:ascii="宋体" w:hAnsi="宋体" w:cs="宋体"/>
          <w:bCs/>
          <w:color w:val="auto"/>
          <w:szCs w:val="21"/>
          <w:highlight w:val="none"/>
        </w:rPr>
        <w:t>39.</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成交</w:t>
      </w:r>
      <w:r>
        <w:rPr>
          <w:rFonts w:hint="eastAsia" w:ascii="宋体" w:hAnsi="宋体" w:cs="宋体"/>
          <w:bCs/>
          <w:color w:val="auto"/>
          <w:szCs w:val="21"/>
          <w:highlight w:val="none"/>
          <w:lang w:val="en-US" w:eastAsia="zh-CN"/>
        </w:rPr>
        <w:t>结果宣布</w:t>
      </w:r>
      <w:r>
        <w:rPr>
          <w:rFonts w:hint="eastAsia" w:ascii="宋体" w:hAnsi="宋体" w:cs="宋体"/>
          <w:bCs/>
          <w:color w:val="auto"/>
          <w:szCs w:val="21"/>
          <w:highlight w:val="none"/>
        </w:rPr>
        <w:t>后，参与</w:t>
      </w:r>
      <w:r>
        <w:rPr>
          <w:rFonts w:hint="eastAsia" w:ascii="宋体" w:hAnsi="宋体" w:cs="宋体"/>
          <w:bCs/>
          <w:color w:val="auto"/>
          <w:szCs w:val="21"/>
          <w:highlight w:val="none"/>
          <w:lang w:val="en-US" w:eastAsia="zh-CN"/>
        </w:rPr>
        <w:t>开标</w:t>
      </w:r>
      <w:r>
        <w:rPr>
          <w:rFonts w:hint="eastAsia" w:ascii="宋体" w:hAnsi="宋体" w:cs="宋体"/>
          <w:bCs/>
          <w:color w:val="auto"/>
          <w:szCs w:val="21"/>
          <w:highlight w:val="none"/>
        </w:rPr>
        <w:t>的供应商对成交</w:t>
      </w:r>
      <w:r>
        <w:rPr>
          <w:rFonts w:hint="eastAsia" w:ascii="宋体" w:hAnsi="宋体" w:cs="宋体"/>
          <w:bCs/>
          <w:color w:val="auto"/>
          <w:szCs w:val="21"/>
          <w:highlight w:val="none"/>
          <w:lang w:val="en-US" w:eastAsia="zh-CN"/>
        </w:rPr>
        <w:t>结果</w:t>
      </w:r>
      <w:r>
        <w:rPr>
          <w:rFonts w:hint="eastAsia" w:ascii="宋体" w:hAnsi="宋体" w:cs="宋体"/>
          <w:bCs/>
          <w:color w:val="auto"/>
          <w:szCs w:val="21"/>
          <w:highlight w:val="none"/>
        </w:rPr>
        <w:t>有异议的，</w:t>
      </w:r>
      <w:r>
        <w:rPr>
          <w:rFonts w:hint="eastAsia" w:ascii="宋体" w:hAnsi="宋体" w:cs="宋体"/>
          <w:bCs/>
          <w:color w:val="auto"/>
          <w:szCs w:val="21"/>
          <w:highlight w:val="none"/>
          <w:lang w:val="en-US" w:eastAsia="zh-CN"/>
        </w:rPr>
        <w:t>在开标现场提出。</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baseline"/>
        <w:rPr>
          <w:rFonts w:hint="eastAsia" w:ascii="宋体"/>
          <w:color w:val="auto"/>
          <w:kern w:val="10"/>
          <w:szCs w:val="21"/>
          <w:highlight w:val="none"/>
        </w:rPr>
      </w:pPr>
      <w:r>
        <w:rPr>
          <w:rFonts w:hint="eastAsia" w:ascii="宋体" w:hAnsi="宋体" w:cs="宋体"/>
          <w:bCs/>
          <w:color w:val="auto"/>
          <w:szCs w:val="21"/>
          <w:highlight w:val="none"/>
        </w:rPr>
        <w:t>39.</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参与</w:t>
      </w:r>
      <w:r>
        <w:rPr>
          <w:rFonts w:hint="eastAsia" w:ascii="宋体" w:hAnsi="宋体" w:cs="宋体"/>
          <w:bCs/>
          <w:color w:val="auto"/>
          <w:szCs w:val="21"/>
          <w:highlight w:val="none"/>
          <w:lang w:val="en-US" w:eastAsia="zh-CN"/>
        </w:rPr>
        <w:t>开标</w:t>
      </w:r>
      <w:r>
        <w:rPr>
          <w:rFonts w:hint="eastAsia" w:ascii="宋体" w:hAnsi="宋体" w:cs="宋体"/>
          <w:bCs/>
          <w:color w:val="auto"/>
          <w:szCs w:val="21"/>
          <w:highlight w:val="none"/>
        </w:rPr>
        <w:t>的供应商对成交</w:t>
      </w:r>
      <w:r>
        <w:rPr>
          <w:rFonts w:hint="eastAsia" w:ascii="宋体" w:hAnsi="宋体" w:cs="宋体"/>
          <w:bCs/>
          <w:color w:val="auto"/>
          <w:szCs w:val="21"/>
          <w:highlight w:val="none"/>
          <w:lang w:val="en-US" w:eastAsia="zh-CN"/>
        </w:rPr>
        <w:t>结果</w:t>
      </w:r>
      <w:r>
        <w:rPr>
          <w:rFonts w:hint="eastAsia" w:ascii="宋体" w:hAnsi="宋体" w:cs="宋体"/>
          <w:bCs/>
          <w:color w:val="auto"/>
          <w:szCs w:val="21"/>
          <w:highlight w:val="none"/>
        </w:rPr>
        <w:t>提出的质疑，负有举证的责任。</w:t>
      </w:r>
      <w:r>
        <w:rPr>
          <w:rFonts w:hint="eastAsia" w:ascii="宋体"/>
          <w:color w:val="auto"/>
          <w:kern w:val="10"/>
          <w:szCs w:val="21"/>
          <w:highlight w:val="none"/>
        </w:rPr>
        <w:t>供应商提出质疑应当提交质疑函和必要的证明材料。质疑函应当包括下列内容：</w:t>
      </w:r>
    </w:p>
    <w:p>
      <w:pPr>
        <w:keepNext w:val="0"/>
        <w:keepLines w:val="0"/>
        <w:pageBreakBefore w:val="0"/>
        <w:widowControl/>
        <w:kinsoku/>
        <w:wordWrap/>
        <w:overflowPunct/>
        <w:topLinePunct w:val="0"/>
        <w:autoSpaceDE/>
        <w:autoSpaceDN/>
        <w:bidi w:val="0"/>
        <w:adjustRightInd/>
        <w:snapToGrid/>
        <w:spacing w:line="400" w:lineRule="exact"/>
        <w:ind w:firstLine="840" w:firstLineChars="400"/>
        <w:jc w:val="left"/>
        <w:textAlignment w:val="baseline"/>
        <w:rPr>
          <w:rFonts w:hint="eastAsia" w:ascii="宋体"/>
          <w:color w:val="auto"/>
          <w:kern w:val="10"/>
          <w:szCs w:val="21"/>
          <w:highlight w:val="none"/>
        </w:rPr>
      </w:pPr>
      <w:r>
        <w:rPr>
          <w:rFonts w:hint="eastAsia" w:ascii="宋体"/>
          <w:color w:val="auto"/>
          <w:kern w:val="10"/>
          <w:szCs w:val="21"/>
          <w:highlight w:val="none"/>
        </w:rPr>
        <w:t>（一）供应商的姓名或者名称、地址、邮编、联系人及联系电话；</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baseline"/>
        <w:rPr>
          <w:rFonts w:hint="eastAsia" w:ascii="宋体"/>
          <w:color w:val="auto"/>
          <w:kern w:val="10"/>
          <w:szCs w:val="21"/>
          <w:highlight w:val="none"/>
        </w:rPr>
      </w:pPr>
      <w:r>
        <w:rPr>
          <w:rFonts w:hint="eastAsia" w:ascii="宋体"/>
          <w:color w:val="auto"/>
          <w:kern w:val="10"/>
          <w:szCs w:val="21"/>
          <w:highlight w:val="none"/>
        </w:rPr>
        <w:t>　　（二）质疑项目的名称、编号；</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baseline"/>
        <w:rPr>
          <w:rFonts w:hint="eastAsia" w:ascii="宋体"/>
          <w:color w:val="auto"/>
          <w:kern w:val="10"/>
          <w:szCs w:val="21"/>
          <w:highlight w:val="none"/>
        </w:rPr>
      </w:pPr>
      <w:r>
        <w:rPr>
          <w:rFonts w:hint="eastAsia" w:ascii="宋体"/>
          <w:color w:val="auto"/>
          <w:kern w:val="10"/>
          <w:szCs w:val="21"/>
          <w:highlight w:val="none"/>
        </w:rPr>
        <w:t>　　（三）具体、明确的质疑事项和与质疑事项相关的请求；</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baseline"/>
        <w:rPr>
          <w:rFonts w:hint="eastAsia" w:ascii="宋体"/>
          <w:color w:val="auto"/>
          <w:kern w:val="10"/>
          <w:szCs w:val="21"/>
          <w:highlight w:val="none"/>
        </w:rPr>
      </w:pPr>
      <w:r>
        <w:rPr>
          <w:rFonts w:hint="eastAsia" w:ascii="宋体"/>
          <w:color w:val="auto"/>
          <w:kern w:val="10"/>
          <w:szCs w:val="21"/>
          <w:highlight w:val="none"/>
        </w:rPr>
        <w:t>　　（四）事实依据；</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baseline"/>
        <w:rPr>
          <w:rFonts w:hint="eastAsia" w:ascii="宋体"/>
          <w:color w:val="auto"/>
          <w:kern w:val="10"/>
          <w:szCs w:val="21"/>
          <w:highlight w:val="none"/>
        </w:rPr>
      </w:pPr>
      <w:r>
        <w:rPr>
          <w:rFonts w:hint="eastAsia" w:ascii="宋体"/>
          <w:color w:val="auto"/>
          <w:kern w:val="10"/>
          <w:szCs w:val="21"/>
          <w:highlight w:val="none"/>
        </w:rPr>
        <w:t>　　（五）必要的法律依据；</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baseline"/>
        <w:rPr>
          <w:rFonts w:ascii="宋体"/>
          <w:color w:val="auto"/>
          <w:kern w:val="10"/>
          <w:szCs w:val="21"/>
          <w:highlight w:val="none"/>
        </w:rPr>
      </w:pPr>
      <w:r>
        <w:rPr>
          <w:rFonts w:hint="eastAsia" w:ascii="宋体"/>
          <w:color w:val="auto"/>
          <w:kern w:val="10"/>
          <w:szCs w:val="21"/>
          <w:highlight w:val="none"/>
        </w:rPr>
        <w:t>　　（六）提出质疑的日期。</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baseline"/>
        <w:rPr>
          <w:rFonts w:hint="eastAsia"/>
          <w:color w:val="auto"/>
          <w:highlight w:val="none"/>
        </w:rPr>
      </w:pPr>
      <w:r>
        <w:rPr>
          <w:rFonts w:hint="eastAsia" w:ascii="宋体"/>
          <w:color w:val="auto"/>
          <w:kern w:val="10"/>
          <w:szCs w:val="21"/>
          <w:highlight w:val="none"/>
        </w:rPr>
        <w:t>供应商为自然人的，应当由本人签字；投标人为法人或者其他组织的，应当由法定代表人、主要负责人，或者其授权代表签字或者盖章，并加盖公章。</w:t>
      </w:r>
    </w:p>
    <w:p>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baseline"/>
        <w:rPr>
          <w:rFonts w:hint="eastAsia" w:ascii="宋体" w:hAnsi="宋体" w:cs="宋体"/>
          <w:bCs/>
          <w:color w:val="auto"/>
          <w:szCs w:val="21"/>
          <w:highlight w:val="none"/>
        </w:rPr>
      </w:pPr>
      <w:r>
        <w:rPr>
          <w:rFonts w:hint="eastAsia" w:ascii="宋体" w:hAnsi="宋体" w:cs="宋体"/>
          <w:bCs/>
          <w:color w:val="auto"/>
          <w:szCs w:val="21"/>
          <w:highlight w:val="none"/>
        </w:rPr>
        <w:t>39.</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采购人在收到供应商的质疑函后，将审查质疑函的格式、内容以及所附的证明文件是否符合要求。如不符合，说明原因退回供应商；如符合要求，则接受该质疑函。</w:t>
      </w:r>
    </w:p>
    <w:p>
      <w:pPr>
        <w:pageBreakBefore/>
        <w:numPr>
          <w:ilvl w:val="0"/>
          <w:numId w:val="0"/>
        </w:numPr>
        <w:spacing w:line="312" w:lineRule="auto"/>
        <w:jc w:val="center"/>
        <w:outlineLvl w:val="0"/>
        <w:rPr>
          <w:rFonts w:hint="eastAsia" w:ascii="黑体" w:eastAsia="黑体"/>
          <w:color w:val="auto"/>
          <w:sz w:val="30"/>
          <w:szCs w:val="30"/>
          <w:highlight w:val="none"/>
        </w:rPr>
      </w:pPr>
      <w:bookmarkStart w:id="174" w:name="_Toc14827"/>
      <w:bookmarkStart w:id="175" w:name="_Toc18669"/>
      <w:bookmarkStart w:id="176" w:name="_Toc6133"/>
      <w:bookmarkStart w:id="177" w:name="_Toc35549382"/>
      <w:r>
        <w:rPr>
          <w:rFonts w:hint="eastAsia" w:ascii="黑体" w:eastAsia="黑体"/>
          <w:color w:val="auto"/>
          <w:sz w:val="30"/>
          <w:szCs w:val="30"/>
          <w:highlight w:val="none"/>
          <w:lang w:val="en-US" w:eastAsia="zh-CN"/>
        </w:rPr>
        <w:t xml:space="preserve">第三章  </w:t>
      </w:r>
      <w:r>
        <w:rPr>
          <w:rFonts w:hint="eastAsia" w:ascii="黑体" w:eastAsia="黑体"/>
          <w:color w:val="auto"/>
          <w:sz w:val="30"/>
          <w:szCs w:val="30"/>
          <w:highlight w:val="none"/>
        </w:rPr>
        <w:t>评标办法</w:t>
      </w:r>
      <w:bookmarkEnd w:id="174"/>
      <w:bookmarkEnd w:id="175"/>
      <w:bookmarkEnd w:id="176"/>
    </w:p>
    <w:p>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bookmarkStart w:id="178" w:name="_Toc9679_WPSOffice_Level2"/>
      <w:bookmarkStart w:id="179" w:name="_Toc13916"/>
      <w:bookmarkStart w:id="180" w:name="_Toc27034"/>
      <w:r>
        <w:rPr>
          <w:rFonts w:hint="eastAsia" w:ascii="宋体" w:hAnsi="宋体" w:eastAsia="宋体" w:cs="宋体"/>
          <w:b/>
          <w:bCs w:val="0"/>
          <w:color w:val="auto"/>
          <w:kern w:val="0"/>
          <w:sz w:val="24"/>
          <w:szCs w:val="24"/>
          <w:highlight w:val="none"/>
          <w:lang w:val="en-US" w:eastAsia="zh-CN" w:bidi="ar"/>
        </w:rPr>
        <w:t>一</w:t>
      </w:r>
      <w:bookmarkEnd w:id="178"/>
      <w:r>
        <w:rPr>
          <w:rFonts w:hint="eastAsia" w:ascii="宋体" w:hAnsi="宋体" w:eastAsia="宋体" w:cs="宋体"/>
          <w:b/>
          <w:bCs w:val="0"/>
          <w:color w:val="auto"/>
          <w:kern w:val="0"/>
          <w:sz w:val="24"/>
          <w:szCs w:val="24"/>
          <w:highlight w:val="none"/>
          <w:lang w:val="en-US" w:eastAsia="zh-CN" w:bidi="ar"/>
        </w:rPr>
        <w:t>、总则</w:t>
      </w:r>
      <w:bookmarkEnd w:id="179"/>
      <w:bookmarkEnd w:id="180"/>
    </w:p>
    <w:p>
      <w:pPr>
        <w:spacing w:line="440" w:lineRule="exact"/>
        <w:ind w:firstLine="422" w:firstLineChars="200"/>
        <w:jc w:val="left"/>
        <w:rPr>
          <w:rFonts w:hint="eastAsia" w:ascii="宋体" w:hAnsi="宋体" w:eastAsia="宋体" w:cs="宋体"/>
          <w:b/>
          <w:color w:val="auto"/>
          <w:szCs w:val="21"/>
          <w:highlight w:val="none"/>
          <w:lang w:eastAsia="zh-CN"/>
        </w:rPr>
      </w:pPr>
      <w:bookmarkStart w:id="181" w:name="_Toc14651"/>
      <w:bookmarkEnd w:id="181"/>
      <w:bookmarkStart w:id="182" w:name="_Toc10907_WPSOffice_Level3"/>
      <w:r>
        <w:rPr>
          <w:rFonts w:hint="eastAsia" w:ascii="宋体" w:hAnsi="宋体" w:cs="宋体"/>
          <w:b/>
          <w:color w:val="auto"/>
          <w:szCs w:val="21"/>
          <w:highlight w:val="none"/>
        </w:rPr>
        <w:t>1. 本次评标采用</w:t>
      </w:r>
      <w:bookmarkEnd w:id="182"/>
      <w:r>
        <w:rPr>
          <w:rFonts w:hint="eastAsia" w:ascii="宋体" w:hAnsi="宋体" w:cs="宋体"/>
          <w:b/>
          <w:color w:val="auto"/>
          <w:szCs w:val="21"/>
          <w:highlight w:val="none"/>
          <w:lang w:eastAsia="zh-CN"/>
        </w:rPr>
        <w:t>最低评标价法</w:t>
      </w:r>
    </w:p>
    <w:p>
      <w:pPr>
        <w:spacing w:line="44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1.1最低评标价法，是指投标文件满足招标文件全部实质性要求且投标报价由低到高的供应商为中标候选人的评标方法。（扣除可抵扣的进项税后的金额最低者中标）</w:t>
      </w:r>
    </w:p>
    <w:p>
      <w:pPr>
        <w:spacing w:line="44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1.2最低评标价法一般适用于标准定制商品及通用服务项目的项目评审。</w:t>
      </w:r>
    </w:p>
    <w:p>
      <w:pPr>
        <w:spacing w:line="440" w:lineRule="exact"/>
        <w:ind w:firstLine="422" w:firstLineChars="200"/>
        <w:jc w:val="left"/>
        <w:rPr>
          <w:rFonts w:hint="eastAsia" w:ascii="宋体" w:hAnsi="宋体" w:cs="宋体"/>
          <w:b/>
          <w:color w:val="auto"/>
          <w:szCs w:val="21"/>
          <w:highlight w:val="none"/>
        </w:rPr>
      </w:pPr>
      <w:bookmarkStart w:id="183" w:name="_Toc23969_WPSOffice_Level3"/>
      <w:r>
        <w:rPr>
          <w:rFonts w:hint="eastAsia" w:ascii="宋体" w:hAnsi="宋体" w:cs="宋体"/>
          <w:b/>
          <w:color w:val="auto"/>
          <w:szCs w:val="21"/>
          <w:highlight w:val="none"/>
        </w:rPr>
        <w:t>2．评标程序</w:t>
      </w:r>
      <w:bookmarkEnd w:id="183"/>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2.1投标文件的初审</w:t>
      </w:r>
    </w:p>
    <w:p>
      <w:pPr>
        <w:spacing w:line="44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2.1.1资格性检查。依据法</w:t>
      </w:r>
      <w:r>
        <w:rPr>
          <w:rFonts w:hint="eastAsia" w:ascii="宋体"/>
          <w:color w:val="auto"/>
          <w:szCs w:val="21"/>
          <w:highlight w:val="none"/>
        </w:rPr>
        <w:t xml:space="preserve">律法规和招标文件的规定，对投标文件中的资格证明、投标保证金等进行审查，以确定投标人是否具备投标资格。 </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2.1.2符合性检查。依据招标文件的规定，从投标文件的有效性、完整性进行审查，以确定投标人是否对招标文件的实质性要求作出响应。</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2.2.1在评标过程中，评标委员会认为需要，在监督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2.2.2书面答复须经投标人法定代理人或其授权委托代理人的签字或印鉴，签字或盖印鉴的书面答复将视为投标文件的组成部分。投标截止时间后，投标人对投标报价</w:t>
      </w:r>
      <w:r>
        <w:rPr>
          <w:rFonts w:hint="eastAsia" w:ascii="宋体"/>
          <w:color w:val="auto"/>
          <w:szCs w:val="21"/>
          <w:highlight w:val="none"/>
          <w:lang w:eastAsia="zh-CN"/>
        </w:rPr>
        <w:t>或其他</w:t>
      </w:r>
      <w:r>
        <w:rPr>
          <w:rFonts w:hint="eastAsia" w:ascii="宋体"/>
          <w:color w:val="auto"/>
          <w:szCs w:val="21"/>
          <w:highlight w:val="none"/>
        </w:rPr>
        <w:t>实质性内容修正的函件和增加的任何优惠条件，一律不得作为评标、定标的依据。</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2.2.3</w:t>
      </w:r>
      <w:r>
        <w:rPr>
          <w:rFonts w:hint="eastAsia" w:ascii="宋体"/>
          <w:color w:val="auto"/>
          <w:szCs w:val="21"/>
          <w:highlight w:val="none"/>
          <w:lang w:eastAsia="zh-CN"/>
        </w:rPr>
        <w:t>招标人</w:t>
      </w:r>
      <w:r>
        <w:rPr>
          <w:rFonts w:hint="eastAsia" w:ascii="宋体"/>
          <w:color w:val="auto"/>
          <w:szCs w:val="21"/>
          <w:highlight w:val="none"/>
        </w:rPr>
        <w:t>不接受投标人主动提出的澄清。</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2.3比较与评价</w:t>
      </w:r>
    </w:p>
    <w:p>
      <w:pPr>
        <w:spacing w:line="440" w:lineRule="exact"/>
        <w:ind w:firstLine="420" w:firstLineChars="200"/>
        <w:jc w:val="left"/>
        <w:rPr>
          <w:rFonts w:hint="eastAsia" w:ascii="宋体" w:eastAsia="宋体"/>
          <w:color w:val="auto"/>
          <w:szCs w:val="21"/>
          <w:highlight w:val="none"/>
          <w:lang w:eastAsia="zh-CN"/>
        </w:rPr>
      </w:pPr>
      <w:r>
        <w:rPr>
          <w:rFonts w:hint="eastAsia" w:ascii="宋体"/>
          <w:color w:val="auto"/>
          <w:szCs w:val="21"/>
          <w:highlight w:val="none"/>
        </w:rPr>
        <w:t xml:space="preserve">2．3.1按招标文件中规定的评标方法和标准，对资格性检查和符合性检查合格的投标文件进行商务和技术评估，综合比较与评价。 </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2.4推荐中标候选人名单</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2.4.1中标候选人数量应当根据采购需要确定，但必须按顺序排列中标候选人。</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2.5在投标文件的审查、澄清、评价和比较以及授予合同过程中，投标人对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pPr>
        <w:rPr>
          <w:rFonts w:hint="eastAsia" w:ascii="宋体" w:hAnsi="宋体" w:eastAsia="宋体" w:cs="宋体"/>
          <w:b/>
          <w:bCs w:val="0"/>
          <w:color w:val="auto"/>
          <w:kern w:val="0"/>
          <w:sz w:val="24"/>
          <w:szCs w:val="24"/>
          <w:highlight w:val="none"/>
          <w:lang w:val="en-US" w:eastAsia="zh-CN" w:bidi="ar"/>
        </w:rPr>
      </w:pPr>
      <w:r>
        <w:rPr>
          <w:rFonts w:hint="eastAsia" w:ascii="宋体" w:hAnsi="宋体" w:eastAsia="宋体" w:cs="宋体"/>
          <w:b/>
          <w:bCs w:val="0"/>
          <w:color w:val="auto"/>
          <w:kern w:val="0"/>
          <w:sz w:val="24"/>
          <w:szCs w:val="24"/>
          <w:highlight w:val="none"/>
          <w:lang w:val="en-US" w:eastAsia="zh-CN" w:bidi="ar"/>
        </w:rPr>
        <w:br w:type="page"/>
      </w:r>
    </w:p>
    <w:p>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bookmarkStart w:id="184" w:name="_Toc1831"/>
      <w:bookmarkStart w:id="185" w:name="_Toc13716"/>
      <w:r>
        <w:rPr>
          <w:rFonts w:hint="eastAsia" w:ascii="宋体" w:hAnsi="宋体" w:eastAsia="宋体" w:cs="宋体"/>
          <w:b/>
          <w:bCs w:val="0"/>
          <w:color w:val="auto"/>
          <w:kern w:val="0"/>
          <w:sz w:val="24"/>
          <w:szCs w:val="24"/>
          <w:highlight w:val="none"/>
          <w:lang w:val="en-US" w:eastAsia="zh-CN" w:bidi="ar"/>
        </w:rPr>
        <w:t>二、投标文件审查</w:t>
      </w:r>
      <w:bookmarkEnd w:id="184"/>
      <w:bookmarkEnd w:id="185"/>
    </w:p>
    <w:p>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bookmarkStart w:id="186" w:name="_Toc9092_WPSOffice_Level3"/>
      <w:bookmarkEnd w:id="186"/>
      <w:r>
        <w:rPr>
          <w:rFonts w:hint="eastAsia" w:ascii="黑体" w:hAnsi="宋体" w:eastAsia="黑体" w:cs="宋体"/>
          <w:b/>
          <w:bCs w:val="0"/>
          <w:color w:val="auto"/>
          <w:kern w:val="0"/>
          <w:sz w:val="21"/>
          <w:szCs w:val="21"/>
          <w:highlight w:val="none"/>
          <w:lang w:val="en-US" w:eastAsia="zh-CN" w:bidi="ar"/>
        </w:rPr>
        <w:t>3.资格性审查</w:t>
      </w:r>
    </w:p>
    <w:p>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3.1评审细则</w:t>
      </w:r>
    </w:p>
    <w:tbl>
      <w:tblPr>
        <w:tblStyle w:val="40"/>
        <w:tblW w:w="8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9"/>
        <w:gridCol w:w="3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szCs w:val="20"/>
                <w:highlight w:val="none"/>
                <w:lang w:val="en-US"/>
              </w:rPr>
            </w:pPr>
            <w:r>
              <w:rPr>
                <w:rFonts w:hint="eastAsia" w:ascii="黑体" w:hAnsi="宋体" w:eastAsia="黑体" w:cs="黑体"/>
                <w:b/>
                <w:bCs/>
                <w:color w:val="auto"/>
                <w:kern w:val="2"/>
                <w:sz w:val="21"/>
                <w:szCs w:val="21"/>
                <w:highlight w:val="none"/>
                <w:lang w:val="en-US" w:eastAsia="zh-CN" w:bidi="ar"/>
              </w:rPr>
              <w:t>序号</w:t>
            </w:r>
          </w:p>
        </w:tc>
        <w:tc>
          <w:tcPr>
            <w:tcW w:w="424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评审因素</w:t>
            </w:r>
          </w:p>
        </w:tc>
        <w:tc>
          <w:tcPr>
            <w:tcW w:w="38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1</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重要要求</w:t>
            </w:r>
          </w:p>
        </w:tc>
        <w:tc>
          <w:tcPr>
            <w:tcW w:w="30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1</w:t>
            </w:r>
            <w:r>
              <w:rPr>
                <w:rFonts w:hint="eastAsia" w:ascii="宋体" w:hAnsi="宋体" w:eastAsia="宋体" w:cs="宋体"/>
                <w:color w:val="auto"/>
                <w:kern w:val="2"/>
                <w:sz w:val="21"/>
                <w:szCs w:val="21"/>
                <w:highlight w:val="none"/>
                <w:lang w:val="en-US" w:eastAsia="zh-CN" w:bidi="ar"/>
              </w:rPr>
              <w:t>）法定代表人身份证明和本人身份证（或法定代表人授权委托书原件和委托代理人身份证原件）</w:t>
            </w:r>
          </w:p>
        </w:tc>
        <w:tc>
          <w:tcPr>
            <w:tcW w:w="38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left"/>
              <w:rPr>
                <w:rFonts w:hint="default"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开标现场查验法定代表人身份证明原件和身份证原件有效（或授权委托书及委托代理人身份证原件有效）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25" w:type="dxa"/>
            <w:vMerge w:val="restart"/>
            <w:tcBorders>
              <w:top w:val="nil"/>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2</w:t>
            </w:r>
          </w:p>
        </w:tc>
        <w:tc>
          <w:tcPr>
            <w:tcW w:w="1235" w:type="dxa"/>
            <w:vMerge w:val="restart"/>
            <w:tcBorders>
              <w:top w:val="nil"/>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szCs w:val="20"/>
                <w:highlight w:val="none"/>
                <w:lang w:val="en-US"/>
              </w:rPr>
            </w:pPr>
            <w:r>
              <w:rPr>
                <w:rFonts w:hint="eastAsia" w:ascii="宋体" w:hAnsi="宋体" w:eastAsia="宋体" w:cs="宋体"/>
                <w:color w:val="auto"/>
                <w:kern w:val="2"/>
                <w:sz w:val="21"/>
                <w:szCs w:val="21"/>
                <w:highlight w:val="none"/>
                <w:lang w:val="en-US" w:eastAsia="zh-CN" w:bidi="ar"/>
              </w:rPr>
              <w:t>投标人应符合的基本资格条件</w:t>
            </w:r>
          </w:p>
        </w:tc>
        <w:tc>
          <w:tcPr>
            <w:tcW w:w="30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auto"/>
                <w:kern w:val="2"/>
                <w:szCs w:val="20"/>
                <w:highlight w:val="none"/>
                <w:lang w:val="en-US"/>
              </w:rPr>
            </w:pPr>
            <w:r>
              <w:rPr>
                <w:rFonts w:hint="eastAsia" w:ascii="宋体" w:hAnsi="宋体" w:cs="宋体"/>
                <w:color w:val="auto"/>
                <w:szCs w:val="20"/>
                <w:highlight w:val="none"/>
                <w:lang w:eastAsia="zh-CN"/>
              </w:rPr>
              <w:t>（</w:t>
            </w:r>
            <w:r>
              <w:rPr>
                <w:rFonts w:hint="eastAsia" w:ascii="宋体" w:hAnsi="宋体" w:cs="宋体"/>
                <w:color w:val="auto"/>
                <w:szCs w:val="20"/>
                <w:highlight w:val="none"/>
                <w:lang w:val="en-US" w:eastAsia="zh-CN"/>
              </w:rPr>
              <w:t>2）</w:t>
            </w:r>
            <w:r>
              <w:rPr>
                <w:rFonts w:hint="eastAsia" w:ascii="宋体" w:hAnsi="宋体" w:cs="宋体"/>
                <w:color w:val="auto"/>
                <w:szCs w:val="20"/>
                <w:highlight w:val="none"/>
              </w:rPr>
              <w:t>营业执照</w:t>
            </w:r>
          </w:p>
        </w:tc>
        <w:tc>
          <w:tcPr>
            <w:tcW w:w="38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2"/>
                <w:szCs w:val="20"/>
                <w:highlight w:val="none"/>
                <w:lang w:val="en-US"/>
              </w:rPr>
            </w:pPr>
            <w:r>
              <w:rPr>
                <w:rFonts w:hint="eastAsia" w:ascii="宋体"/>
                <w:color w:val="auto"/>
                <w:szCs w:val="24"/>
                <w:highlight w:val="none"/>
              </w:rPr>
              <w:t>开标时核验原件或复印件或公证件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7" w:hRule="atLeast"/>
        </w:trPr>
        <w:tc>
          <w:tcPr>
            <w:tcW w:w="725"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1235"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30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auto"/>
                <w:kern w:val="2"/>
                <w:szCs w:val="20"/>
                <w:highlight w:val="none"/>
                <w:lang w:val="en-US"/>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38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2"/>
                <w:szCs w:val="20"/>
                <w:highlight w:val="none"/>
                <w:lang w:val="en-US"/>
              </w:rPr>
            </w:pPr>
            <w:r>
              <w:rPr>
                <w:rFonts w:hint="eastAsia" w:ascii="宋体"/>
                <w:color w:val="auto"/>
                <w:szCs w:val="24"/>
                <w:highlight w:val="none"/>
              </w:rPr>
              <w:t>开标时核验原件</w:t>
            </w:r>
          </w:p>
        </w:tc>
      </w:tr>
    </w:tbl>
    <w:p>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r>
        <w:rPr>
          <w:rFonts w:hint="eastAsia" w:ascii="黑体" w:hAnsi="宋体" w:eastAsia="黑体" w:cs="宋体"/>
          <w:b/>
          <w:bCs w:val="0"/>
          <w:color w:val="auto"/>
          <w:kern w:val="0"/>
          <w:sz w:val="21"/>
          <w:szCs w:val="21"/>
          <w:highlight w:val="none"/>
          <w:lang w:val="en-US" w:eastAsia="zh-CN" w:bidi="ar"/>
        </w:rPr>
        <w:t>4.符合性审查</w:t>
      </w:r>
    </w:p>
    <w:p>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b/>
          <w:bCs w:val="0"/>
          <w:color w:val="auto"/>
          <w:highlight w:val="none"/>
          <w:lang w:val="en-US"/>
        </w:rPr>
      </w:pPr>
      <w:bookmarkStart w:id="187" w:name="_Toc4660368"/>
      <w:bookmarkEnd w:id="187"/>
      <w:r>
        <w:rPr>
          <w:rFonts w:hint="eastAsia" w:ascii="宋体" w:hAnsi="宋体" w:eastAsia="宋体" w:cs="宋体"/>
          <w:color w:val="auto"/>
          <w:kern w:val="0"/>
          <w:sz w:val="21"/>
          <w:szCs w:val="21"/>
          <w:highlight w:val="none"/>
          <w:lang w:val="en-US" w:eastAsia="zh-CN" w:bidi="ar"/>
        </w:rPr>
        <w:t>4.1评审细则</w:t>
      </w:r>
    </w:p>
    <w:tbl>
      <w:tblPr>
        <w:tblStyle w:val="40"/>
        <w:tblW w:w="9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973"/>
        <w:gridCol w:w="2931"/>
        <w:gridCol w:w="4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660"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3904" w:type="dxa"/>
            <w:gridSpan w:val="2"/>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660" w:type="dxa"/>
            <w:vMerge w:val="restart"/>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rPr>
              <w:t>1</w:t>
            </w:r>
          </w:p>
        </w:tc>
        <w:tc>
          <w:tcPr>
            <w:tcW w:w="973" w:type="dxa"/>
            <w:vMerge w:val="restart"/>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default" w:ascii="宋体" w:hAnsi="宋体" w:cs="宋体"/>
                <w:color w:val="auto"/>
                <w:szCs w:val="21"/>
                <w:highlight w:val="none"/>
              </w:rPr>
            </w:pPr>
            <w:r>
              <w:rPr>
                <w:rFonts w:hint="eastAsia" w:ascii="宋体" w:hAnsi="宋体" w:cs="宋体"/>
                <w:color w:val="auto"/>
                <w:szCs w:val="21"/>
                <w:highlight w:val="none"/>
                <w:lang w:val="zh-CN"/>
              </w:rPr>
              <w:t>签字、盖章符合要求。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60"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973"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lang w:val="zh-CN"/>
              </w:rPr>
              <w:t>只能有一个方案投标。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660"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973"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660"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973"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660" w:type="dxa"/>
            <w:vMerge w:val="restart"/>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rPr>
              <w:t>2</w:t>
            </w:r>
          </w:p>
        </w:tc>
        <w:tc>
          <w:tcPr>
            <w:tcW w:w="973" w:type="dxa"/>
            <w:vMerge w:val="restart"/>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正本一份</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660"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973"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660" w:type="dxa"/>
            <w:vMerge w:val="restart"/>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r>
              <w:rPr>
                <w:rFonts w:hint="eastAsia" w:ascii="宋体" w:hAnsi="宋体" w:cs="宋体"/>
                <w:color w:val="auto"/>
                <w:szCs w:val="21"/>
                <w:highlight w:val="none"/>
              </w:rPr>
              <w:t>3</w:t>
            </w:r>
          </w:p>
        </w:tc>
        <w:tc>
          <w:tcPr>
            <w:tcW w:w="973" w:type="dxa"/>
            <w:vMerge w:val="restart"/>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（7）技术参数响应程度</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default"/>
                <w:color w:val="auto"/>
                <w:szCs w:val="20"/>
                <w:highlight w:val="none"/>
              </w:rPr>
            </w:pPr>
            <w:r>
              <w:rPr>
                <w:rFonts w:hint="eastAsia"/>
                <w:color w:val="auto"/>
                <w:szCs w:val="20"/>
                <w:highlight w:val="none"/>
                <w:lang w:val="zh-CN"/>
              </w:rPr>
              <w:t>满足</w:t>
            </w:r>
            <w:r>
              <w:rPr>
                <w:rFonts w:hint="eastAsia"/>
                <w:color w:val="auto"/>
                <w:szCs w:val="20"/>
                <w:highlight w:val="none"/>
                <w:lang w:val="en-US" w:eastAsia="zh-CN"/>
              </w:rPr>
              <w:t>或优于</w:t>
            </w:r>
            <w:r>
              <w:rPr>
                <w:rFonts w:hint="eastAsia"/>
                <w:color w:val="auto"/>
                <w:szCs w:val="20"/>
                <w:highlight w:val="none"/>
                <w:lang w:val="zh-CN"/>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660"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973" w:type="dxa"/>
            <w:vMerge w:val="continue"/>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rPr>
            </w:pPr>
          </w:p>
        </w:tc>
        <w:tc>
          <w:tcPr>
            <w:tcW w:w="293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w:t>
            </w:r>
          </w:p>
        </w:tc>
        <w:tc>
          <w:tcPr>
            <w:tcW w:w="4691" w:type="dxa"/>
            <w:noWrap w:val="0"/>
            <w:vAlign w:val="center"/>
          </w:tcPr>
          <w:p>
            <w:pPr>
              <w:keepNext w:val="0"/>
              <w:keepLines w:val="0"/>
              <w:widowControl/>
              <w:suppressLineNumbers w:val="0"/>
              <w:spacing w:before="0" w:beforeAutospacing="0" w:after="0" w:afterAutospacing="0" w:line="440" w:lineRule="exact"/>
              <w:ind w:left="0" w:right="0"/>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响应招标文件要求。</w:t>
            </w:r>
          </w:p>
        </w:tc>
      </w:tr>
    </w:tbl>
    <w:p>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4.2评委会判定投标文件的响应性只根据投标文件本身的内容，而不寻求外部的证据，但投标有不真实不正确的内容时除外。</w:t>
      </w:r>
    </w:p>
    <w:p>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4.3如果投标文件实质上没有响应招标文件的要求，评委会将予以拒绝，投标人不得通过修正或撤销不符合要求的偏离或保留，而使其投标成为实质上响应的投标。</w:t>
      </w:r>
    </w:p>
    <w:p>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4.4只有通过初审的投标人才能进入下一步程序。</w:t>
      </w:r>
    </w:p>
    <w:p>
      <w:pPr>
        <w:widowControl w:val="0"/>
        <w:snapToGrid w:val="0"/>
        <w:spacing w:before="156" w:beforeLines="50" w:after="156" w:afterLines="50" w:line="440" w:lineRule="exact"/>
        <w:jc w:val="center"/>
        <w:outlineLvl w:val="1"/>
        <w:rPr>
          <w:rFonts w:hint="eastAsia" w:ascii="宋体"/>
          <w:b/>
          <w:color w:val="auto"/>
          <w:sz w:val="24"/>
          <w:szCs w:val="24"/>
          <w:highlight w:val="none"/>
        </w:rPr>
      </w:pPr>
      <w:bookmarkStart w:id="188" w:name="_Toc32210_WPSOffice_Level1"/>
      <w:bookmarkEnd w:id="188"/>
      <w:bookmarkStart w:id="189" w:name="_Toc14639"/>
      <w:bookmarkStart w:id="190" w:name="_Toc1284"/>
      <w:bookmarkStart w:id="191" w:name="_Toc22100_WPSOffice_Level2"/>
      <w:bookmarkStart w:id="192" w:name="_Toc831"/>
      <w:r>
        <w:rPr>
          <w:rFonts w:hint="eastAsia" w:ascii="宋体"/>
          <w:b/>
          <w:color w:val="auto"/>
          <w:sz w:val="24"/>
          <w:szCs w:val="24"/>
          <w:highlight w:val="none"/>
        </w:rPr>
        <w:t>三</w:t>
      </w:r>
      <w:r>
        <w:rPr>
          <w:rFonts w:hint="eastAsia" w:ascii="宋体"/>
          <w:b/>
          <w:color w:val="auto"/>
          <w:sz w:val="24"/>
          <w:szCs w:val="24"/>
          <w:highlight w:val="none"/>
          <w:lang w:eastAsia="zh-CN"/>
        </w:rPr>
        <w:t>、</w:t>
      </w:r>
      <w:r>
        <w:rPr>
          <w:rFonts w:hint="eastAsia" w:ascii="宋体"/>
          <w:b/>
          <w:color w:val="auto"/>
          <w:sz w:val="24"/>
          <w:szCs w:val="24"/>
          <w:highlight w:val="none"/>
        </w:rPr>
        <w:t>投标文件的澄清和补正</w:t>
      </w:r>
      <w:bookmarkEnd w:id="189"/>
      <w:bookmarkEnd w:id="190"/>
      <w:bookmarkEnd w:id="191"/>
      <w:bookmarkEnd w:id="192"/>
    </w:p>
    <w:p>
      <w:pPr>
        <w:widowControl w:val="0"/>
        <w:spacing w:line="440" w:lineRule="exact"/>
        <w:ind w:firstLine="420" w:firstLineChars="200"/>
        <w:textAlignment w:val="auto"/>
        <w:rPr>
          <w:rFonts w:hint="eastAsia" w:ascii="宋体" w:cs="宋体"/>
          <w:color w:val="auto"/>
          <w:szCs w:val="21"/>
          <w:highlight w:val="none"/>
        </w:rPr>
      </w:pPr>
      <w:r>
        <w:rPr>
          <w:rFonts w:hint="eastAsia" w:ascii="宋体" w:cs="宋体"/>
          <w:color w:val="auto"/>
          <w:szCs w:val="21"/>
          <w:highlight w:val="none"/>
        </w:rPr>
        <w:t>5.1评审阶段，评委可能会要求有关投标人就其投标书中含义不明确、同类问题表述不一致或者有明显文字和计算错误的内容进行澄清。对不同文字文本投标文件的解释发生异议的，以中文文字文本为准。</w:t>
      </w:r>
    </w:p>
    <w:p>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5.2投标人的澄清、说明或者补正应当采用书面形式，但不得超出投标书的范围或者改变投标书的实质性内容，并由其法定代表人或被授权的代表签字。</w:t>
      </w:r>
    </w:p>
    <w:p>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5.3评委会修正错误的原则：</w:t>
      </w:r>
    </w:p>
    <w:p>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5.3.1如果数字表示的金额和用文字表示的金额不一致时，以文字表示的金额为准；当投标数量与招标数量不一致时，以招标数量为准；当分项报价清单、投标函的总报价与开标一览表不一致时，以开标一览表为准。</w:t>
      </w:r>
    </w:p>
    <w:p>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5.3.2如果单价与数量的乘积和总价不一致，以单价为准，修正总价及开标一览表；当单价小数点有明显的错位时，评委会将以总价为准，并修正其单价；投标的数量与招标的数量不一致时，以招标数量为准。</w:t>
      </w:r>
    </w:p>
    <w:p>
      <w:pPr>
        <w:widowControl w:val="0"/>
        <w:spacing w:line="440" w:lineRule="exact"/>
        <w:ind w:firstLine="420" w:firstLineChars="200"/>
        <w:textAlignment w:val="auto"/>
        <w:rPr>
          <w:rFonts w:cs="宋体"/>
          <w:color w:val="auto"/>
          <w:szCs w:val="21"/>
          <w:highlight w:val="none"/>
        </w:rPr>
      </w:pPr>
      <w:r>
        <w:rPr>
          <w:rFonts w:hint="eastAsia" w:ascii="宋体" w:cs="宋体"/>
          <w:color w:val="auto"/>
          <w:szCs w:val="21"/>
          <w:highlight w:val="none"/>
        </w:rPr>
        <w:t xml:space="preserve"> 5.4评委会将按上述修正错误的方法调整投标文件中的投标报价，调整后的价格应对投标人具有约束力。无论投标人是接受或是拒绝调整后的价格，都应当由法定代表人（或委托代理人）签字予以书面确认。投标人拒绝对投标文件出现的错漏按上述原则进行修正、澄清、说明，评标委员会应当否决其投标。</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440" w:lineRule="exact"/>
        <w:jc w:val="center"/>
        <w:textAlignment w:val="auto"/>
        <w:outlineLvl w:val="1"/>
        <w:rPr>
          <w:rFonts w:hint="eastAsia" w:ascii="宋体" w:hAnsi="Times New Roman" w:eastAsia="宋体" w:cs="Times New Roman"/>
          <w:b/>
          <w:color w:val="auto"/>
          <w:sz w:val="24"/>
          <w:szCs w:val="24"/>
          <w:highlight w:val="none"/>
        </w:rPr>
      </w:pPr>
      <w:bookmarkStart w:id="193" w:name="_Toc9937"/>
      <w:bookmarkStart w:id="194" w:name="_Toc28492"/>
      <w:r>
        <w:rPr>
          <w:rFonts w:hint="eastAsia" w:ascii="宋体" w:hAnsi="Times New Roman" w:eastAsia="宋体" w:cs="Times New Roman"/>
          <w:b/>
          <w:color w:val="auto"/>
          <w:sz w:val="24"/>
          <w:szCs w:val="24"/>
          <w:highlight w:val="none"/>
        </w:rPr>
        <w:t>四</w:t>
      </w:r>
      <w:r>
        <w:rPr>
          <w:rFonts w:hint="eastAsia" w:ascii="宋体" w:hAnsi="Times New Roman" w:eastAsia="宋体" w:cs="Times New Roman"/>
          <w:b/>
          <w:color w:val="auto"/>
          <w:sz w:val="24"/>
          <w:szCs w:val="24"/>
          <w:highlight w:val="none"/>
          <w:lang w:eastAsia="zh-CN"/>
        </w:rPr>
        <w:t>、</w:t>
      </w:r>
      <w:r>
        <w:rPr>
          <w:rFonts w:hint="eastAsia" w:ascii="宋体" w:hAnsi="Times New Roman" w:eastAsia="宋体" w:cs="Times New Roman"/>
          <w:b/>
          <w:color w:val="auto"/>
          <w:sz w:val="24"/>
          <w:szCs w:val="24"/>
          <w:highlight w:val="none"/>
        </w:rPr>
        <w:t>比较与评价</w:t>
      </w:r>
      <w:bookmarkEnd w:id="193"/>
      <w:bookmarkEnd w:id="194"/>
    </w:p>
    <w:p>
      <w:pPr>
        <w:spacing w:line="400" w:lineRule="exact"/>
        <w:ind w:firstLine="422" w:firstLineChars="200"/>
        <w:rPr>
          <w:rFonts w:hint="eastAsia" w:ascii="宋体" w:hAnsi="宋体"/>
          <w:b/>
          <w:color w:val="auto"/>
          <w:szCs w:val="21"/>
          <w:highlight w:val="none"/>
        </w:rPr>
      </w:pPr>
      <w:bookmarkStart w:id="195" w:name="_Toc19726_WPSOffice_Level2"/>
      <w:bookmarkStart w:id="196" w:name="_Toc25521"/>
      <w:r>
        <w:rPr>
          <w:rFonts w:hint="eastAsia" w:ascii="宋体" w:hAnsi="宋体"/>
          <w:b/>
          <w:color w:val="auto"/>
          <w:szCs w:val="21"/>
          <w:highlight w:val="none"/>
        </w:rPr>
        <w:t>6. 详细评审即</w:t>
      </w:r>
      <w:r>
        <w:rPr>
          <w:rFonts w:ascii="宋体" w:hAnsi="宋体"/>
          <w:b/>
          <w:color w:val="auto"/>
          <w:szCs w:val="21"/>
          <w:highlight w:val="none"/>
        </w:rPr>
        <w:t>按招标文件中规定的评标方法和标准，</w:t>
      </w:r>
      <w:r>
        <w:rPr>
          <w:rFonts w:hint="eastAsia" w:ascii="宋体" w:hAnsi="宋体"/>
          <w:b/>
          <w:color w:val="auto"/>
          <w:szCs w:val="21"/>
          <w:highlight w:val="none"/>
        </w:rPr>
        <w:t>评标委员会将</w:t>
      </w:r>
      <w:r>
        <w:rPr>
          <w:rFonts w:ascii="宋体" w:hAnsi="宋体"/>
          <w:b/>
          <w:color w:val="auto"/>
          <w:szCs w:val="21"/>
          <w:highlight w:val="none"/>
        </w:rPr>
        <w:t>对</w:t>
      </w:r>
      <w:r>
        <w:rPr>
          <w:rFonts w:hint="eastAsia" w:ascii="宋体" w:hAnsi="宋体"/>
          <w:b/>
          <w:color w:val="auto"/>
          <w:szCs w:val="21"/>
          <w:highlight w:val="none"/>
        </w:rPr>
        <w:t>通过初审</w:t>
      </w:r>
      <w:r>
        <w:rPr>
          <w:rFonts w:ascii="宋体" w:hAnsi="宋体"/>
          <w:b/>
          <w:color w:val="auto"/>
          <w:szCs w:val="21"/>
          <w:highlight w:val="none"/>
        </w:rPr>
        <w:t>的投标</w:t>
      </w:r>
      <w:r>
        <w:rPr>
          <w:rFonts w:hint="eastAsia" w:ascii="宋体" w:hAnsi="宋体"/>
          <w:b/>
          <w:color w:val="auto"/>
          <w:szCs w:val="21"/>
          <w:highlight w:val="none"/>
        </w:rPr>
        <w:t>文件，</w:t>
      </w:r>
      <w:r>
        <w:rPr>
          <w:rFonts w:ascii="宋体" w:hAnsi="宋体"/>
          <w:b/>
          <w:color w:val="auto"/>
          <w:szCs w:val="21"/>
          <w:highlight w:val="none"/>
        </w:rPr>
        <w:t>进行</w:t>
      </w:r>
      <w:r>
        <w:rPr>
          <w:rFonts w:hint="eastAsia" w:ascii="宋体" w:hAnsi="宋体"/>
          <w:b/>
          <w:color w:val="auto"/>
          <w:szCs w:val="21"/>
          <w:highlight w:val="none"/>
        </w:rPr>
        <w:t>商务报价评审，</w:t>
      </w:r>
      <w:r>
        <w:rPr>
          <w:rFonts w:ascii="宋体" w:hAnsi="宋体"/>
          <w:b/>
          <w:color w:val="auto"/>
          <w:szCs w:val="21"/>
          <w:highlight w:val="none"/>
        </w:rPr>
        <w:t>综合比较与评价</w:t>
      </w:r>
      <w:r>
        <w:rPr>
          <w:rFonts w:hint="eastAsia" w:ascii="宋体" w:hAnsi="宋体"/>
          <w:b/>
          <w:color w:val="auto"/>
          <w:szCs w:val="21"/>
          <w:highlight w:val="none"/>
        </w:rPr>
        <w:t>。</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w:t>
      </w:r>
      <w:r>
        <w:rPr>
          <w:rFonts w:hint="eastAsia" w:ascii="宋体" w:hAnsi="宋体"/>
          <w:color w:val="auto"/>
          <w:szCs w:val="21"/>
          <w:highlight w:val="none"/>
        </w:rPr>
        <w:t>商务标评审</w:t>
      </w:r>
    </w:p>
    <w:p>
      <w:pPr>
        <w:snapToGrid w:val="0"/>
        <w:spacing w:line="44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.1.1</w:t>
      </w:r>
      <w:r>
        <w:rPr>
          <w:rFonts w:hint="eastAsia" w:ascii="宋体" w:hAnsi="宋体"/>
          <w:color w:val="auto"/>
          <w:szCs w:val="21"/>
          <w:highlight w:val="none"/>
        </w:rPr>
        <w:t>如评标委员会认为，投标人的报价明显低于其他通过符合性审查投标人的报价，有可能影响产品质量和不能诚信履约的，应当要求其在评标现场合理的时间内提供书面说明，必要时提交相关证明材料；投标人不能证明其报价合理性的，评标委员会应当将其作为无效投标处理。</w:t>
      </w:r>
    </w:p>
    <w:p>
      <w:pPr>
        <w:spacing w:line="360" w:lineRule="exact"/>
        <w:ind w:firstLine="421"/>
        <w:rPr>
          <w:rFonts w:ascii="宋体" w:hAnsi="宋体"/>
          <w:b/>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1.2</w:t>
      </w:r>
      <w:r>
        <w:rPr>
          <w:rFonts w:hint="eastAsia" w:ascii="宋体" w:hAnsi="宋体"/>
          <w:color w:val="auto"/>
          <w:szCs w:val="21"/>
          <w:highlight w:val="none"/>
        </w:rPr>
        <w:t>评标委员会按修正后按投标报价由低到高顺序排序，确定中标候选人。</w:t>
      </w:r>
    </w:p>
    <w:p>
      <w:pPr>
        <w:keepNext w:val="0"/>
        <w:keepLines w:val="0"/>
        <w:pageBreakBefore w:val="0"/>
        <w:widowControl w:val="0"/>
        <w:kinsoku/>
        <w:wordWrap/>
        <w:overflowPunct/>
        <w:topLinePunct w:val="0"/>
        <w:autoSpaceDE/>
        <w:autoSpaceDN/>
        <w:bidi w:val="0"/>
        <w:adjustRightInd/>
        <w:snapToGrid w:val="0"/>
        <w:spacing w:before="156" w:beforeLines="50" w:after="156" w:afterLines="50" w:line="440" w:lineRule="exact"/>
        <w:jc w:val="center"/>
        <w:textAlignment w:val="auto"/>
        <w:outlineLvl w:val="1"/>
        <w:rPr>
          <w:rFonts w:hint="eastAsia" w:ascii="宋体"/>
          <w:b/>
          <w:color w:val="auto"/>
          <w:sz w:val="24"/>
          <w:szCs w:val="24"/>
          <w:highlight w:val="none"/>
        </w:rPr>
      </w:pPr>
      <w:bookmarkStart w:id="197" w:name="_Toc16365"/>
      <w:bookmarkStart w:id="198" w:name="_Toc3737"/>
      <w:r>
        <w:rPr>
          <w:rFonts w:hint="eastAsia" w:ascii="宋体"/>
          <w:b/>
          <w:color w:val="auto"/>
          <w:sz w:val="24"/>
          <w:szCs w:val="24"/>
          <w:highlight w:val="none"/>
        </w:rPr>
        <w:t>五  推荐中标候选人</w:t>
      </w:r>
      <w:bookmarkEnd w:id="195"/>
      <w:bookmarkEnd w:id="196"/>
      <w:bookmarkEnd w:id="197"/>
      <w:bookmarkEnd w:id="198"/>
    </w:p>
    <w:p>
      <w:pPr>
        <w:spacing w:line="400" w:lineRule="exact"/>
        <w:ind w:firstLine="417" w:firstLineChars="198"/>
        <w:rPr>
          <w:rFonts w:hint="eastAsia" w:ascii="宋体" w:hAnsi="宋体" w:eastAsia="宋体" w:cs="Times New Roman"/>
          <w:b/>
          <w:color w:val="auto"/>
          <w:szCs w:val="21"/>
          <w:highlight w:val="none"/>
        </w:rPr>
      </w:pPr>
      <w:bookmarkStart w:id="199" w:name="_Toc267320058"/>
      <w:r>
        <w:rPr>
          <w:rFonts w:hint="eastAsia" w:ascii="宋体" w:hAnsi="宋体" w:eastAsia="宋体" w:cs="Times New Roman"/>
          <w:b/>
          <w:color w:val="auto"/>
          <w:szCs w:val="21"/>
          <w:highlight w:val="none"/>
        </w:rPr>
        <w:t>7. 评标委员会根据第二章投标人须知及前附表的规定数量推荐中标候选人，并标明排序。</w:t>
      </w:r>
    </w:p>
    <w:p>
      <w:pPr>
        <w:snapToGrid w:val="0"/>
        <w:spacing w:line="400" w:lineRule="exact"/>
        <w:ind w:firstLine="420" w:firstLineChars="200"/>
        <w:rPr>
          <w:rFonts w:hint="eastAsia" w:ascii="宋体"/>
          <w:color w:val="auto"/>
          <w:szCs w:val="21"/>
          <w:highlight w:val="none"/>
        </w:rPr>
      </w:pPr>
      <w:r>
        <w:rPr>
          <w:rFonts w:hint="eastAsia" w:ascii="宋体" w:hAnsi="宋体"/>
          <w:color w:val="auto"/>
          <w:szCs w:val="21"/>
          <w:highlight w:val="none"/>
        </w:rPr>
        <w:t>7.1如出现报价相同</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开票税率也相同的</w:t>
      </w:r>
      <w:r>
        <w:rPr>
          <w:rFonts w:hint="eastAsia" w:ascii="宋体" w:hAnsi="宋体"/>
          <w:color w:val="auto"/>
          <w:szCs w:val="21"/>
          <w:highlight w:val="none"/>
        </w:rPr>
        <w:t>情况</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则</w:t>
      </w:r>
      <w:r>
        <w:rPr>
          <w:rFonts w:hint="eastAsia" w:ascii="宋体" w:hAnsi="宋体"/>
          <w:color w:val="auto"/>
          <w:szCs w:val="21"/>
          <w:highlight w:val="none"/>
          <w:lang w:eastAsia="zh-CN"/>
        </w:rPr>
        <w:t>招标人</w:t>
      </w:r>
      <w:r>
        <w:rPr>
          <w:rFonts w:hint="eastAsia" w:ascii="宋体" w:hAnsi="宋体"/>
          <w:color w:val="auto"/>
          <w:szCs w:val="21"/>
          <w:highlight w:val="none"/>
        </w:rPr>
        <w:t>现场抽签确定中标候选人排名顺序。</w:t>
      </w:r>
    </w:p>
    <w:p>
      <w:pPr>
        <w:snapToGrid w:val="0"/>
        <w:spacing w:line="440" w:lineRule="exact"/>
        <w:ind w:firstLine="422" w:firstLineChars="200"/>
        <w:rPr>
          <w:rFonts w:hint="eastAsia" w:ascii="黑体" w:eastAsia="黑体" w:cs="宋体"/>
          <w:color w:val="auto"/>
          <w:szCs w:val="21"/>
          <w:highlight w:val="none"/>
        </w:rPr>
      </w:pPr>
      <w:r>
        <w:rPr>
          <w:rFonts w:hint="eastAsia" w:ascii="黑体" w:eastAsia="黑体" w:cs="宋体"/>
          <w:b/>
          <w:color w:val="auto"/>
          <w:szCs w:val="21"/>
          <w:highlight w:val="none"/>
        </w:rPr>
        <w:t>8.</w:t>
      </w:r>
      <w:bookmarkEnd w:id="199"/>
      <w:r>
        <w:rPr>
          <w:rFonts w:hint="eastAsia" w:ascii="黑体" w:eastAsia="黑体" w:cs="宋体"/>
          <w:b/>
          <w:color w:val="auto"/>
          <w:szCs w:val="21"/>
          <w:highlight w:val="none"/>
        </w:rPr>
        <w:t>无效投标条款</w:t>
      </w:r>
    </w:p>
    <w:p>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p>
    <w:p>
      <w:pPr>
        <w:spacing w:line="400" w:lineRule="exact"/>
        <w:ind w:firstLine="420" w:firstLineChars="200"/>
        <w:rPr>
          <w:rFonts w:hint="eastAsia" w:ascii="宋体"/>
          <w:color w:val="auto"/>
          <w:szCs w:val="21"/>
          <w:highlight w:val="none"/>
        </w:rPr>
      </w:pPr>
      <w:r>
        <w:rPr>
          <w:rFonts w:hint="eastAsia" w:ascii="宋体" w:hAnsi="宋体" w:cs="宋体"/>
          <w:color w:val="auto"/>
          <w:szCs w:val="21"/>
          <w:highlight w:val="none"/>
        </w:rPr>
        <w:t xml:space="preserve"> </w:t>
      </w:r>
      <w:r>
        <w:rPr>
          <w:rFonts w:hint="eastAsia" w:ascii="宋体"/>
          <w:color w:val="auto"/>
          <w:szCs w:val="21"/>
          <w:highlight w:val="none"/>
        </w:rPr>
        <w:t>(1) 逾期送达的或者未送达指定地点的投标文件的，投标将被拒绝。</w:t>
      </w:r>
    </w:p>
    <w:p>
      <w:pPr>
        <w:spacing w:line="400" w:lineRule="exact"/>
        <w:ind w:firstLine="420" w:firstLineChars="200"/>
        <w:rPr>
          <w:rFonts w:hint="eastAsia" w:ascii="宋体"/>
          <w:color w:val="auto"/>
          <w:szCs w:val="21"/>
          <w:highlight w:val="none"/>
        </w:rPr>
      </w:pPr>
      <w:r>
        <w:rPr>
          <w:rFonts w:hint="eastAsia" w:ascii="宋体"/>
          <w:color w:val="auto"/>
          <w:szCs w:val="21"/>
          <w:highlight w:val="none"/>
        </w:rPr>
        <w:t>（2）未按第二章</w:t>
      </w:r>
      <w:r>
        <w:rPr>
          <w:rFonts w:hint="eastAsia" w:ascii="宋体"/>
          <w:color w:val="auto"/>
          <w:szCs w:val="21"/>
          <w:highlight w:val="none"/>
          <w:lang w:val="en-US" w:eastAsia="zh-CN"/>
        </w:rPr>
        <w:t>“</w:t>
      </w:r>
      <w:r>
        <w:rPr>
          <w:rFonts w:hint="eastAsia" w:ascii="宋体"/>
          <w:color w:val="auto"/>
          <w:szCs w:val="21"/>
          <w:highlight w:val="none"/>
          <w:lang w:eastAsia="zh-CN"/>
        </w:rPr>
        <w:t>（</w:t>
      </w:r>
      <w:r>
        <w:rPr>
          <w:rFonts w:hint="eastAsia" w:ascii="宋体"/>
          <w:color w:val="auto"/>
          <w:szCs w:val="21"/>
          <w:highlight w:val="none"/>
          <w:lang w:val="en-US" w:eastAsia="zh-CN"/>
        </w:rPr>
        <w:t>四</w:t>
      </w:r>
      <w:r>
        <w:rPr>
          <w:rFonts w:hint="eastAsia" w:ascii="宋体"/>
          <w:color w:val="auto"/>
          <w:szCs w:val="21"/>
          <w:highlight w:val="none"/>
          <w:lang w:eastAsia="zh-CN"/>
        </w:rPr>
        <w:t>）</w:t>
      </w:r>
      <w:r>
        <w:rPr>
          <w:rFonts w:hint="eastAsia" w:ascii="宋体"/>
          <w:color w:val="auto"/>
          <w:szCs w:val="21"/>
          <w:highlight w:val="none"/>
          <w:lang w:val="en-US" w:eastAsia="zh-CN"/>
        </w:rPr>
        <w:t>投标文件的密封和递交”</w:t>
      </w:r>
      <w:r>
        <w:rPr>
          <w:rFonts w:hint="eastAsia" w:ascii="宋体"/>
          <w:color w:val="auto"/>
          <w:szCs w:val="21"/>
          <w:highlight w:val="none"/>
        </w:rPr>
        <w:t>中要求密封和加写标记的投标文件，其投标文件将被拒收。</w:t>
      </w:r>
    </w:p>
    <w:p>
      <w:pPr>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8.2</w:t>
      </w:r>
      <w:r>
        <w:rPr>
          <w:rFonts w:hint="eastAsia" w:ascii="宋体"/>
          <w:color w:val="auto"/>
          <w:szCs w:val="21"/>
          <w:highlight w:val="none"/>
        </w:rPr>
        <w:t>投标人</w:t>
      </w:r>
      <w:r>
        <w:rPr>
          <w:rFonts w:hint="eastAsia" w:ascii="宋体" w:hAnsi="宋体" w:cs="宋体"/>
          <w:color w:val="auto"/>
          <w:szCs w:val="21"/>
          <w:highlight w:val="none"/>
        </w:rPr>
        <w:t>有下列情形之一的</w:t>
      </w:r>
      <w:r>
        <w:rPr>
          <w:rFonts w:hint="eastAsia" w:ascii="宋体" w:hAnsi="宋体" w:cs="宋体"/>
          <w:color w:val="auto"/>
          <w:szCs w:val="21"/>
          <w:highlight w:val="none"/>
          <w:lang w:eastAsia="zh-CN"/>
        </w:rPr>
        <w:t>，</w:t>
      </w:r>
      <w:r>
        <w:rPr>
          <w:rFonts w:hint="eastAsia" w:ascii="宋体"/>
          <w:color w:val="auto"/>
          <w:szCs w:val="21"/>
          <w:highlight w:val="none"/>
        </w:rPr>
        <w:t>资格审查后其投标作无效投标处理：</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法定代表人（或授权委托人）未准时参加会议；</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法定代表人参加开标会议未携带有效的法定代表人身份证明原件和本人身份证的；委托代理人参加开标会议未携带有效的法定代表人授权书和本人身份证；</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投标人为本项目提供招标代理服务的；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投标人与在</w:t>
      </w:r>
      <w:r>
        <w:rPr>
          <w:rFonts w:hint="eastAsia" w:ascii="宋体"/>
          <w:color w:val="auto"/>
          <w:szCs w:val="21"/>
          <w:highlight w:val="none"/>
          <w:lang w:val="en-US" w:eastAsia="zh-CN"/>
        </w:rPr>
        <w:t>发包人</w:t>
      </w:r>
      <w:r>
        <w:rPr>
          <w:rFonts w:hint="eastAsia" w:ascii="宋体"/>
          <w:color w:val="auto"/>
          <w:szCs w:val="21"/>
          <w:highlight w:val="none"/>
        </w:rPr>
        <w:t>存在相互任职或工作的；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olor w:val="auto"/>
          <w:szCs w:val="21"/>
          <w:highlight w:val="none"/>
        </w:rPr>
        <w:t>被暂停停业的；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被暂停或取消投标资格的；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财产被接管或冻结的；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投标人单位负责人为同一人或者存在控股、管理关系的不同单位的；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投标人基本资格条件和特定资格条件中有一项及以上不符合要求的；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其它情形，经评标委员会委提出按无效投标处理，并经采购单位核准的；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11</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8.3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符合性审查后其投标按无效投标处理：</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投标文件签字、盖章不全，经评标委员会一致认定对开评标内容有实质性影响并经</w:t>
      </w:r>
      <w:r>
        <w:rPr>
          <w:rFonts w:hint="eastAsia" w:ascii="宋体"/>
          <w:color w:val="auto"/>
          <w:szCs w:val="21"/>
          <w:highlight w:val="none"/>
          <w:lang w:eastAsia="zh-CN"/>
        </w:rPr>
        <w:t>招标人</w:t>
      </w:r>
      <w:r>
        <w:rPr>
          <w:rFonts w:hint="eastAsia" w:ascii="宋体"/>
          <w:color w:val="auto"/>
          <w:szCs w:val="21"/>
          <w:highlight w:val="none"/>
        </w:rPr>
        <w:t>核准的；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未按规定的格式填写，实质性内容不全或关键字迹模糊、无法辨认</w:t>
      </w:r>
      <w:r>
        <w:rPr>
          <w:rFonts w:hint="eastAsia" w:ascii="宋体"/>
          <w:color w:val="auto"/>
          <w:szCs w:val="21"/>
          <w:highlight w:val="none"/>
          <w:lang w:eastAsia="zh-CN"/>
        </w:rPr>
        <w:t>；</w:t>
      </w:r>
      <w:r>
        <w:rPr>
          <w:rFonts w:hint="eastAsia" w:ascii="宋体"/>
          <w:color w:val="auto"/>
          <w:szCs w:val="21"/>
          <w:highlight w:val="none"/>
        </w:rPr>
        <w:t xml:space="preserve"> 经采购单位核准的；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同一投标人提交两个以上不同的投标文件或者投标报价，但招标文件规定提交备选方案的除外；</w:t>
      </w:r>
    </w:p>
    <w:p>
      <w:pPr>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投标文件没有对招标文件的实质性要求和条件作出响应；</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hAnsi="宋体" w:cs="宋体"/>
          <w:color w:val="auto"/>
          <w:szCs w:val="21"/>
          <w:highlight w:val="none"/>
        </w:rPr>
        <w:t>投标报价超出规定的投标限价或公布的采购预算的或投标人的投标报价各项单价高于招标文件给定的单价最高限价</w:t>
      </w:r>
      <w:r>
        <w:rPr>
          <w:rFonts w:hint="eastAsia" w:ascii="宋体"/>
          <w:color w:val="auto"/>
          <w:szCs w:val="21"/>
          <w:highlight w:val="none"/>
        </w:rPr>
        <w:t>；</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不按评标委员会要求澄清、说明或补正的，或者评标委员会根据招标文件的规定对招标文件的计算错误进行修正后，投标人不接受修正的投标报价的。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其它情形，经评标委员会委提出按无效投标处理，并经采购单位核准的；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未按照招标文件的规定提交投标保证金的；</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投标文件含有</w:t>
      </w:r>
      <w:r>
        <w:rPr>
          <w:rFonts w:hint="eastAsia" w:ascii="宋体"/>
          <w:color w:val="auto"/>
          <w:szCs w:val="21"/>
          <w:highlight w:val="none"/>
          <w:lang w:eastAsia="zh-CN"/>
        </w:rPr>
        <w:t>招标人</w:t>
      </w:r>
      <w:r>
        <w:rPr>
          <w:rFonts w:hint="eastAsia" w:ascii="宋体"/>
          <w:color w:val="auto"/>
          <w:szCs w:val="21"/>
          <w:highlight w:val="none"/>
        </w:rPr>
        <w:t>不能接受的附加条件的</w:t>
      </w:r>
      <w:r>
        <w:rPr>
          <w:rFonts w:hint="eastAsia" w:ascii="宋体"/>
          <w:color w:val="auto"/>
          <w:szCs w:val="21"/>
          <w:highlight w:val="none"/>
          <w:lang w:eastAsia="zh-CN"/>
        </w:rPr>
        <w:t>；</w:t>
      </w:r>
    </w:p>
    <w:p>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pPr>
        <w:tabs>
          <w:tab w:val="left" w:pos="8820"/>
        </w:tabs>
        <w:snapToGrid w:val="0"/>
        <w:spacing w:line="400" w:lineRule="exact"/>
        <w:ind w:firstLine="420" w:firstLineChars="200"/>
        <w:rPr>
          <w:rFonts w:ascii="宋体"/>
          <w:color w:val="auto"/>
          <w:szCs w:val="21"/>
          <w:highlight w:val="none"/>
        </w:rPr>
      </w:pPr>
      <w:r>
        <w:rPr>
          <w:rFonts w:hint="eastAsia" w:ascii="宋体" w:hAnsi="宋体" w:cs="宋体"/>
          <w:color w:val="auto"/>
          <w:szCs w:val="21"/>
          <w:highlight w:val="none"/>
        </w:rPr>
        <w:t xml:space="preserve">8.4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 xml:space="preserve"> 详细评审后其投标按无效投标处理：</w:t>
      </w:r>
    </w:p>
    <w:p>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投标产品不符合必须强制执行的国家标准的；</w:t>
      </w:r>
    </w:p>
    <w:p>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投标人有串通投标、弄虚作假、行贿等违法行为；</w:t>
      </w:r>
    </w:p>
    <w:p>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投标文件含有违反国家法律、法规的内容，或附有</w:t>
      </w:r>
      <w:r>
        <w:rPr>
          <w:rFonts w:hint="eastAsia" w:ascii="宋体"/>
          <w:color w:val="auto"/>
          <w:szCs w:val="21"/>
          <w:highlight w:val="none"/>
          <w:lang w:eastAsia="zh-CN"/>
        </w:rPr>
        <w:t>招标人</w:t>
      </w:r>
      <w:r>
        <w:rPr>
          <w:rFonts w:hint="eastAsia" w:ascii="宋体"/>
          <w:color w:val="auto"/>
          <w:szCs w:val="21"/>
          <w:highlight w:val="none"/>
        </w:rPr>
        <w:t>不能接受的条件的；</w:t>
      </w:r>
    </w:p>
    <w:p>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在同一项目（或同一标段）中有多个投标人有效投标报价接近最高限价，且评标委员会认为报价出现异常的，可以宣布其投标无效；</w:t>
      </w:r>
    </w:p>
    <w:p>
      <w:pPr>
        <w:tabs>
          <w:tab w:val="left" w:pos="8820"/>
        </w:tabs>
        <w:snapToGrid w:val="0"/>
        <w:spacing w:line="400" w:lineRule="exact"/>
        <w:ind w:firstLine="420" w:firstLineChars="200"/>
        <w:rPr>
          <w:rFonts w:ascii="宋体" w:cs="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s="宋体"/>
          <w:color w:val="auto"/>
          <w:szCs w:val="21"/>
          <w:highlight w:val="none"/>
        </w:rPr>
        <w:t>报价明显低于其他投标人，且不能证明报价合理性的投标无效；</w:t>
      </w:r>
    </w:p>
    <w:p>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拒不确认评标委员会评审修正的投标无效；</w:t>
      </w:r>
    </w:p>
    <w:p>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其它情形，经评标委员会委提出按无效投标处理，并经</w:t>
      </w:r>
      <w:r>
        <w:rPr>
          <w:rFonts w:hint="eastAsia" w:ascii="宋体"/>
          <w:color w:val="auto"/>
          <w:szCs w:val="21"/>
          <w:highlight w:val="none"/>
          <w:lang w:eastAsia="zh-CN"/>
        </w:rPr>
        <w:t>招标人</w:t>
      </w:r>
      <w:r>
        <w:rPr>
          <w:rFonts w:hint="eastAsia" w:ascii="宋体"/>
          <w:color w:val="auto"/>
          <w:szCs w:val="21"/>
          <w:highlight w:val="none"/>
        </w:rPr>
        <w:t>核准的；</w:t>
      </w:r>
    </w:p>
    <w:p>
      <w:pPr>
        <w:tabs>
          <w:tab w:val="left" w:pos="8820"/>
        </w:tabs>
        <w:snapToGrid w:val="0"/>
        <w:spacing w:line="400" w:lineRule="exact"/>
        <w:ind w:firstLine="420" w:firstLineChars="200"/>
        <w:rPr>
          <w:rFonts w:hint="eastAsia" w:ascii="宋体" w:hAnsi="宋体" w:eastAsia="宋体"/>
          <w:b/>
          <w:color w:val="auto"/>
          <w:szCs w:val="21"/>
          <w:highlight w:val="none"/>
          <w:lang w:eastAsia="zh-CN"/>
        </w:rPr>
        <w:sectPr>
          <w:footerReference r:id="rId6" w:type="default"/>
          <w:pgSz w:w="11906" w:h="16838"/>
          <w:pgMar w:top="1091" w:right="1469" w:bottom="1021" w:left="1843" w:header="284" w:footer="680" w:gutter="0"/>
          <w:pgNumType w:fmt="decimal" w:start="1"/>
          <w:cols w:space="720" w:num="1"/>
          <w:docGrid w:type="lines" w:linePitch="312" w:charSpace="0"/>
        </w:sect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w:t>
      </w:r>
      <w:r>
        <w:rPr>
          <w:rFonts w:hint="eastAsia" w:ascii="宋体"/>
          <w:color w:val="auto"/>
          <w:szCs w:val="21"/>
          <w:highlight w:val="none"/>
          <w:lang w:val="en-US" w:eastAsia="zh-CN"/>
        </w:rPr>
        <w:t>情形。</w:t>
      </w:r>
    </w:p>
    <w:bookmarkEnd w:id="0"/>
    <w:bookmarkEnd w:id="177"/>
    <w:p>
      <w:pPr>
        <w:pStyle w:val="6"/>
        <w:spacing w:line="400" w:lineRule="exact"/>
        <w:rPr>
          <w:rFonts w:hint="eastAsia"/>
          <w:color w:val="auto"/>
          <w:highlight w:val="none"/>
        </w:rPr>
      </w:pPr>
      <w:bookmarkStart w:id="200" w:name="_Toc18176"/>
      <w:bookmarkStart w:id="201" w:name="_Toc22160"/>
      <w:bookmarkStart w:id="202" w:name="_Toc35549383"/>
      <w:r>
        <w:rPr>
          <w:rFonts w:hint="eastAsia"/>
          <w:color w:val="auto"/>
          <w:highlight w:val="none"/>
        </w:rPr>
        <w:t>第四章</w:t>
      </w:r>
      <w:r>
        <w:rPr>
          <w:rFonts w:hint="eastAsia"/>
          <w:color w:val="auto"/>
          <w:highlight w:val="none"/>
          <w:lang w:val="en-US" w:eastAsia="zh-CN"/>
        </w:rPr>
        <w:t xml:space="preserve"> </w:t>
      </w:r>
      <w:r>
        <w:rPr>
          <w:rFonts w:hint="eastAsia"/>
          <w:color w:val="auto"/>
          <w:highlight w:val="none"/>
        </w:rPr>
        <w:t xml:space="preserve"> 采购需求及技术参数要求</w:t>
      </w:r>
      <w:bookmarkEnd w:id="200"/>
    </w:p>
    <w:p>
      <w:pPr>
        <w:spacing w:line="400" w:lineRule="exact"/>
        <w:ind w:firstLine="422" w:firstLineChars="200"/>
        <w:jc w:val="left"/>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一、采购需求</w:t>
      </w:r>
    </w:p>
    <w:p>
      <w:pPr>
        <w:spacing w:line="400" w:lineRule="exact"/>
        <w:ind w:firstLine="420" w:firstLineChars="200"/>
        <w:jc w:val="left"/>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滁州滁能热电有限公司</w:t>
      </w:r>
      <w:r>
        <w:rPr>
          <w:rFonts w:hint="eastAsia" w:cs="Times New Roman"/>
          <w:color w:val="auto"/>
          <w:highlight w:val="none"/>
          <w:lang w:val="en-US" w:eastAsia="zh-CN"/>
        </w:rPr>
        <w:t>拟转让</w:t>
      </w:r>
      <w:r>
        <w:rPr>
          <w:rFonts w:hint="eastAsia" w:ascii="Times New Roman" w:hAnsi="Times New Roman" w:eastAsia="宋体" w:cs="Times New Roman"/>
          <w:color w:val="auto"/>
          <w:highlight w:val="none"/>
          <w:lang w:val="en-US" w:eastAsia="zh-CN"/>
        </w:rPr>
        <w:t>滁能热电（全椒）有限公司</w:t>
      </w:r>
      <w:r>
        <w:rPr>
          <w:rFonts w:hint="eastAsia" w:cs="Times New Roman"/>
          <w:color w:val="auto"/>
          <w:highlight w:val="none"/>
          <w:lang w:val="en-US" w:eastAsia="zh-CN"/>
        </w:rPr>
        <w:t>的股权，需对滁能热电（全椒）有限公司的净资产进行审计并对股权价值进行评估。截至2023年9</w:t>
      </w:r>
      <w:r>
        <w:rPr>
          <w:rFonts w:hint="eastAsia" w:ascii="Times New Roman" w:hAnsi="Times New Roman" w:eastAsia="宋体" w:cs="Times New Roman"/>
          <w:color w:val="auto"/>
          <w:highlight w:val="none"/>
          <w:lang w:val="en-US" w:eastAsia="zh-CN"/>
        </w:rPr>
        <w:t>月3</w:t>
      </w:r>
      <w:r>
        <w:rPr>
          <w:rFonts w:hint="eastAsia" w:cs="Times New Roman"/>
          <w:color w:val="auto"/>
          <w:highlight w:val="none"/>
          <w:lang w:val="en-US" w:eastAsia="zh-CN"/>
        </w:rPr>
        <w:t>0</w:t>
      </w:r>
      <w:r>
        <w:rPr>
          <w:rFonts w:hint="eastAsia" w:ascii="Times New Roman" w:hAnsi="Times New Roman" w:eastAsia="宋体" w:cs="Times New Roman"/>
          <w:color w:val="auto"/>
          <w:highlight w:val="none"/>
          <w:lang w:val="en-US" w:eastAsia="zh-CN"/>
        </w:rPr>
        <w:t>日，滁能热电（全椒）有限公司营业收入</w:t>
      </w:r>
      <w:r>
        <w:rPr>
          <w:rFonts w:hint="eastAsia" w:cs="Times New Roman"/>
          <w:color w:val="auto"/>
          <w:highlight w:val="none"/>
          <w:lang w:val="en-US" w:eastAsia="zh-CN"/>
        </w:rPr>
        <w:t>439</w:t>
      </w:r>
      <w:r>
        <w:rPr>
          <w:rFonts w:hint="eastAsia" w:ascii="Times New Roman" w:hAnsi="Times New Roman" w:eastAsia="宋体" w:cs="Times New Roman"/>
          <w:color w:val="auto"/>
          <w:highlight w:val="none"/>
          <w:lang w:val="en-US" w:eastAsia="zh-CN"/>
        </w:rPr>
        <w:t>万元</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资产总额</w:t>
      </w:r>
      <w:r>
        <w:rPr>
          <w:rFonts w:hint="eastAsia" w:cs="Times New Roman"/>
          <w:color w:val="auto"/>
          <w:highlight w:val="none"/>
          <w:lang w:val="en-US" w:eastAsia="zh-CN"/>
        </w:rPr>
        <w:t>7578</w:t>
      </w:r>
      <w:r>
        <w:rPr>
          <w:rFonts w:hint="eastAsia" w:ascii="Times New Roman" w:hAnsi="Times New Roman" w:eastAsia="宋体" w:cs="Times New Roman"/>
          <w:color w:val="auto"/>
          <w:highlight w:val="none"/>
          <w:lang w:val="en-US" w:eastAsia="zh-CN"/>
        </w:rPr>
        <w:t>万元</w:t>
      </w:r>
      <w:r>
        <w:rPr>
          <w:rFonts w:hint="eastAsia" w:cs="Times New Roman"/>
          <w:color w:val="auto"/>
          <w:highlight w:val="none"/>
          <w:lang w:val="en-US" w:eastAsia="zh-CN"/>
        </w:rPr>
        <w:t>、净资产2604万元，下有三个子公司，详细财务报表与资产清单待中标后由招标人提供。</w:t>
      </w:r>
    </w:p>
    <w:p>
      <w:pPr>
        <w:spacing w:line="400" w:lineRule="exact"/>
        <w:ind w:firstLine="420" w:firstLineChars="200"/>
        <w:jc w:val="left"/>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滁州滁能热电有限公司拟</w:t>
      </w:r>
      <w:r>
        <w:rPr>
          <w:rFonts w:hint="eastAsia" w:ascii="Times New Roman" w:hAnsi="Times New Roman" w:eastAsia="宋体" w:cs="Times New Roman"/>
          <w:color w:val="auto"/>
          <w:highlight w:val="none"/>
          <w:lang w:val="en-US" w:eastAsia="zh-CN"/>
        </w:rPr>
        <w:t>转让</w:t>
      </w:r>
      <w:r>
        <w:rPr>
          <w:rFonts w:hint="default" w:ascii="Times New Roman" w:hAnsi="Times New Roman" w:eastAsia="宋体" w:cs="Times New Roman"/>
          <w:color w:val="auto"/>
          <w:highlight w:val="none"/>
          <w:lang w:val="en-US" w:eastAsia="zh-CN"/>
        </w:rPr>
        <w:t>安徽润森生物质科技有限公司的股权</w:t>
      </w:r>
      <w:r>
        <w:rPr>
          <w:rFonts w:hint="eastAsia" w:ascii="Times New Roman" w:hAnsi="Times New Roman" w:eastAsia="宋体" w:cs="Times New Roman"/>
          <w:color w:val="auto"/>
          <w:highlight w:val="none"/>
          <w:lang w:val="en-US" w:eastAsia="zh-CN"/>
        </w:rPr>
        <w:t>，需对安徽润森生物质科技有限公司的净资产进行审计并对股权价值进行评估</w:t>
      </w:r>
      <w:r>
        <w:rPr>
          <w:rFonts w:hint="eastAsia" w:cs="Times New Roman"/>
          <w:color w:val="auto"/>
          <w:highlight w:val="none"/>
          <w:lang w:val="en-US" w:eastAsia="zh-CN"/>
        </w:rPr>
        <w:t>，截至2023年9</w:t>
      </w:r>
      <w:r>
        <w:rPr>
          <w:rFonts w:hint="eastAsia" w:ascii="Times New Roman" w:hAnsi="Times New Roman" w:eastAsia="宋体" w:cs="Times New Roman"/>
          <w:color w:val="auto"/>
          <w:highlight w:val="none"/>
          <w:lang w:val="en-US" w:eastAsia="zh-CN"/>
        </w:rPr>
        <w:t>月3</w:t>
      </w:r>
      <w:r>
        <w:rPr>
          <w:rFonts w:hint="eastAsia" w:cs="Times New Roman"/>
          <w:color w:val="auto"/>
          <w:highlight w:val="none"/>
          <w:lang w:val="en-US" w:eastAsia="zh-CN"/>
        </w:rPr>
        <w:t>0</w:t>
      </w:r>
      <w:r>
        <w:rPr>
          <w:rFonts w:hint="eastAsia" w:ascii="Times New Roman" w:hAnsi="Times New Roman" w:eastAsia="宋体" w:cs="Times New Roman"/>
          <w:color w:val="auto"/>
          <w:highlight w:val="none"/>
          <w:lang w:val="en-US" w:eastAsia="zh-CN"/>
        </w:rPr>
        <w:t>日，安徽润森生物质科技有限公司营业收入151万元、资产总额57万元、</w:t>
      </w:r>
      <w:r>
        <w:rPr>
          <w:rFonts w:hint="eastAsia" w:cs="Times New Roman"/>
          <w:color w:val="auto"/>
          <w:highlight w:val="none"/>
          <w:lang w:val="en-US" w:eastAsia="zh-CN"/>
        </w:rPr>
        <w:t>净资产-22万元，详细财务报表与资产清单待中标后由招标人提供</w:t>
      </w:r>
      <w:r>
        <w:rPr>
          <w:rFonts w:hint="eastAsia" w:ascii="Times New Roman" w:hAnsi="Times New Roman" w:eastAsia="宋体" w:cs="Times New Roman"/>
          <w:color w:val="auto"/>
          <w:highlight w:val="none"/>
          <w:lang w:val="en-US" w:eastAsia="zh-CN"/>
        </w:rPr>
        <w:t>。</w:t>
      </w:r>
    </w:p>
    <w:p>
      <w:pPr>
        <w:spacing w:line="400" w:lineRule="exact"/>
        <w:ind w:firstLine="420" w:firstLineChars="200"/>
        <w:jc w:val="left"/>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本次审计</w:t>
      </w:r>
      <w:r>
        <w:rPr>
          <w:rFonts w:hint="eastAsia" w:cs="Times New Roman"/>
          <w:color w:val="auto"/>
          <w:highlight w:val="none"/>
          <w:lang w:val="en-US" w:eastAsia="zh-CN"/>
        </w:rPr>
        <w:t>和评估是以2023年9月30日为基准日，</w:t>
      </w:r>
      <w:r>
        <w:rPr>
          <w:rFonts w:hint="eastAsia" w:ascii="Times New Roman" w:hAnsi="Times New Roman" w:eastAsia="宋体" w:cs="Times New Roman"/>
          <w:color w:val="auto"/>
          <w:highlight w:val="none"/>
          <w:lang w:val="en-US" w:eastAsia="zh-CN"/>
        </w:rPr>
        <w:t>对滁能热电（全椒）有限公司</w:t>
      </w:r>
      <w:r>
        <w:rPr>
          <w:rFonts w:hint="eastAsia" w:cs="Times New Roman"/>
          <w:color w:val="auto"/>
          <w:highlight w:val="none"/>
          <w:lang w:val="en-US" w:eastAsia="zh-CN"/>
        </w:rPr>
        <w:t>及安徽</w:t>
      </w:r>
      <w:r>
        <w:rPr>
          <w:rFonts w:hint="default" w:ascii="Times New Roman" w:hAnsi="Times New Roman" w:eastAsia="宋体" w:cs="Times New Roman"/>
          <w:color w:val="auto"/>
          <w:highlight w:val="none"/>
          <w:lang w:val="en-US" w:eastAsia="zh-CN"/>
        </w:rPr>
        <w:t>润森生物质科技有限公司</w:t>
      </w:r>
      <w:r>
        <w:rPr>
          <w:rFonts w:hint="eastAsia" w:ascii="Times New Roman" w:hAnsi="Times New Roman" w:eastAsia="宋体" w:cs="Times New Roman"/>
          <w:color w:val="auto"/>
          <w:highlight w:val="none"/>
          <w:lang w:val="en-US" w:eastAsia="zh-CN"/>
        </w:rPr>
        <w:t>进行</w:t>
      </w:r>
      <w:r>
        <w:rPr>
          <w:rFonts w:hint="eastAsia" w:cs="Times New Roman"/>
          <w:color w:val="auto"/>
          <w:highlight w:val="none"/>
          <w:lang w:val="en-US" w:eastAsia="zh-CN"/>
        </w:rPr>
        <w:t>净资产</w:t>
      </w:r>
      <w:r>
        <w:rPr>
          <w:rFonts w:hint="eastAsia" w:ascii="Times New Roman" w:hAnsi="Times New Roman" w:eastAsia="宋体" w:cs="Times New Roman"/>
          <w:color w:val="auto"/>
          <w:highlight w:val="none"/>
          <w:lang w:val="en-US" w:eastAsia="zh-CN"/>
        </w:rPr>
        <w:t>审计</w:t>
      </w:r>
      <w:r>
        <w:rPr>
          <w:rFonts w:hint="eastAsia" w:cs="Times New Roman"/>
          <w:color w:val="auto"/>
          <w:highlight w:val="none"/>
          <w:lang w:val="en-US" w:eastAsia="zh-CN"/>
        </w:rPr>
        <w:t>和股权价值评估</w:t>
      </w:r>
      <w:r>
        <w:rPr>
          <w:rFonts w:hint="eastAsia" w:ascii="Times New Roman" w:hAnsi="Times New Roman" w:eastAsia="宋体" w:cs="Times New Roman"/>
          <w:color w:val="auto"/>
          <w:highlight w:val="none"/>
          <w:lang w:val="en-US" w:eastAsia="zh-CN"/>
        </w:rPr>
        <w:t>，并出具高质量的审计报告</w:t>
      </w:r>
      <w:r>
        <w:rPr>
          <w:rFonts w:hint="eastAsia" w:cs="Times New Roman"/>
          <w:color w:val="auto"/>
          <w:highlight w:val="none"/>
          <w:lang w:val="en-US" w:eastAsia="zh-CN"/>
        </w:rPr>
        <w:t>和评估报告</w:t>
      </w:r>
      <w:r>
        <w:rPr>
          <w:rFonts w:hint="eastAsia" w:ascii="Times New Roman" w:hAnsi="Times New Roman" w:eastAsia="宋体" w:cs="Times New Roman"/>
          <w:color w:val="auto"/>
          <w:highlight w:val="none"/>
          <w:lang w:val="en-US" w:eastAsia="zh-CN"/>
        </w:rPr>
        <w:t>。供应商要依据有关法律法规依法开展审计</w:t>
      </w:r>
      <w:r>
        <w:rPr>
          <w:rFonts w:hint="eastAsia" w:cs="Times New Roman"/>
          <w:color w:val="auto"/>
          <w:highlight w:val="none"/>
          <w:lang w:val="en-US" w:eastAsia="zh-CN"/>
        </w:rPr>
        <w:t>和评估</w:t>
      </w:r>
      <w:r>
        <w:rPr>
          <w:rFonts w:hint="eastAsia" w:ascii="Times New Roman" w:hAnsi="Times New Roman" w:eastAsia="宋体" w:cs="Times New Roman"/>
          <w:color w:val="auto"/>
          <w:highlight w:val="none"/>
          <w:lang w:val="en-US" w:eastAsia="zh-CN"/>
        </w:rPr>
        <w:t>，实施必要的审计程序</w:t>
      </w:r>
      <w:r>
        <w:rPr>
          <w:rFonts w:hint="eastAsia" w:cs="Times New Roman"/>
          <w:color w:val="auto"/>
          <w:highlight w:val="none"/>
          <w:lang w:val="en-US" w:eastAsia="zh-CN"/>
        </w:rPr>
        <w:t>和评估程序</w:t>
      </w:r>
      <w:r>
        <w:rPr>
          <w:rFonts w:hint="eastAsia" w:ascii="Times New Roman" w:hAnsi="Times New Roman" w:eastAsia="宋体" w:cs="Times New Roman"/>
          <w:color w:val="auto"/>
          <w:highlight w:val="none"/>
          <w:lang w:val="en-US" w:eastAsia="zh-CN"/>
        </w:rPr>
        <w:t>，需在规定时间内完成审计任务</w:t>
      </w:r>
      <w:r>
        <w:rPr>
          <w:rFonts w:hint="eastAsia" w:cs="Times New Roman"/>
          <w:color w:val="auto"/>
          <w:highlight w:val="none"/>
          <w:lang w:val="en-US" w:eastAsia="zh-CN"/>
        </w:rPr>
        <w:t>和评估任务</w:t>
      </w:r>
      <w:r>
        <w:rPr>
          <w:rFonts w:hint="eastAsia" w:ascii="Times New Roman" w:hAnsi="Times New Roman" w:eastAsia="宋体" w:cs="Times New Roman"/>
          <w:color w:val="auto"/>
          <w:highlight w:val="none"/>
          <w:lang w:val="en-US" w:eastAsia="zh-CN"/>
        </w:rPr>
        <w:t>，并出具真实、合法的</w:t>
      </w:r>
      <w:r>
        <w:rPr>
          <w:rFonts w:hint="eastAsia" w:cs="Times New Roman"/>
          <w:color w:val="auto"/>
          <w:highlight w:val="none"/>
          <w:lang w:val="en-US" w:eastAsia="zh-CN"/>
        </w:rPr>
        <w:t>净资产</w:t>
      </w:r>
      <w:r>
        <w:rPr>
          <w:rFonts w:hint="eastAsia" w:ascii="Times New Roman" w:hAnsi="Times New Roman" w:eastAsia="宋体" w:cs="Times New Roman"/>
          <w:color w:val="auto"/>
          <w:highlight w:val="none"/>
          <w:lang w:val="en-US" w:eastAsia="zh-CN"/>
        </w:rPr>
        <w:t>审计报告</w:t>
      </w:r>
      <w:r>
        <w:rPr>
          <w:rFonts w:hint="eastAsia" w:cs="Times New Roman"/>
          <w:color w:val="auto"/>
          <w:highlight w:val="none"/>
          <w:lang w:val="en-US" w:eastAsia="zh-CN"/>
        </w:rPr>
        <w:t>和股权价值评估报告。净资产审计报告应</w:t>
      </w:r>
      <w:r>
        <w:rPr>
          <w:rFonts w:hint="eastAsia" w:ascii="Times New Roman" w:hAnsi="Times New Roman" w:eastAsia="宋体" w:cs="Times New Roman"/>
          <w:color w:val="auto"/>
          <w:highlight w:val="none"/>
          <w:lang w:val="en-US" w:eastAsia="zh-CN"/>
        </w:rPr>
        <w:t>包括</w:t>
      </w:r>
      <w:r>
        <w:rPr>
          <w:rFonts w:hint="eastAsia" w:cs="Times New Roman"/>
          <w:color w:val="auto"/>
          <w:highlight w:val="none"/>
          <w:lang w:val="en-US" w:eastAsia="zh-CN"/>
        </w:rPr>
        <w:t>但不限于</w:t>
      </w:r>
      <w:r>
        <w:rPr>
          <w:rFonts w:hint="eastAsia" w:ascii="Times New Roman" w:hAnsi="Times New Roman" w:eastAsia="宋体" w:cs="Times New Roman"/>
          <w:color w:val="auto"/>
          <w:highlight w:val="none"/>
          <w:lang w:val="en-US" w:eastAsia="zh-CN"/>
        </w:rPr>
        <w:t>被</w:t>
      </w:r>
      <w:r>
        <w:rPr>
          <w:rFonts w:hint="eastAsia" w:cs="Times New Roman"/>
          <w:color w:val="auto"/>
          <w:highlight w:val="none"/>
          <w:lang w:val="en-US" w:eastAsia="zh-CN"/>
        </w:rPr>
        <w:t>审计</w:t>
      </w:r>
      <w:r>
        <w:rPr>
          <w:rFonts w:hint="eastAsia" w:ascii="Times New Roman" w:hAnsi="Times New Roman" w:eastAsia="宋体" w:cs="Times New Roman"/>
          <w:color w:val="auto"/>
          <w:highlight w:val="none"/>
          <w:lang w:val="en-US" w:eastAsia="zh-CN"/>
        </w:rPr>
        <w:t>单位的基本情况</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资产</w:t>
      </w:r>
      <w:r>
        <w:rPr>
          <w:rFonts w:hint="eastAsia" w:cs="Times New Roman"/>
          <w:color w:val="auto"/>
          <w:highlight w:val="none"/>
          <w:lang w:val="en-US" w:eastAsia="zh-CN"/>
        </w:rPr>
        <w:t>情况、资产</w:t>
      </w:r>
      <w:r>
        <w:rPr>
          <w:rFonts w:hint="eastAsia" w:ascii="Times New Roman" w:hAnsi="Times New Roman" w:eastAsia="宋体" w:cs="Times New Roman"/>
          <w:color w:val="auto"/>
          <w:highlight w:val="none"/>
          <w:lang w:val="en-US" w:eastAsia="zh-CN"/>
        </w:rPr>
        <w:t>盘盈、资产损失及资金挂账清查情况，对标的单位的</w:t>
      </w:r>
      <w:r>
        <w:rPr>
          <w:rFonts w:hint="eastAsia" w:cs="Times New Roman"/>
          <w:color w:val="auto"/>
          <w:highlight w:val="none"/>
          <w:lang w:val="en-US" w:eastAsia="zh-CN"/>
        </w:rPr>
        <w:t>净资产</w:t>
      </w:r>
      <w:r>
        <w:rPr>
          <w:rFonts w:hint="eastAsia" w:ascii="Times New Roman" w:hAnsi="Times New Roman" w:eastAsia="宋体" w:cs="Times New Roman"/>
          <w:color w:val="auto"/>
          <w:highlight w:val="none"/>
          <w:lang w:val="en-US" w:eastAsia="zh-CN"/>
        </w:rPr>
        <w:t>审计意见、审计情况具体说明，重大事项披露或专项说明等。</w:t>
      </w:r>
      <w:r>
        <w:rPr>
          <w:rFonts w:hint="eastAsia" w:cs="Times New Roman"/>
          <w:color w:val="auto"/>
          <w:highlight w:val="none"/>
          <w:lang w:val="en-US" w:eastAsia="zh-CN"/>
        </w:rPr>
        <w:t>评估报告应</w:t>
      </w:r>
      <w:r>
        <w:rPr>
          <w:rFonts w:hint="eastAsia" w:ascii="Times New Roman" w:hAnsi="Times New Roman" w:eastAsia="宋体" w:cs="Times New Roman"/>
          <w:color w:val="auto"/>
          <w:highlight w:val="none"/>
          <w:lang w:val="en-US" w:eastAsia="zh-CN"/>
        </w:rPr>
        <w:t>包括</w:t>
      </w:r>
      <w:r>
        <w:rPr>
          <w:rFonts w:hint="eastAsia" w:cs="Times New Roman"/>
          <w:color w:val="auto"/>
          <w:highlight w:val="none"/>
          <w:lang w:val="en-US" w:eastAsia="zh-CN"/>
        </w:rPr>
        <w:t>但不限于被评估单位的基本情况，评估的资产明细、评估方法、评估过程和评估结果等。</w:t>
      </w:r>
    </w:p>
    <w:p>
      <w:pPr>
        <w:spacing w:line="400" w:lineRule="exact"/>
        <w:ind w:firstLine="422" w:firstLineChars="200"/>
        <w:jc w:val="left"/>
        <w:rPr>
          <w:rFonts w:hint="default" w:ascii="Times New Roman" w:hAnsi="Times New Roman" w:eastAsia="宋体" w:cs="Times New Roman"/>
          <w:b/>
          <w:bCs/>
          <w:i w:val="0"/>
          <w:iCs w:val="0"/>
          <w:color w:val="auto"/>
          <w:highlight w:val="none"/>
          <w:lang w:val="en-US" w:eastAsia="zh-CN"/>
        </w:rPr>
      </w:pPr>
      <w:r>
        <w:rPr>
          <w:rFonts w:hint="eastAsia" w:ascii="Times New Roman" w:hAnsi="Times New Roman" w:eastAsia="宋体" w:cs="Times New Roman"/>
          <w:b/>
          <w:bCs/>
          <w:i w:val="0"/>
          <w:iCs w:val="0"/>
          <w:color w:val="auto"/>
          <w:highlight w:val="none"/>
          <w:lang w:val="en-US" w:eastAsia="zh-CN"/>
        </w:rPr>
        <w:t>二、其他要求</w:t>
      </w:r>
    </w:p>
    <w:p>
      <w:pPr>
        <w:spacing w:line="400" w:lineRule="exact"/>
        <w:ind w:firstLine="420" w:firstLineChars="200"/>
        <w:jc w:val="left"/>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1、投标人应为本项目配备足够具备胜任能力的技术人员。</w:t>
      </w:r>
      <w:r>
        <w:rPr>
          <w:rFonts w:hint="eastAsia" w:cs="Times New Roman"/>
          <w:color w:val="auto"/>
          <w:highlight w:val="none"/>
          <w:lang w:val="en-US" w:eastAsia="zh-CN"/>
        </w:rPr>
        <w:t>审计</w:t>
      </w:r>
      <w:r>
        <w:rPr>
          <w:rFonts w:hint="eastAsia" w:ascii="Times New Roman" w:hAnsi="Times New Roman" w:eastAsia="宋体" w:cs="Times New Roman"/>
          <w:color w:val="auto"/>
          <w:highlight w:val="none"/>
          <w:lang w:val="en-US" w:eastAsia="zh-CN"/>
        </w:rPr>
        <w:t>项目组</w:t>
      </w:r>
      <w:r>
        <w:rPr>
          <w:rFonts w:hint="eastAsia" w:cs="Times New Roman"/>
          <w:color w:val="auto"/>
          <w:highlight w:val="none"/>
          <w:lang w:val="en-US" w:eastAsia="zh-CN"/>
        </w:rPr>
        <w:t>和评估项目组</w:t>
      </w:r>
      <w:r>
        <w:rPr>
          <w:rFonts w:hint="eastAsia" w:ascii="Times New Roman" w:hAnsi="Times New Roman" w:eastAsia="宋体" w:cs="Times New Roman"/>
          <w:color w:val="auto"/>
          <w:highlight w:val="none"/>
          <w:lang w:val="en-US" w:eastAsia="zh-CN"/>
        </w:rPr>
        <w:t>除项目负责人外的其他成员不得少于 2人，并视活动规模及难度需要及时增添相应的专业技术人员。</w:t>
      </w:r>
      <w:r>
        <w:rPr>
          <w:rFonts w:hint="eastAsia" w:cs="Times New Roman"/>
          <w:color w:val="auto"/>
          <w:highlight w:val="none"/>
          <w:lang w:val="en-US" w:eastAsia="zh-CN"/>
        </w:rPr>
        <w:t>项目成员应</w:t>
      </w:r>
      <w:r>
        <w:rPr>
          <w:rFonts w:hint="eastAsia" w:ascii="Times New Roman" w:hAnsi="Times New Roman" w:eastAsia="宋体" w:cs="Times New Roman"/>
          <w:color w:val="auto"/>
          <w:highlight w:val="none"/>
          <w:lang w:val="en-US" w:eastAsia="zh-CN"/>
        </w:rPr>
        <w:t>已与派出机构签订正式劳动合同，且派出机构已为其办理各类社保，按时缴纳相关费用。项目组成员专业配备齐全，专业技术及管理人员以及人员数量应能满足本项目工作需要，具有相关专业学历、专业证书和岗位证书。项目组成员具有较好的社会诚信度。客观公正、廉洁自律。</w:t>
      </w:r>
    </w:p>
    <w:p>
      <w:pPr>
        <w:spacing w:line="400" w:lineRule="exact"/>
        <w:ind w:firstLine="420" w:firstLineChars="200"/>
        <w:jc w:val="left"/>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2、投标人为项目配备的项目负责人</w:t>
      </w:r>
      <w:r>
        <w:rPr>
          <w:rFonts w:hint="eastAsia" w:cs="Times New Roman"/>
          <w:color w:val="auto"/>
          <w:highlight w:val="none"/>
          <w:lang w:val="en-US" w:eastAsia="zh-CN"/>
        </w:rPr>
        <w:t>，审计项目负责人应具有注册会计师执业资格证书并具有五年以上从业经历；评估项目负责人应具有资产评估师执业资格证书并具有五年以上从业经历</w:t>
      </w:r>
      <w:r>
        <w:rPr>
          <w:rFonts w:hint="eastAsia" w:ascii="Times New Roman" w:hAnsi="Times New Roman" w:eastAsia="宋体" w:cs="Times New Roman"/>
          <w:color w:val="auto"/>
          <w:highlight w:val="none"/>
          <w:lang w:val="en-US" w:eastAsia="zh-CN"/>
        </w:rPr>
        <w:t>。项目负责人能胜任本次工作，有较强的组织能力和综合协调能力，且未经业主同意不得更换项目负责人。</w:t>
      </w:r>
    </w:p>
    <w:p>
      <w:pPr>
        <w:spacing w:line="400" w:lineRule="exact"/>
        <w:ind w:firstLine="420" w:firstLineChars="200"/>
        <w:jc w:val="left"/>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3、投标人须自行完成承担审计业务</w:t>
      </w:r>
      <w:r>
        <w:rPr>
          <w:rFonts w:hint="eastAsia" w:cs="Times New Roman"/>
          <w:color w:val="auto"/>
          <w:highlight w:val="none"/>
          <w:lang w:val="en-US" w:eastAsia="zh-CN"/>
        </w:rPr>
        <w:t>和评估业务</w:t>
      </w:r>
      <w:r>
        <w:rPr>
          <w:rFonts w:hint="eastAsia" w:ascii="Times New Roman" w:hAnsi="Times New Roman" w:eastAsia="宋体" w:cs="Times New Roman"/>
          <w:color w:val="auto"/>
          <w:highlight w:val="none"/>
          <w:lang w:val="en-US" w:eastAsia="zh-CN"/>
        </w:rPr>
        <w:t>，不得将审计业务</w:t>
      </w:r>
      <w:r>
        <w:rPr>
          <w:rFonts w:hint="eastAsia" w:cs="Times New Roman"/>
          <w:color w:val="auto"/>
          <w:highlight w:val="none"/>
          <w:lang w:val="en-US" w:eastAsia="zh-CN"/>
        </w:rPr>
        <w:t>和评估业务</w:t>
      </w:r>
      <w:r>
        <w:rPr>
          <w:rFonts w:hint="eastAsia" w:ascii="Times New Roman" w:hAnsi="Times New Roman" w:eastAsia="宋体" w:cs="Times New Roman"/>
          <w:color w:val="auto"/>
          <w:highlight w:val="none"/>
          <w:lang w:val="en-US" w:eastAsia="zh-CN"/>
        </w:rPr>
        <w:t>转包或分包</w:t>
      </w:r>
      <w:r>
        <w:rPr>
          <w:rFonts w:hint="eastAsia" w:cs="Times New Roman"/>
          <w:color w:val="auto"/>
          <w:highlight w:val="none"/>
          <w:lang w:val="en-US" w:eastAsia="zh-CN"/>
        </w:rPr>
        <w:t>给</w:t>
      </w:r>
      <w:bookmarkStart w:id="239" w:name="_GoBack"/>
      <w:bookmarkEnd w:id="239"/>
      <w:r>
        <w:rPr>
          <w:rFonts w:hint="eastAsia" w:cs="Times New Roman"/>
          <w:color w:val="auto"/>
          <w:highlight w:val="none"/>
          <w:lang w:val="en-US" w:eastAsia="zh-CN"/>
        </w:rPr>
        <w:t>其他</w:t>
      </w:r>
      <w:r>
        <w:rPr>
          <w:rFonts w:hint="eastAsia" w:ascii="Times New Roman" w:hAnsi="Times New Roman" w:eastAsia="宋体" w:cs="Times New Roman"/>
          <w:color w:val="auto"/>
          <w:highlight w:val="none"/>
          <w:lang w:val="en-US" w:eastAsia="zh-CN"/>
        </w:rPr>
        <w:t>单位或个人，否则我公司有权中止与其签订的协议，</w:t>
      </w:r>
      <w:r>
        <w:rPr>
          <w:rFonts w:hint="eastAsia" w:cs="Times New Roman"/>
          <w:color w:val="auto"/>
          <w:highlight w:val="none"/>
          <w:lang w:val="en-US" w:eastAsia="zh-CN"/>
        </w:rPr>
        <w:t>并做出相应的</w:t>
      </w:r>
      <w:r>
        <w:rPr>
          <w:rFonts w:hint="eastAsia" w:ascii="Times New Roman" w:hAnsi="Times New Roman" w:eastAsia="宋体" w:cs="Times New Roman"/>
          <w:color w:val="auto"/>
          <w:highlight w:val="none"/>
          <w:lang w:val="en-US" w:eastAsia="zh-CN"/>
        </w:rPr>
        <w:t>处罚。</w:t>
      </w:r>
    </w:p>
    <w:p>
      <w:pPr>
        <w:spacing w:line="400" w:lineRule="exact"/>
        <w:ind w:firstLine="420" w:firstLineChars="200"/>
        <w:jc w:val="left"/>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4、本项目按总价报价。总投标价包括人员工资和社会保险费、办公费、技术服务费、管理费、其他费用（如资料费、住宿费、餐饮费、交通费</w:t>
      </w:r>
      <w:r>
        <w:rPr>
          <w:rFonts w:hint="eastAsia" w:cs="Times New Roman"/>
          <w:color w:val="auto"/>
          <w:highlight w:val="none"/>
          <w:lang w:val="en-US" w:eastAsia="zh-CN"/>
        </w:rPr>
        <w:t>以及</w:t>
      </w:r>
      <w:r>
        <w:rPr>
          <w:rFonts w:hint="eastAsia" w:ascii="Times New Roman" w:hAnsi="Times New Roman" w:eastAsia="宋体" w:cs="Times New Roman"/>
          <w:color w:val="auto"/>
          <w:highlight w:val="none"/>
          <w:lang w:val="en-US" w:eastAsia="zh-CN"/>
        </w:rPr>
        <w:t>投标人认为完成本项目所需要的其他费用）及所有价内价外税金及合理利润等一切费用。</w:t>
      </w:r>
    </w:p>
    <w:p>
      <w:pPr>
        <w:spacing w:line="400" w:lineRule="exact"/>
        <w:ind w:firstLine="420" w:firstLineChars="200"/>
        <w:jc w:val="left"/>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5、合同履行期内，委派人员应当服从招标人的项目管理工作，遵守</w:t>
      </w:r>
      <w:r>
        <w:rPr>
          <w:rFonts w:hint="eastAsia" w:cs="Times New Roman"/>
          <w:color w:val="auto"/>
          <w:highlight w:val="none"/>
          <w:lang w:val="en-US" w:eastAsia="zh-CN"/>
        </w:rPr>
        <w:t>招标人及标的公司</w:t>
      </w:r>
      <w:r>
        <w:rPr>
          <w:rFonts w:hint="eastAsia" w:ascii="Times New Roman" w:hAnsi="Times New Roman" w:eastAsia="宋体" w:cs="Times New Roman"/>
          <w:color w:val="auto"/>
          <w:highlight w:val="none"/>
          <w:lang w:val="en-US" w:eastAsia="zh-CN"/>
        </w:rPr>
        <w:t>的有关规章管理制度。</w:t>
      </w:r>
      <w:r>
        <w:rPr>
          <w:rFonts w:hint="eastAsia" w:cs="Times New Roman"/>
          <w:color w:val="auto"/>
          <w:highlight w:val="none"/>
          <w:lang w:val="en-US" w:eastAsia="zh-CN"/>
        </w:rPr>
        <w:t>招标人</w:t>
      </w:r>
      <w:r>
        <w:rPr>
          <w:rFonts w:hint="eastAsia" w:ascii="Times New Roman" w:hAnsi="Times New Roman" w:eastAsia="宋体" w:cs="Times New Roman"/>
          <w:color w:val="auto"/>
          <w:highlight w:val="none"/>
          <w:lang w:val="en-US" w:eastAsia="zh-CN"/>
        </w:rPr>
        <w:t>若发现委派人员有不称职或者严重违反其公司管理规定等情形，投标人应负责在两日内进行人员调换，重新委派符合本次招标条件的人员完成本次工作。</w:t>
      </w:r>
    </w:p>
    <w:p>
      <w:pPr>
        <w:spacing w:line="400" w:lineRule="exact"/>
        <w:ind w:firstLine="420" w:firstLineChars="200"/>
        <w:jc w:val="left"/>
        <w:rPr>
          <w:rFonts w:hint="default"/>
          <w:lang w:val="en-US" w:eastAsia="zh-CN"/>
        </w:rPr>
      </w:pPr>
      <w:r>
        <w:rPr>
          <w:rFonts w:hint="eastAsia" w:ascii="Times New Roman" w:hAnsi="Times New Roman" w:eastAsia="宋体" w:cs="Times New Roman"/>
          <w:color w:val="auto"/>
          <w:highlight w:val="none"/>
          <w:lang w:val="en-US" w:eastAsia="zh-CN"/>
        </w:rPr>
        <w:t>6、</w:t>
      </w:r>
      <w:r>
        <w:rPr>
          <w:rFonts w:hint="eastAsia" w:cs="Times New Roman"/>
          <w:color w:val="auto"/>
          <w:highlight w:val="none"/>
          <w:lang w:val="en-US" w:eastAsia="zh-CN"/>
        </w:rPr>
        <w:t>评估投标人还应满足如下条件：①</w:t>
      </w:r>
      <w:r>
        <w:rPr>
          <w:rFonts w:hint="eastAsia" w:ascii="Times New Roman" w:hAnsi="Times New Roman" w:eastAsia="宋体" w:cs="Times New Roman"/>
          <w:color w:val="auto"/>
          <w:highlight w:val="none"/>
          <w:lang w:val="en-US" w:eastAsia="zh-CN"/>
        </w:rPr>
        <w:t>遵守国家有关法律、法规、规章以及企业国有资产评估的政策规定，严格履行法定职责，近3年内没有违法违规记录，在承担国有资产评估工作中未出现重大质量问题或不良记录</w:t>
      </w:r>
      <w:r>
        <w:rPr>
          <w:rFonts w:hint="eastAsia" w:cs="Times New Roman"/>
          <w:color w:val="auto"/>
          <w:highlight w:val="none"/>
          <w:lang w:val="en-US" w:eastAsia="zh-CN"/>
        </w:rPr>
        <w:t>；②评估投标人应</w:t>
      </w:r>
      <w:r>
        <w:rPr>
          <w:rFonts w:hint="eastAsia" w:ascii="Times New Roman" w:hAnsi="Times New Roman" w:eastAsia="宋体" w:cs="Times New Roman"/>
          <w:color w:val="auto"/>
          <w:highlight w:val="none"/>
          <w:lang w:val="en-US" w:eastAsia="zh-CN"/>
        </w:rPr>
        <w:t>具备健全、完善的内部质量控制体系，建有国有资产评估报告三级及三级以上审核制度</w:t>
      </w:r>
      <w:r>
        <w:rPr>
          <w:rFonts w:hint="eastAsia" w:cs="Times New Roman"/>
          <w:color w:val="auto"/>
          <w:highlight w:val="none"/>
          <w:lang w:val="en-US" w:eastAsia="zh-CN"/>
        </w:rPr>
        <w:t>。③掌握企业所在行业的经济行为特点和相关市场信息，熟悉与企业及其所在行业相关的法规、政策。</w:t>
      </w:r>
    </w:p>
    <w:p>
      <w:pPr>
        <w:pStyle w:val="82"/>
      </w:pPr>
    </w:p>
    <w:p>
      <w:pPr>
        <w:pageBreakBefore/>
        <w:spacing w:line="400" w:lineRule="exact"/>
        <w:jc w:val="center"/>
        <w:outlineLvl w:val="0"/>
        <w:rPr>
          <w:rFonts w:hint="eastAsia" w:ascii="宋体" w:hAnsi="宋体" w:cs="宋体"/>
          <w:b/>
          <w:color w:val="auto"/>
          <w:sz w:val="28"/>
          <w:szCs w:val="28"/>
          <w:highlight w:val="none"/>
        </w:rPr>
      </w:pPr>
      <w:bookmarkStart w:id="203" w:name="_Toc4421"/>
      <w:r>
        <w:rPr>
          <w:rFonts w:hint="eastAsia" w:ascii="宋体" w:hAnsi="宋体" w:cs="宋体"/>
          <w:b/>
          <w:color w:val="auto"/>
          <w:sz w:val="28"/>
          <w:szCs w:val="28"/>
          <w:highlight w:val="none"/>
        </w:rPr>
        <w:t>第五章</w:t>
      </w:r>
      <w:r>
        <w:rPr>
          <w:rFonts w:hint="eastAsia" w:ascii="宋体" w:hAnsi="宋体" w:cs="宋体"/>
          <w:b/>
          <w:color w:val="auto"/>
          <w:sz w:val="28"/>
          <w:szCs w:val="28"/>
          <w:highlight w:val="none"/>
          <w:lang w:val="en-US" w:eastAsia="zh-CN"/>
        </w:rPr>
        <w:t xml:space="preserve"> </w:t>
      </w:r>
      <w:r>
        <w:rPr>
          <w:rFonts w:hint="eastAsia" w:ascii="宋体" w:hAnsi="宋体" w:cs="宋体"/>
          <w:b/>
          <w:color w:val="auto"/>
          <w:sz w:val="28"/>
          <w:szCs w:val="28"/>
          <w:highlight w:val="none"/>
        </w:rPr>
        <w:t xml:space="preserve"> 合同主要条款及格式</w:t>
      </w:r>
      <w:bookmarkEnd w:id="203"/>
    </w:p>
    <w:p>
      <w:pPr>
        <w:spacing w:line="400" w:lineRule="exact"/>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由中标人中标后与采购人协商签订</w:t>
      </w:r>
    </w:p>
    <w:p>
      <w:pPr>
        <w:spacing w:line="360" w:lineRule="exact"/>
        <w:rPr>
          <w:rFonts w:ascii="宋体" w:hAnsi="宋体" w:cs="宋体"/>
          <w:bCs/>
          <w:color w:val="auto"/>
          <w:szCs w:val="21"/>
          <w:highlight w:val="none"/>
          <w:u w:val="single" w:color="auto"/>
        </w:rPr>
      </w:pPr>
      <w:r>
        <w:rPr>
          <w:rFonts w:hint="eastAsia" w:ascii="宋体" w:hAnsi="宋体" w:cs="宋体"/>
          <w:bCs/>
          <w:color w:val="auto"/>
          <w:szCs w:val="21"/>
          <w:highlight w:val="none"/>
          <w:u w:val="single" w:color="auto"/>
        </w:rPr>
        <w:t xml:space="preserve">                 </w:t>
      </w:r>
    </w:p>
    <w:p>
      <w:pPr>
        <w:pageBreakBefore/>
        <w:spacing w:line="360" w:lineRule="auto"/>
        <w:jc w:val="center"/>
        <w:outlineLvl w:val="0"/>
        <w:rPr>
          <w:rFonts w:hint="eastAsia" w:ascii="宋体" w:hAnsi="宋体" w:cs="宋体"/>
          <w:b/>
          <w:color w:val="auto"/>
          <w:sz w:val="28"/>
          <w:szCs w:val="28"/>
          <w:highlight w:val="none"/>
        </w:rPr>
      </w:pPr>
      <w:bookmarkStart w:id="204" w:name="_Toc20458"/>
      <w:bookmarkStart w:id="205" w:name="_Toc26532"/>
      <w:r>
        <w:rPr>
          <w:rFonts w:hint="eastAsia" w:ascii="宋体" w:hAnsi="宋体" w:cs="宋体"/>
          <w:b/>
          <w:color w:val="auto"/>
          <w:sz w:val="28"/>
          <w:szCs w:val="28"/>
          <w:highlight w:val="none"/>
        </w:rPr>
        <w:t xml:space="preserve">第六章  </w:t>
      </w:r>
      <w:r>
        <w:rPr>
          <w:rFonts w:hint="eastAsia" w:ascii="宋体" w:hAnsi="宋体" w:cs="宋体"/>
          <w:b/>
          <w:color w:val="auto"/>
          <w:sz w:val="28"/>
          <w:szCs w:val="28"/>
          <w:highlight w:val="none"/>
          <w:lang w:eastAsia="zh-CN"/>
        </w:rPr>
        <w:t>投标文件</w:t>
      </w:r>
      <w:r>
        <w:rPr>
          <w:rFonts w:hint="eastAsia" w:ascii="宋体" w:hAnsi="宋体" w:cs="宋体"/>
          <w:b/>
          <w:color w:val="auto"/>
          <w:sz w:val="28"/>
          <w:szCs w:val="28"/>
          <w:highlight w:val="none"/>
        </w:rPr>
        <w:t>格式</w:t>
      </w:r>
      <w:bookmarkEnd w:id="204"/>
      <w:bookmarkEnd w:id="205"/>
    </w:p>
    <w:p>
      <w:pPr>
        <w:jc w:val="center"/>
        <w:rPr>
          <w:rFonts w:hint="eastAsia" w:ascii="宋体" w:hAnsi="宋体" w:cs="宋体"/>
          <w:b/>
          <w:color w:val="auto"/>
          <w:sz w:val="24"/>
          <w:szCs w:val="24"/>
          <w:highlight w:val="none"/>
        </w:rPr>
      </w:pPr>
    </w:p>
    <w:p>
      <w:pPr>
        <w:jc w:val="cente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rPr>
          <w:rFonts w:hint="eastAsia" w:ascii="宋体" w:hAnsi="宋体" w:cs="宋体"/>
          <w:b/>
          <w:color w:val="auto"/>
          <w:sz w:val="24"/>
          <w:szCs w:val="24"/>
          <w:highlight w:val="none"/>
        </w:rPr>
      </w:pPr>
    </w:p>
    <w:p>
      <w:pPr>
        <w:jc w:val="center"/>
        <w:outlineLvl w:val="1"/>
        <w:rPr>
          <w:rFonts w:hint="eastAsia" w:ascii="宋体" w:hAnsi="宋体" w:eastAsia="宋体" w:cs="宋体"/>
          <w:bCs/>
          <w:color w:val="auto"/>
          <w:sz w:val="44"/>
          <w:szCs w:val="44"/>
          <w:highlight w:val="none"/>
          <w:lang w:eastAsia="zh-CN"/>
        </w:rPr>
      </w:pPr>
      <w:bookmarkStart w:id="206" w:name="_Toc18379"/>
      <w:bookmarkStart w:id="207" w:name="_Toc28112"/>
      <w:r>
        <w:rPr>
          <w:rFonts w:hint="eastAsia" w:ascii="宋体" w:hAnsi="宋体" w:cs="宋体"/>
          <w:bCs/>
          <w:color w:val="auto"/>
          <w:sz w:val="44"/>
          <w:szCs w:val="44"/>
          <w:highlight w:val="none"/>
          <w:lang w:eastAsia="zh-CN"/>
        </w:rPr>
        <w:t>投标文件</w:t>
      </w:r>
      <w:bookmarkEnd w:id="206"/>
      <w:bookmarkEnd w:id="207"/>
    </w:p>
    <w:p>
      <w:pPr>
        <w:jc w:val="center"/>
        <w:rPr>
          <w:rFonts w:hint="eastAsia" w:ascii="宋体" w:hAnsi="宋体" w:cs="宋体"/>
          <w:bCs/>
          <w:color w:val="auto"/>
          <w:sz w:val="28"/>
          <w:szCs w:val="28"/>
          <w:highlight w:val="none"/>
        </w:rPr>
      </w:pPr>
      <w:bookmarkStart w:id="208" w:name="_Toc29089"/>
      <w:bookmarkStart w:id="209" w:name="_Toc1854"/>
      <w:r>
        <w:rPr>
          <w:rFonts w:hint="eastAsia" w:ascii="宋体" w:hAnsi="宋体" w:cs="宋体"/>
          <w:bCs/>
          <w:color w:val="auto"/>
          <w:sz w:val="28"/>
          <w:szCs w:val="28"/>
          <w:highlight w:val="none"/>
        </w:rPr>
        <w:t>（</w:t>
      </w:r>
      <w:r>
        <w:rPr>
          <w:rFonts w:hint="eastAsia" w:ascii="宋体" w:hAnsi="宋体" w:cs="宋体"/>
          <w:bCs/>
          <w:color w:val="auto"/>
          <w:sz w:val="28"/>
          <w:szCs w:val="28"/>
          <w:highlight w:val="none"/>
          <w:lang w:eastAsia="zh-CN"/>
        </w:rPr>
        <w:t>投标文件</w:t>
      </w:r>
      <w:r>
        <w:rPr>
          <w:rFonts w:hint="eastAsia" w:ascii="宋体" w:hAnsi="宋体" w:cs="宋体"/>
          <w:bCs/>
          <w:color w:val="auto"/>
          <w:sz w:val="28"/>
          <w:szCs w:val="28"/>
          <w:highlight w:val="none"/>
        </w:rPr>
        <w:t>一）</w:t>
      </w:r>
      <w:bookmarkEnd w:id="208"/>
      <w:bookmarkEnd w:id="209"/>
    </w:p>
    <w:p>
      <w:pPr>
        <w:jc w:val="center"/>
        <w:rPr>
          <w:rFonts w:hint="eastAsia" w:ascii="宋体" w:hAnsi="宋体" w:cs="宋体"/>
          <w:bCs/>
          <w:color w:val="auto"/>
          <w:sz w:val="28"/>
          <w:szCs w:val="28"/>
          <w:highlight w:val="none"/>
        </w:rPr>
      </w:pPr>
    </w:p>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u w:val="single"/>
        </w:rPr>
        <w:t xml:space="preserve">                 </w:t>
      </w:r>
      <w:bookmarkStart w:id="210" w:name="_Toc12389"/>
      <w:bookmarkStart w:id="211" w:name="_Toc18692"/>
      <w:r>
        <w:rPr>
          <w:rFonts w:hint="eastAsia" w:ascii="宋体" w:hAnsi="宋体" w:cs="宋体"/>
          <w:bCs/>
          <w:color w:val="auto"/>
          <w:sz w:val="28"/>
          <w:szCs w:val="28"/>
          <w:highlight w:val="none"/>
        </w:rPr>
        <w:t>项目名称</w:t>
      </w:r>
      <w:bookmarkEnd w:id="210"/>
      <w:bookmarkEnd w:id="211"/>
    </w:p>
    <w:p>
      <w:pPr>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u w:val="single" w:color="auto"/>
        </w:rPr>
        <w:t xml:space="preserve">     </w:t>
      </w: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p>
    <w:p>
      <w:pPr>
        <w:spacing w:line="360" w:lineRule="auto"/>
        <w:rPr>
          <w:rFonts w:hint="eastAsia" w:ascii="宋体" w:hAnsi="宋体" w:cs="宋体"/>
          <w:bCs/>
          <w:color w:val="auto"/>
          <w:sz w:val="28"/>
          <w:szCs w:val="28"/>
          <w:highlight w:val="none"/>
        </w:rPr>
      </w:pPr>
    </w:p>
    <w:p>
      <w:pPr>
        <w:pStyle w:val="2"/>
        <w:ind w:firstLine="560"/>
        <w:rPr>
          <w:rFonts w:hint="eastAsia" w:hAnsi="宋体" w:cs="宋体"/>
          <w:bCs/>
          <w:color w:val="auto"/>
          <w:sz w:val="28"/>
          <w:szCs w:val="28"/>
          <w:highlight w:val="none"/>
        </w:rPr>
      </w:pPr>
    </w:p>
    <w:p>
      <w:pPr>
        <w:rPr>
          <w:rFonts w:hint="eastAsia"/>
          <w:color w:val="auto"/>
          <w:highlight w:val="none"/>
        </w:rPr>
      </w:pPr>
    </w:p>
    <w:p>
      <w:pPr>
        <w:spacing w:line="360" w:lineRule="auto"/>
        <w:jc w:val="center"/>
        <w:rPr>
          <w:rFonts w:hint="eastAsia" w:ascii="宋体" w:hAnsi="宋体" w:cs="宋体"/>
          <w:bCs/>
          <w:color w:val="auto"/>
          <w:sz w:val="28"/>
          <w:szCs w:val="28"/>
          <w:highlight w:val="none"/>
          <w:u w:val="single"/>
        </w:rPr>
      </w:pPr>
      <w:bookmarkStart w:id="212" w:name="_Toc27793"/>
      <w:bookmarkStart w:id="213" w:name="_Toc19766"/>
      <w:r>
        <w:rPr>
          <w:rFonts w:hint="eastAsia" w:ascii="宋体" w:hAnsi="宋体" w:cs="宋体"/>
          <w:bCs/>
          <w:color w:val="auto"/>
          <w:sz w:val="28"/>
          <w:szCs w:val="28"/>
          <w:highlight w:val="none"/>
        </w:rPr>
        <w:t>供应商：</w:t>
      </w:r>
      <w:r>
        <w:rPr>
          <w:rFonts w:hint="eastAsia" w:ascii="宋体" w:hAnsi="宋体" w:cs="宋体"/>
          <w:bCs/>
          <w:color w:val="auto"/>
          <w:sz w:val="28"/>
          <w:szCs w:val="28"/>
          <w:highlight w:val="none"/>
          <w:u w:val="single"/>
        </w:rPr>
        <w:t xml:space="preserve">                               </w:t>
      </w:r>
      <w:r>
        <w:rPr>
          <w:rFonts w:hint="eastAsia" w:ascii="宋体" w:hAnsi="宋体" w:cs="宋体"/>
          <w:bCs/>
          <w:color w:val="auto"/>
          <w:sz w:val="28"/>
          <w:szCs w:val="28"/>
          <w:highlight w:val="none"/>
        </w:rPr>
        <w:t>（</w:t>
      </w:r>
      <w:r>
        <w:rPr>
          <w:rFonts w:hint="eastAsia" w:ascii="宋体" w:hAnsi="宋体" w:cs="宋体"/>
          <w:bCs/>
          <w:color w:val="auto"/>
          <w:sz w:val="28"/>
          <w:szCs w:val="28"/>
          <w:highlight w:val="none"/>
          <w:lang w:val="en-US" w:eastAsia="zh-CN"/>
        </w:rPr>
        <w:t>盖章</w:t>
      </w:r>
      <w:r>
        <w:rPr>
          <w:rFonts w:hint="eastAsia" w:ascii="宋体" w:hAnsi="宋体" w:cs="宋体"/>
          <w:bCs/>
          <w:color w:val="auto"/>
          <w:sz w:val="28"/>
          <w:szCs w:val="28"/>
          <w:highlight w:val="none"/>
        </w:rPr>
        <w:t>）</w:t>
      </w:r>
      <w:bookmarkEnd w:id="212"/>
      <w:bookmarkEnd w:id="213"/>
    </w:p>
    <w:p>
      <w:pPr>
        <w:spacing w:line="360" w:lineRule="auto"/>
        <w:jc w:val="center"/>
        <w:rPr>
          <w:rFonts w:hint="eastAsia" w:ascii="宋体" w:hAnsi="宋体" w:cs="宋体"/>
          <w:bCs/>
          <w:color w:val="auto"/>
          <w:sz w:val="28"/>
          <w:szCs w:val="28"/>
          <w:highlight w:val="none"/>
        </w:rPr>
      </w:pPr>
      <w:bookmarkStart w:id="214" w:name="_Toc9255"/>
      <w:bookmarkStart w:id="215" w:name="_Toc17049"/>
      <w:r>
        <w:rPr>
          <w:rFonts w:hint="eastAsia" w:ascii="宋体" w:hAnsi="宋体" w:cs="宋体"/>
          <w:bCs/>
          <w:color w:val="auto"/>
          <w:sz w:val="28"/>
          <w:szCs w:val="28"/>
          <w:highlight w:val="none"/>
        </w:rPr>
        <w:t>法定代表人</w:t>
      </w:r>
      <w:r>
        <w:rPr>
          <w:rFonts w:hint="eastAsia" w:ascii="宋体" w:hAnsi="宋体" w:cs="宋体"/>
          <w:bCs/>
          <w:color w:val="auto"/>
          <w:sz w:val="28"/>
          <w:szCs w:val="28"/>
          <w:highlight w:val="none"/>
          <w:lang w:val="en-US" w:eastAsia="zh-CN"/>
        </w:rPr>
        <w:t>或委托代理人</w:t>
      </w:r>
      <w:r>
        <w:rPr>
          <w:rFonts w:hint="eastAsia" w:ascii="宋体" w:hAnsi="宋体" w:cs="宋体"/>
          <w:bCs/>
          <w:color w:val="auto"/>
          <w:sz w:val="28"/>
          <w:szCs w:val="28"/>
          <w:highlight w:val="none"/>
        </w:rPr>
        <w:t>：</w:t>
      </w:r>
      <w:r>
        <w:rPr>
          <w:rFonts w:hint="eastAsia" w:ascii="宋体" w:hAnsi="宋体" w:cs="宋体"/>
          <w:bCs/>
          <w:color w:val="auto"/>
          <w:sz w:val="28"/>
          <w:szCs w:val="28"/>
          <w:highlight w:val="none"/>
          <w:u w:val="single"/>
        </w:rPr>
        <w:t xml:space="preserve">                  </w:t>
      </w:r>
      <w:r>
        <w:rPr>
          <w:rFonts w:hint="eastAsia" w:ascii="宋体" w:hAnsi="宋体" w:cs="宋体"/>
          <w:bCs/>
          <w:color w:val="auto"/>
          <w:sz w:val="28"/>
          <w:szCs w:val="28"/>
          <w:highlight w:val="none"/>
        </w:rPr>
        <w:t>（</w:t>
      </w:r>
      <w:r>
        <w:rPr>
          <w:rFonts w:hint="eastAsia" w:ascii="宋体" w:hAnsi="宋体" w:cs="宋体"/>
          <w:bCs/>
          <w:color w:val="auto"/>
          <w:sz w:val="28"/>
          <w:szCs w:val="28"/>
          <w:highlight w:val="none"/>
          <w:lang w:val="en-US" w:eastAsia="zh-CN"/>
        </w:rPr>
        <w:t>签字或盖章</w:t>
      </w:r>
      <w:r>
        <w:rPr>
          <w:rFonts w:hint="eastAsia" w:ascii="宋体" w:hAnsi="宋体" w:cs="宋体"/>
          <w:bCs/>
          <w:color w:val="auto"/>
          <w:sz w:val="28"/>
          <w:szCs w:val="28"/>
          <w:highlight w:val="none"/>
        </w:rPr>
        <w:t>）</w:t>
      </w:r>
      <w:bookmarkEnd w:id="214"/>
      <w:bookmarkEnd w:id="215"/>
    </w:p>
    <w:p>
      <w:pPr>
        <w:spacing w:line="360" w:lineRule="auto"/>
        <w:jc w:val="center"/>
        <w:rPr>
          <w:rFonts w:hint="eastAsia" w:ascii="宋体" w:hAnsi="宋体" w:cs="宋体"/>
          <w:bCs/>
          <w:color w:val="auto"/>
          <w:sz w:val="28"/>
          <w:szCs w:val="28"/>
          <w:highlight w:val="none"/>
        </w:rPr>
      </w:pPr>
      <w:r>
        <w:rPr>
          <w:rFonts w:hint="eastAsia" w:ascii="宋体" w:hAnsi="宋体" w:cs="宋体"/>
          <w:bCs/>
          <w:color w:val="auto"/>
          <w:sz w:val="28"/>
          <w:szCs w:val="28"/>
          <w:highlight w:val="none"/>
          <w:u w:val="single"/>
        </w:rPr>
        <w:t xml:space="preserve">        </w:t>
      </w:r>
      <w:bookmarkStart w:id="216" w:name="_Toc15461"/>
      <w:bookmarkStart w:id="217" w:name="_Toc19368"/>
      <w:r>
        <w:rPr>
          <w:rFonts w:hint="eastAsia" w:ascii="宋体" w:hAnsi="宋体" w:cs="宋体"/>
          <w:bCs/>
          <w:color w:val="auto"/>
          <w:sz w:val="28"/>
          <w:szCs w:val="28"/>
          <w:highlight w:val="none"/>
        </w:rPr>
        <w:t>年</w:t>
      </w:r>
      <w:r>
        <w:rPr>
          <w:rFonts w:hint="eastAsia" w:ascii="宋体" w:hAnsi="宋体" w:cs="宋体"/>
          <w:bCs/>
          <w:color w:val="auto"/>
          <w:sz w:val="28"/>
          <w:szCs w:val="28"/>
          <w:highlight w:val="none"/>
          <w:u w:val="single"/>
        </w:rPr>
        <w:t xml:space="preserve">        </w:t>
      </w:r>
      <w:r>
        <w:rPr>
          <w:rFonts w:hint="eastAsia" w:ascii="宋体" w:hAnsi="宋体" w:cs="宋体"/>
          <w:bCs/>
          <w:color w:val="auto"/>
          <w:sz w:val="28"/>
          <w:szCs w:val="28"/>
          <w:highlight w:val="none"/>
        </w:rPr>
        <w:t>月</w:t>
      </w:r>
      <w:r>
        <w:rPr>
          <w:rFonts w:hint="eastAsia" w:ascii="宋体" w:hAnsi="宋体" w:cs="宋体"/>
          <w:bCs/>
          <w:color w:val="auto"/>
          <w:sz w:val="28"/>
          <w:szCs w:val="28"/>
          <w:highlight w:val="none"/>
          <w:u w:val="single"/>
        </w:rPr>
        <w:t xml:space="preserve">        </w:t>
      </w:r>
      <w:r>
        <w:rPr>
          <w:rFonts w:hint="eastAsia" w:ascii="宋体" w:hAnsi="宋体" w:cs="宋体"/>
          <w:bCs/>
          <w:color w:val="auto"/>
          <w:sz w:val="28"/>
          <w:szCs w:val="28"/>
          <w:highlight w:val="none"/>
        </w:rPr>
        <w:t>日</w:t>
      </w:r>
      <w:bookmarkEnd w:id="216"/>
      <w:bookmarkEnd w:id="217"/>
    </w:p>
    <w:p>
      <w:pPr>
        <w:spacing w:line="720" w:lineRule="auto"/>
        <w:jc w:val="center"/>
        <w:rPr>
          <w:rFonts w:hint="eastAsia" w:ascii="宋体" w:hAnsi="宋体" w:cs="宋体"/>
          <w:b/>
          <w:color w:val="auto"/>
          <w:sz w:val="24"/>
          <w:szCs w:val="24"/>
          <w:highlight w:val="none"/>
        </w:rPr>
      </w:pPr>
    </w:p>
    <w:p>
      <w:pPr>
        <w:pageBreakBefore/>
        <w:ind w:firstLine="4216" w:firstLineChars="1400"/>
        <w:rPr>
          <w:rFonts w:hint="eastAsia" w:ascii="宋体" w:hAnsi="宋体" w:cs="宋体"/>
          <w:b/>
          <w:color w:val="auto"/>
          <w:sz w:val="30"/>
          <w:szCs w:val="30"/>
          <w:highlight w:val="none"/>
        </w:rPr>
      </w:pPr>
      <w:bookmarkStart w:id="218" w:name="_Toc3397"/>
      <w:bookmarkStart w:id="219" w:name="_Toc2203"/>
      <w:r>
        <w:rPr>
          <w:rFonts w:hint="eastAsia" w:ascii="宋体" w:hAnsi="宋体" w:cs="宋体"/>
          <w:b/>
          <w:color w:val="auto"/>
          <w:sz w:val="30"/>
          <w:szCs w:val="30"/>
          <w:highlight w:val="none"/>
        </w:rPr>
        <w:t>目   录</w:t>
      </w:r>
      <w:bookmarkEnd w:id="218"/>
      <w:bookmarkEnd w:id="219"/>
    </w:p>
    <w:p>
      <w:pPr>
        <w:spacing w:line="440" w:lineRule="exact"/>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lang w:eastAsia="zh-CN"/>
        </w:rPr>
        <w:t>（</w:t>
      </w:r>
      <w:r>
        <w:rPr>
          <w:rFonts w:hint="eastAsia" w:ascii="宋体" w:hAnsi="宋体" w:cs="宋体"/>
          <w:bCs/>
          <w:color w:val="auto"/>
          <w:szCs w:val="21"/>
          <w:highlight w:val="none"/>
          <w:lang w:val="en-US" w:eastAsia="zh-CN"/>
        </w:rPr>
        <w:t>1</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lang w:val="en-US" w:eastAsia="zh-CN"/>
        </w:rPr>
        <w:t>附件1：联合体投标协议书</w:t>
      </w:r>
      <w:r>
        <w:rPr>
          <w:rFonts w:hint="eastAsia" w:ascii="宋体" w:hAnsi="宋体" w:cs="宋体"/>
          <w:bCs/>
          <w:color w:val="auto"/>
          <w:szCs w:val="21"/>
          <w:highlight w:val="none"/>
        </w:rPr>
        <w:t>（格式见附件）；</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cs="宋体"/>
          <w:bCs/>
          <w:color w:val="auto"/>
          <w:szCs w:val="21"/>
          <w:highlight w:val="none"/>
          <w:lang w:val="en-US" w:eastAsia="zh-CN"/>
        </w:rPr>
        <w:t>附件2：</w:t>
      </w:r>
      <w:r>
        <w:rPr>
          <w:rFonts w:hint="eastAsia" w:ascii="宋体" w:hAnsi="宋体" w:cs="宋体"/>
          <w:bCs/>
          <w:color w:val="auto"/>
          <w:szCs w:val="21"/>
          <w:highlight w:val="none"/>
          <w:lang w:eastAsia="zh-CN"/>
        </w:rPr>
        <w:t>投标报价</w:t>
      </w:r>
      <w:r>
        <w:rPr>
          <w:rFonts w:hint="eastAsia" w:ascii="宋体" w:hAnsi="宋体" w:cs="宋体"/>
          <w:bCs/>
          <w:color w:val="auto"/>
          <w:szCs w:val="21"/>
          <w:highlight w:val="none"/>
        </w:rPr>
        <w:t>一览表（格式见附件）；</w:t>
      </w:r>
    </w:p>
    <w:p>
      <w:pPr>
        <w:spacing w:line="440" w:lineRule="exact"/>
        <w:ind w:firstLine="420" w:firstLineChars="200"/>
        <w:jc w:val="left"/>
        <w:rPr>
          <w:rFonts w:hint="eastAsia" w:ascii="宋体" w:hAnsi="宋体" w:cs="宋体"/>
          <w:bCs/>
          <w:color w:val="auto"/>
          <w:szCs w:val="21"/>
          <w:highlight w:val="none"/>
        </w:rPr>
      </w:pPr>
      <w:r>
        <w:rPr>
          <w:rFonts w:hint="eastAsia" w:ascii="宋体" w:hAnsi="宋体" w:cs="宋体"/>
          <w:bCs/>
          <w:color w:val="auto"/>
          <w:szCs w:val="21"/>
          <w:highlight w:val="none"/>
        </w:rPr>
        <w:t>（2）</w:t>
      </w:r>
      <w:r>
        <w:rPr>
          <w:rFonts w:hint="eastAsia" w:ascii="宋体" w:hAnsi="宋体" w:cs="宋体"/>
          <w:bCs/>
          <w:color w:val="auto"/>
          <w:szCs w:val="21"/>
          <w:highlight w:val="none"/>
          <w:lang w:val="en-US" w:eastAsia="zh-CN"/>
        </w:rPr>
        <w:t>附件3：响应</w:t>
      </w:r>
      <w:r>
        <w:rPr>
          <w:rFonts w:hint="eastAsia" w:ascii="宋体" w:hAnsi="宋体" w:cs="宋体"/>
          <w:bCs/>
          <w:color w:val="auto"/>
          <w:szCs w:val="21"/>
          <w:highlight w:val="none"/>
        </w:rPr>
        <w:t>函（格式见附件）；</w:t>
      </w:r>
    </w:p>
    <w:p>
      <w:pPr>
        <w:spacing w:line="440" w:lineRule="exact"/>
        <w:ind w:firstLine="420" w:firstLineChars="200"/>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3</w:t>
      </w: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附件4：</w:t>
      </w:r>
      <w:r>
        <w:rPr>
          <w:rFonts w:hint="eastAsia" w:ascii="宋体" w:hAnsi="Times New Roman" w:eastAsia="宋体" w:cs="Times New Roman"/>
          <w:color w:val="auto"/>
          <w:szCs w:val="21"/>
          <w:highlight w:val="none"/>
        </w:rPr>
        <w:t>法人代表身份证明及其有效身份证（或</w:t>
      </w:r>
      <w:r>
        <w:rPr>
          <w:rFonts w:hint="eastAsia" w:ascii="宋体" w:cs="Times New Roman"/>
          <w:color w:val="auto"/>
          <w:szCs w:val="21"/>
          <w:highlight w:val="none"/>
          <w:lang w:eastAsia="zh-CN"/>
        </w:rPr>
        <w:t>法定代表人</w:t>
      </w:r>
      <w:r>
        <w:rPr>
          <w:rFonts w:hint="eastAsia" w:ascii="宋体" w:hAnsi="Times New Roman" w:eastAsia="宋体" w:cs="Times New Roman"/>
          <w:color w:val="auto"/>
          <w:szCs w:val="21"/>
          <w:highlight w:val="none"/>
        </w:rPr>
        <w:t>授权委托书及其有效身份证）；（格式见附件）；</w:t>
      </w:r>
    </w:p>
    <w:p>
      <w:pPr>
        <w:spacing w:line="440" w:lineRule="exact"/>
        <w:ind w:firstLine="420" w:firstLineChars="200"/>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7</w:t>
      </w: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附件5：</w:t>
      </w:r>
      <w:r>
        <w:rPr>
          <w:rFonts w:hint="eastAsia" w:ascii="宋体" w:hAnsi="Times New Roman" w:eastAsia="宋体" w:cs="Times New Roman"/>
          <w:color w:val="auto"/>
          <w:szCs w:val="21"/>
          <w:highlight w:val="none"/>
        </w:rPr>
        <w:t>诚信</w:t>
      </w:r>
      <w:r>
        <w:rPr>
          <w:rFonts w:hint="eastAsia" w:ascii="宋体" w:hAnsi="Times New Roman" w:eastAsia="宋体" w:cs="Times New Roman"/>
          <w:color w:val="auto"/>
          <w:szCs w:val="21"/>
          <w:highlight w:val="none"/>
          <w:lang w:val="en-US" w:eastAsia="zh-CN"/>
        </w:rPr>
        <w:t>投标</w:t>
      </w:r>
      <w:r>
        <w:rPr>
          <w:rFonts w:hint="eastAsia" w:ascii="宋体" w:hAnsi="Times New Roman" w:eastAsia="宋体" w:cs="Times New Roman"/>
          <w:color w:val="auto"/>
          <w:szCs w:val="21"/>
          <w:highlight w:val="none"/>
        </w:rPr>
        <w:t>承诺书；（格式见附件）；</w:t>
      </w:r>
    </w:p>
    <w:p>
      <w:pPr>
        <w:spacing w:line="440" w:lineRule="exact"/>
        <w:ind w:firstLine="420" w:firstLineChars="200"/>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8</w:t>
      </w: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附件6：</w:t>
      </w:r>
      <w:r>
        <w:rPr>
          <w:rFonts w:hint="eastAsia" w:ascii="宋体" w:hAnsi="Times New Roman" w:eastAsia="宋体" w:cs="Times New Roman"/>
          <w:color w:val="auto"/>
          <w:szCs w:val="21"/>
          <w:highlight w:val="none"/>
        </w:rPr>
        <w:t>服务承诺书（格式见附件）；</w:t>
      </w:r>
    </w:p>
    <w:p>
      <w:pPr>
        <w:spacing w:line="440" w:lineRule="exact"/>
        <w:ind w:firstLine="420" w:firstLineChars="200"/>
        <w:rPr>
          <w:rFonts w:hint="eastAsia"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9</w:t>
      </w: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附件7：其他投标材料；</w:t>
      </w:r>
    </w:p>
    <w:p>
      <w:pPr>
        <w:spacing w:line="440" w:lineRule="exact"/>
        <w:ind w:firstLine="420" w:firstLineChars="200"/>
        <w:rPr>
          <w:rFonts w:hint="eastAsia" w:ascii="宋体" w:cs="Times New Roman"/>
          <w:color w:val="auto"/>
          <w:szCs w:val="21"/>
          <w:highlight w:val="none"/>
          <w:lang w:val="en-US" w:eastAsia="zh-CN"/>
        </w:rPr>
      </w:pPr>
      <w:r>
        <w:rPr>
          <w:rFonts w:hint="eastAsia" w:ascii="宋体" w:cs="Times New Roman"/>
          <w:color w:val="auto"/>
          <w:szCs w:val="21"/>
          <w:highlight w:val="none"/>
          <w:lang w:val="en-US" w:eastAsia="zh-CN"/>
        </w:rPr>
        <w:t>（10）附件8：供应商认为需要提供的其他证明材料；</w:t>
      </w:r>
    </w:p>
    <w:p>
      <w:pPr>
        <w:spacing w:line="440" w:lineRule="exact"/>
        <w:ind w:firstLine="420" w:firstLineChars="200"/>
        <w:rPr>
          <w:rFonts w:hint="default" w:ascii="宋体" w:cs="Times New Roman"/>
          <w:color w:val="auto"/>
          <w:szCs w:val="21"/>
          <w:highlight w:val="none"/>
          <w:lang w:val="en-US" w:eastAsia="zh-CN"/>
        </w:rPr>
      </w:pPr>
      <w:r>
        <w:rPr>
          <w:rFonts w:hint="eastAsia" w:ascii="宋体" w:cs="Times New Roman"/>
          <w:color w:val="auto"/>
          <w:szCs w:val="21"/>
          <w:highlight w:val="none"/>
          <w:lang w:val="en-US" w:eastAsia="zh-CN"/>
        </w:rPr>
        <w:t>（11）附件9：关于联合惩戒失信行为加强信用查询管理的通知；</w:t>
      </w:r>
    </w:p>
    <w:p>
      <w:pPr>
        <w:spacing w:line="440" w:lineRule="exact"/>
        <w:ind w:firstLine="420" w:firstLineChars="200"/>
        <w:rPr>
          <w:rFonts w:hint="default" w:ascii="宋体" w:cs="Times New Roman"/>
          <w:color w:val="auto"/>
          <w:szCs w:val="21"/>
          <w:highlight w:val="none"/>
          <w:lang w:val="en-US" w:eastAsia="zh-CN"/>
        </w:rPr>
      </w:pPr>
      <w:r>
        <w:rPr>
          <w:rFonts w:hint="eastAsia" w:ascii="宋体" w:cs="Times New Roman"/>
          <w:color w:val="auto"/>
          <w:szCs w:val="21"/>
          <w:highlight w:val="none"/>
          <w:lang w:val="en-US" w:eastAsia="zh-CN"/>
        </w:rPr>
        <w:t>（12）附件10：“信用中国”查询的严重失信行为类别及判定依据。</w:t>
      </w:r>
    </w:p>
    <w:p>
      <w:pPr>
        <w:spacing w:line="440" w:lineRule="exact"/>
        <w:ind w:firstLine="420" w:firstLineChars="200"/>
        <w:rPr>
          <w:rFonts w:hint="eastAsia" w:ascii="宋体" w:hAnsi="Times New Roman" w:eastAsia="宋体" w:cs="Times New Roman"/>
          <w:color w:val="auto"/>
          <w:szCs w:val="21"/>
          <w:highlight w:val="none"/>
        </w:rPr>
      </w:pPr>
    </w:p>
    <w:p>
      <w:pPr>
        <w:pStyle w:val="33"/>
        <w:ind w:left="0" w:leftChars="0" w:firstLine="0" w:firstLineChars="0"/>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rPr>
          <w:rFonts w:hint="eastAsia" w:ascii="宋体" w:hAnsi="宋体" w:eastAsia="宋体" w:cs="宋体"/>
          <w:bCs/>
          <w:color w:val="auto"/>
          <w:szCs w:val="21"/>
          <w:highlight w:val="none"/>
        </w:rPr>
      </w:pPr>
    </w:p>
    <w:p>
      <w:pPr>
        <w:pStyle w:val="33"/>
        <w:keepNext w:val="0"/>
        <w:keepLines w:val="0"/>
        <w:pageBreakBefore/>
        <w:widowControl w:val="0"/>
        <w:kinsoku/>
        <w:wordWrap/>
        <w:overflowPunct/>
        <w:topLinePunct w:val="0"/>
        <w:autoSpaceDE/>
        <w:autoSpaceDN/>
        <w:bidi w:val="0"/>
        <w:adjustRightInd/>
        <w:snapToGrid/>
        <w:ind w:left="420" w:hanging="420"/>
        <w:textAlignment w:val="auto"/>
        <w:rPr>
          <w:rFonts w:hint="eastAsia" w:ascii="宋体" w:hAnsi="宋体" w:eastAsia="宋体" w:cs="宋体"/>
          <w:bCs/>
          <w:color w:val="auto"/>
          <w:sz w:val="21"/>
          <w:szCs w:val="21"/>
          <w:highlight w:val="none"/>
          <w:lang w:eastAsia="zh-CN"/>
        </w:rPr>
      </w:pPr>
      <w:r>
        <w:rPr>
          <w:rFonts w:hint="eastAsia" w:ascii="宋体" w:hAnsi="宋体" w:eastAsia="宋体"/>
          <w:b/>
          <w:color w:val="auto"/>
          <w:sz w:val="21"/>
          <w:szCs w:val="21"/>
          <w:highlight w:val="none"/>
        </w:rPr>
        <w:t>附件1</w:t>
      </w:r>
      <w:r>
        <w:rPr>
          <w:rFonts w:hint="eastAsia" w:ascii="宋体" w:hAnsi="宋体" w:eastAsia="宋体"/>
          <w:b/>
          <w:color w:val="auto"/>
          <w:sz w:val="21"/>
          <w:szCs w:val="21"/>
          <w:highlight w:val="none"/>
          <w:lang w:eastAsia="zh-CN"/>
        </w:rPr>
        <w:t>：</w:t>
      </w:r>
    </w:p>
    <w:p>
      <w:pPr>
        <w:pStyle w:val="8"/>
        <w:adjustRightInd w:val="0"/>
        <w:snapToGrid w:val="0"/>
        <w:spacing w:before="0" w:after="0" w:line="560" w:lineRule="exact"/>
        <w:jc w:val="center"/>
        <w:rPr>
          <w:rFonts w:hint="eastAsia"/>
          <w:color w:val="000000"/>
        </w:rPr>
      </w:pPr>
      <w:bookmarkStart w:id="220" w:name="_Toc24616"/>
      <w:r>
        <w:rPr>
          <w:rFonts w:hint="eastAsia"/>
          <w:color w:val="000000"/>
        </w:rPr>
        <w:t>联合体协议书</w:t>
      </w:r>
      <w:bookmarkEnd w:id="220"/>
    </w:p>
    <w:p>
      <w:pPr>
        <w:adjustRightInd w:val="0"/>
        <w:snapToGrid w:val="0"/>
        <w:spacing w:line="520" w:lineRule="exact"/>
        <w:ind w:firstLine="422" w:firstLineChars="200"/>
        <w:jc w:val="left"/>
        <w:rPr>
          <w:rFonts w:hint="eastAsia" w:ascii="宋体" w:hAnsi="宋体"/>
          <w:color w:val="000000"/>
          <w:szCs w:val="21"/>
        </w:rPr>
      </w:pPr>
      <w:r>
        <w:rPr>
          <w:rFonts w:hint="eastAsia" w:ascii="宋体" w:hAnsi="宋体"/>
          <w:b/>
          <w:color w:val="000000"/>
          <w:szCs w:val="21"/>
          <w:u w:val="single"/>
        </w:rPr>
        <w:t xml:space="preserve">                </w:t>
      </w:r>
      <w:r>
        <w:rPr>
          <w:rFonts w:hint="eastAsia" w:ascii="宋体" w:hAnsi="宋体"/>
          <w:color w:val="000000"/>
          <w:szCs w:val="21"/>
        </w:rPr>
        <w:t>（所有成员单位名</w:t>
      </w:r>
      <w:bookmarkStart w:id="221" w:name="_Toc506107345"/>
      <w:bookmarkStart w:id="222" w:name="_Toc60061579"/>
      <w:bookmarkStart w:id="223" w:name="_Toc58229120"/>
      <w:bookmarkStart w:id="224" w:name="_Toc15058939"/>
      <w:bookmarkStart w:id="225" w:name="_Toc144974871"/>
      <w:bookmarkStart w:id="226" w:name="_Toc152042592"/>
      <w:bookmarkStart w:id="227" w:name="_Toc179632823"/>
      <w:bookmarkStart w:id="228" w:name="_Toc152045803"/>
      <w:r>
        <w:rPr>
          <w:rFonts w:hint="eastAsia" w:ascii="宋体" w:hAnsi="宋体"/>
          <w:color w:val="000000"/>
          <w:szCs w:val="21"/>
        </w:rPr>
        <w:t xml:space="preserve">称）自愿组成 </w:t>
      </w:r>
      <w:r>
        <w:rPr>
          <w:rFonts w:hint="eastAsia" w:ascii="宋体" w:hAnsi="宋体"/>
          <w:color w:val="000000"/>
          <w:szCs w:val="21"/>
          <w:u w:val="single"/>
        </w:rPr>
        <w:t xml:space="preserve">  </w:t>
      </w:r>
      <w:bookmarkEnd w:id="221"/>
      <w:r>
        <w:rPr>
          <w:rFonts w:hint="eastAsia" w:ascii="宋体" w:hAnsi="宋体"/>
          <w:color w:val="000000"/>
          <w:szCs w:val="21"/>
          <w:u w:val="single"/>
        </w:rPr>
        <w:t xml:space="preserve">    </w:t>
      </w:r>
      <w:bookmarkEnd w:id="222"/>
      <w:bookmarkEnd w:id="223"/>
      <w:bookmarkEnd w:id="224"/>
      <w:r>
        <w:rPr>
          <w:rFonts w:hint="eastAsia" w:ascii="宋体" w:hAnsi="宋体"/>
          <w:color w:val="000000"/>
          <w:szCs w:val="21"/>
          <w:u w:val="single"/>
        </w:rPr>
        <w:t xml:space="preserve">   </w:t>
      </w:r>
      <w:r>
        <w:rPr>
          <w:rFonts w:hint="eastAsia" w:ascii="宋体" w:hAnsi="宋体"/>
          <w:color w:val="000000"/>
          <w:szCs w:val="21"/>
        </w:rPr>
        <w:t>（联合体名称）联合体，共同参加</w:t>
      </w:r>
      <w:r>
        <w:rPr>
          <w:rFonts w:hint="eastAsia" w:ascii="宋体" w:hAnsi="宋体"/>
          <w:b/>
          <w:color w:val="000000"/>
          <w:szCs w:val="21"/>
          <w:u w:val="single"/>
        </w:rPr>
        <w:t xml:space="preserve">             </w:t>
      </w:r>
      <w:r>
        <w:rPr>
          <w:rFonts w:hint="eastAsia" w:ascii="宋体" w:hAnsi="宋体"/>
          <w:color w:val="000000"/>
          <w:szCs w:val="21"/>
        </w:rPr>
        <w:t>（项目名称）</w:t>
      </w:r>
      <w:r>
        <w:rPr>
          <w:rFonts w:hint="eastAsia" w:ascii="宋体" w:hAnsi="宋体"/>
          <w:color w:val="000000"/>
          <w:szCs w:val="21"/>
          <w:lang w:val="en-US" w:eastAsia="zh-CN"/>
        </w:rPr>
        <w:t>的</w:t>
      </w:r>
      <w:r>
        <w:rPr>
          <w:rFonts w:hint="eastAsia" w:ascii="宋体" w:hAnsi="宋体"/>
          <w:color w:val="000000"/>
          <w:szCs w:val="21"/>
        </w:rPr>
        <w:t>投标。现就联合体投标事宜订立如下协议：</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u w:val="single"/>
        </w:rPr>
        <w:t xml:space="preserve">             </w:t>
      </w:r>
      <w:r>
        <w:rPr>
          <w:rFonts w:hint="eastAsia" w:ascii="宋体" w:hAnsi="宋体"/>
          <w:color w:val="000000"/>
          <w:szCs w:val="21"/>
        </w:rPr>
        <w:t>（某成员单位名称）为</w:t>
      </w:r>
      <w:r>
        <w:rPr>
          <w:rFonts w:hint="eastAsia" w:ascii="宋体" w:hAnsi="宋体"/>
          <w:color w:val="000000"/>
          <w:szCs w:val="21"/>
          <w:u w:val="single"/>
        </w:rPr>
        <w:t xml:space="preserve">             </w:t>
      </w:r>
      <w:r>
        <w:rPr>
          <w:rFonts w:hint="eastAsia" w:ascii="宋体" w:hAnsi="宋体"/>
          <w:color w:val="000000"/>
          <w:szCs w:val="21"/>
        </w:rPr>
        <w:t>（联合体名称）牵头人。</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2.联合体牵头人合法代表联合体各成员负责本招标项目投标文件编制和合同谈判活动，并代表联合体提交和接收相关的资料、信息及指示，并处理与之有关的一切事务，负责合同实施阶段的主办、组织和协议工作。</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3.联合体将严格按照招标文件的各项要求，递交投标文件，履行合同，并对外承担连带责任。</w:t>
      </w:r>
    </w:p>
    <w:p>
      <w:pPr>
        <w:adjustRightInd w:val="0"/>
        <w:snapToGrid w:val="0"/>
        <w:spacing w:line="520" w:lineRule="exact"/>
        <w:ind w:firstLine="420" w:firstLineChars="200"/>
        <w:rPr>
          <w:rFonts w:hint="eastAsia" w:ascii="宋体" w:hAnsi="宋体" w:eastAsia="宋体"/>
          <w:color w:val="000000"/>
          <w:szCs w:val="21"/>
          <w:u w:val="single"/>
          <w:lang w:val="en-US" w:eastAsia="zh-CN"/>
        </w:rPr>
      </w:pPr>
      <w:r>
        <w:rPr>
          <w:rFonts w:hint="eastAsia" w:ascii="宋体" w:hAnsi="宋体"/>
          <w:color w:val="000000"/>
          <w:szCs w:val="21"/>
        </w:rPr>
        <w:t>4.联合体各成员单位内部的职责分工如下</w:t>
      </w:r>
      <w:r>
        <w:rPr>
          <w:rFonts w:hint="eastAsia" w:ascii="宋体" w:hAnsi="宋体"/>
          <w:color w:val="000000"/>
          <w:szCs w:val="21"/>
          <w:lang w:eastAsia="zh-CN"/>
        </w:rPr>
        <w:t>：</w:t>
      </w:r>
    </w:p>
    <w:p>
      <w:pPr>
        <w:pStyle w:val="327"/>
        <w:snapToGrid w:val="0"/>
        <w:spacing w:line="520" w:lineRule="exact"/>
        <w:ind w:firstLine="525" w:firstLineChars="250"/>
        <w:rPr>
          <w:rFonts w:cs="Times New Roman"/>
          <w:sz w:val="21"/>
          <w:szCs w:val="21"/>
        </w:rPr>
      </w:pPr>
      <w:r>
        <w:rPr>
          <w:rFonts w:cs="Times New Roman"/>
          <w:sz w:val="21"/>
          <w:szCs w:val="21"/>
        </w:rPr>
        <w:t>牵头人</w:t>
      </w:r>
      <w:r>
        <w:rPr>
          <w:rFonts w:hint="eastAsia" w:cs="Times New Roman"/>
          <w:sz w:val="21"/>
          <w:szCs w:val="21"/>
        </w:rPr>
        <w:t>（成员一）</w:t>
      </w:r>
      <w:r>
        <w:rPr>
          <w:rFonts w:cs="Times New Roman"/>
          <w:sz w:val="21"/>
          <w:szCs w:val="21"/>
        </w:rPr>
        <w:t>名称</w:t>
      </w:r>
      <w:r>
        <w:rPr>
          <w:rFonts w:cs="Times New Roman"/>
          <w:sz w:val="21"/>
          <w:szCs w:val="21"/>
          <w:u w:val="single"/>
        </w:rPr>
        <w:t>：</w:t>
      </w:r>
      <w:r>
        <w:rPr>
          <w:rFonts w:hint="eastAsia" w:cs="Times New Roman"/>
          <w:sz w:val="21"/>
          <w:szCs w:val="21"/>
          <w:u w:val="single"/>
        </w:rPr>
        <w:t xml:space="preserve">           </w:t>
      </w:r>
      <w:r>
        <w:rPr>
          <w:rFonts w:cs="Times New Roman"/>
          <w:sz w:val="21"/>
          <w:szCs w:val="21"/>
          <w:u w:val="single"/>
        </w:rPr>
        <w:t xml:space="preserve"> </w:t>
      </w:r>
      <w:r>
        <w:rPr>
          <w:rFonts w:cs="Times New Roman"/>
          <w:sz w:val="21"/>
          <w:szCs w:val="21"/>
        </w:rPr>
        <w:t>，具有</w:t>
      </w:r>
      <w:r>
        <w:rPr>
          <w:rFonts w:cs="Times New Roman"/>
          <w:sz w:val="21"/>
          <w:szCs w:val="21"/>
          <w:u w:val="single"/>
        </w:rPr>
        <w:t xml:space="preserve"> </w:t>
      </w:r>
      <w:r>
        <w:rPr>
          <w:rFonts w:hint="eastAsia" w:cs="Times New Roman"/>
          <w:sz w:val="21"/>
          <w:szCs w:val="21"/>
          <w:u w:val="single"/>
        </w:rPr>
        <w:t xml:space="preserve">           </w:t>
      </w:r>
      <w:r>
        <w:rPr>
          <w:rFonts w:cs="Times New Roman"/>
          <w:sz w:val="21"/>
          <w:szCs w:val="21"/>
          <w:u w:val="single"/>
        </w:rPr>
        <w:t>资</w:t>
      </w:r>
      <w:r>
        <w:rPr>
          <w:rFonts w:cs="Times New Roman"/>
          <w:sz w:val="21"/>
          <w:szCs w:val="21"/>
        </w:rPr>
        <w:t>格，</w:t>
      </w:r>
      <w:r>
        <w:rPr>
          <w:rFonts w:hint="eastAsia" w:cs="Times New Roman"/>
          <w:sz w:val="21"/>
          <w:szCs w:val="21"/>
        </w:rPr>
        <w:t>负责</w:t>
      </w:r>
      <w:r>
        <w:rPr>
          <w:rFonts w:cs="Times New Roman"/>
          <w:sz w:val="21"/>
          <w:szCs w:val="21"/>
        </w:rPr>
        <w:t>承担</w:t>
      </w:r>
      <w:r>
        <w:rPr>
          <w:rFonts w:cs="Times New Roman"/>
          <w:sz w:val="21"/>
          <w:szCs w:val="21"/>
          <w:u w:val="single"/>
        </w:rPr>
        <w:t xml:space="preserve"> </w:t>
      </w:r>
      <w:r>
        <w:rPr>
          <w:rFonts w:hint="eastAsia" w:cs="Times New Roman"/>
          <w:sz w:val="21"/>
          <w:szCs w:val="21"/>
          <w:u w:val="single"/>
        </w:rPr>
        <w:t xml:space="preserve">       </w:t>
      </w:r>
      <w:r>
        <w:rPr>
          <w:rFonts w:cs="Times New Roman"/>
          <w:sz w:val="21"/>
          <w:szCs w:val="21"/>
          <w:u w:val="single"/>
        </w:rPr>
        <w:t>；</w:t>
      </w:r>
      <w:r>
        <w:rPr>
          <w:rFonts w:cs="Times New Roman"/>
          <w:sz w:val="21"/>
          <w:szCs w:val="21"/>
        </w:rPr>
        <w:t xml:space="preserve"> </w:t>
      </w:r>
    </w:p>
    <w:p>
      <w:pPr>
        <w:adjustRightInd w:val="0"/>
        <w:snapToGrid w:val="0"/>
        <w:spacing w:line="520" w:lineRule="exact"/>
        <w:ind w:firstLine="630" w:firstLineChars="300"/>
        <w:rPr>
          <w:rFonts w:hint="eastAsia"/>
          <w:color w:val="000000"/>
          <w:szCs w:val="21"/>
        </w:rPr>
      </w:pPr>
      <w:r>
        <w:rPr>
          <w:color w:val="000000"/>
          <w:szCs w:val="21"/>
        </w:rPr>
        <w:t>成员</w:t>
      </w:r>
      <w:r>
        <w:rPr>
          <w:rFonts w:hint="eastAsia"/>
          <w:color w:val="000000"/>
          <w:szCs w:val="21"/>
        </w:rPr>
        <w:t>二</w:t>
      </w:r>
      <w:r>
        <w:rPr>
          <w:color w:val="000000"/>
          <w:szCs w:val="21"/>
        </w:rPr>
        <w:t>名称</w:t>
      </w:r>
      <w:r>
        <w:rPr>
          <w:color w:val="000000"/>
          <w:szCs w:val="21"/>
          <w:u w:val="single"/>
        </w:rPr>
        <w:t>：</w:t>
      </w:r>
      <w:r>
        <w:rPr>
          <w:rFonts w:hint="eastAsia"/>
          <w:color w:val="000000"/>
          <w:szCs w:val="21"/>
          <w:u w:val="single"/>
        </w:rPr>
        <w:t xml:space="preserve">          </w:t>
      </w:r>
      <w:r>
        <w:rPr>
          <w:color w:val="000000"/>
          <w:szCs w:val="21"/>
          <w:u w:val="single"/>
        </w:rPr>
        <w:t xml:space="preserve"> </w:t>
      </w:r>
      <w:r>
        <w:rPr>
          <w:color w:val="000000"/>
          <w:szCs w:val="21"/>
        </w:rPr>
        <w:t>，具有</w:t>
      </w:r>
      <w:r>
        <w:rPr>
          <w:color w:val="000000"/>
          <w:szCs w:val="21"/>
          <w:u w:val="single"/>
        </w:rPr>
        <w:t xml:space="preserve"> </w:t>
      </w:r>
      <w:r>
        <w:rPr>
          <w:rFonts w:hint="eastAsia"/>
          <w:color w:val="000000"/>
          <w:szCs w:val="21"/>
          <w:u w:val="single"/>
        </w:rPr>
        <w:t xml:space="preserve">           </w:t>
      </w:r>
      <w:r>
        <w:rPr>
          <w:color w:val="000000"/>
          <w:szCs w:val="21"/>
          <w:u w:val="single"/>
        </w:rPr>
        <w:t>资</w:t>
      </w:r>
      <w:r>
        <w:rPr>
          <w:color w:val="000000"/>
          <w:szCs w:val="21"/>
        </w:rPr>
        <w:t>格，</w:t>
      </w:r>
      <w:r>
        <w:rPr>
          <w:rFonts w:hint="eastAsia"/>
          <w:color w:val="000000"/>
          <w:szCs w:val="21"/>
        </w:rPr>
        <w:t>负责</w:t>
      </w:r>
      <w:r>
        <w:rPr>
          <w:color w:val="000000"/>
          <w:szCs w:val="21"/>
        </w:rPr>
        <w:t>承</w:t>
      </w:r>
      <w:r>
        <w:rPr>
          <w:color w:val="000000"/>
          <w:szCs w:val="21"/>
          <w:u w:val="single"/>
        </w:rPr>
        <w:t xml:space="preserve">担 </w:t>
      </w:r>
      <w:r>
        <w:rPr>
          <w:rFonts w:hint="eastAsia"/>
          <w:color w:val="000000"/>
          <w:szCs w:val="21"/>
          <w:u w:val="single"/>
        </w:rPr>
        <w:t xml:space="preserve">          </w:t>
      </w:r>
      <w:r>
        <w:rPr>
          <w:color w:val="000000"/>
          <w:szCs w:val="21"/>
        </w:rPr>
        <w:t>；</w:t>
      </w:r>
    </w:p>
    <w:p>
      <w:pPr>
        <w:adjustRightInd w:val="0"/>
        <w:snapToGrid w:val="0"/>
        <w:spacing w:line="520" w:lineRule="exact"/>
        <w:rPr>
          <w:rFonts w:hint="eastAsia" w:ascii="宋体" w:hAnsi="宋体"/>
          <w:color w:val="000000"/>
          <w:szCs w:val="21"/>
        </w:rPr>
      </w:pPr>
      <w:r>
        <w:rPr>
          <w:rFonts w:hint="eastAsia" w:ascii="宋体" w:hAnsi="宋体"/>
          <w:color w:val="000000"/>
          <w:szCs w:val="21"/>
        </w:rPr>
        <w:t xml:space="preserve">      </w:t>
      </w:r>
      <w:r>
        <w:rPr>
          <w:rFonts w:ascii="宋体" w:hAnsi="宋体"/>
          <w:color w:val="000000"/>
          <w:szCs w:val="21"/>
        </w:rPr>
        <w:t>……</w:t>
      </w:r>
      <w:r>
        <w:rPr>
          <w:rFonts w:hint="eastAsia" w:ascii="宋体" w:hAnsi="宋体"/>
          <w:color w:val="000000"/>
          <w:szCs w:val="21"/>
        </w:rPr>
        <w:t xml:space="preserve">                    </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5.本协议书自签署之日起生效，合同履行完毕后自动失效。</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6.联合体中标后，本联合体协议是合同的附件，对联合体各成员单位有合同约束力。</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7.本协议书一式</w:t>
      </w:r>
      <w:r>
        <w:rPr>
          <w:rFonts w:hint="eastAsia" w:ascii="宋体" w:hAnsi="宋体"/>
          <w:color w:val="000000"/>
          <w:szCs w:val="21"/>
          <w:u w:val="single"/>
        </w:rPr>
        <w:t xml:space="preserve">          </w:t>
      </w:r>
      <w:r>
        <w:rPr>
          <w:rFonts w:hint="eastAsia" w:ascii="宋体" w:hAnsi="宋体"/>
          <w:color w:val="000000"/>
          <w:szCs w:val="21"/>
        </w:rPr>
        <w:t>份，联合体成员和招标人各执一份。</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注：本协议由委托代理人签字的，应附法定代表人签字的授权委托书。</w:t>
      </w:r>
    </w:p>
    <w:p>
      <w:pPr>
        <w:adjustRightInd w:val="0"/>
        <w:snapToGrid w:val="0"/>
        <w:spacing w:line="520" w:lineRule="exact"/>
        <w:ind w:firstLine="420" w:firstLineChars="200"/>
        <w:jc w:val="left"/>
        <w:rPr>
          <w:rFonts w:hint="eastAsia" w:ascii="宋体" w:hAnsi="宋体"/>
          <w:color w:val="000000"/>
          <w:szCs w:val="21"/>
        </w:rPr>
      </w:pPr>
      <w:r>
        <w:rPr>
          <w:rFonts w:hint="eastAsia" w:ascii="宋体" w:hAnsi="宋体"/>
          <w:color w:val="000000"/>
          <w:szCs w:val="21"/>
        </w:rPr>
        <w:t xml:space="preserve">                           </w:t>
      </w:r>
    </w:p>
    <w:p>
      <w:pPr>
        <w:adjustRightInd w:val="0"/>
        <w:snapToGrid w:val="0"/>
        <w:spacing w:line="520" w:lineRule="exact"/>
        <w:ind w:firstLine="3150" w:firstLineChars="1500"/>
        <w:jc w:val="left"/>
        <w:rPr>
          <w:rFonts w:hint="eastAsia" w:ascii="宋体" w:hAnsi="宋体"/>
          <w:color w:val="000000"/>
          <w:szCs w:val="21"/>
        </w:rPr>
      </w:pPr>
      <w:r>
        <w:rPr>
          <w:rFonts w:hint="eastAsia" w:ascii="宋体" w:hAnsi="宋体"/>
          <w:color w:val="000000"/>
          <w:szCs w:val="21"/>
        </w:rPr>
        <w:t xml:space="preserve">  牵头人（成员一）名称： </w:t>
      </w:r>
      <w:r>
        <w:rPr>
          <w:rFonts w:hint="eastAsia" w:ascii="宋体" w:hAnsi="宋体"/>
          <w:color w:val="000000"/>
          <w:szCs w:val="21"/>
          <w:u w:val="single"/>
        </w:rPr>
        <w:t xml:space="preserve">                 </w:t>
      </w:r>
      <w:r>
        <w:rPr>
          <w:rFonts w:hint="eastAsia" w:ascii="宋体" w:hAnsi="宋体"/>
          <w:color w:val="000000"/>
          <w:szCs w:val="21"/>
        </w:rPr>
        <w:t>（签章）</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 xml:space="preserve">                             法定代表人：</w:t>
      </w:r>
      <w:r>
        <w:rPr>
          <w:rFonts w:hint="eastAsia" w:ascii="宋体" w:hAnsi="宋体"/>
          <w:color w:val="000000"/>
          <w:szCs w:val="21"/>
          <w:u w:val="single"/>
        </w:rPr>
        <w:t xml:space="preserve">            </w:t>
      </w:r>
      <w:r>
        <w:rPr>
          <w:rFonts w:hint="eastAsia" w:ascii="宋体" w:hAnsi="宋体"/>
          <w:color w:val="000000"/>
          <w:szCs w:val="21"/>
          <w:u w:val="single"/>
          <w:lang w:val="en-US" w:eastAsia="zh-CN"/>
        </w:rPr>
        <w:t xml:space="preserve">            </w:t>
      </w:r>
      <w:r>
        <w:rPr>
          <w:rFonts w:hint="eastAsia" w:ascii="宋体" w:hAnsi="宋体"/>
          <w:color w:val="000000"/>
          <w:szCs w:val="21"/>
          <w:u w:val="single"/>
        </w:rPr>
        <w:t xml:space="preserve">   </w:t>
      </w:r>
      <w:r>
        <w:rPr>
          <w:rFonts w:hint="eastAsia" w:ascii="宋体" w:hAnsi="宋体"/>
          <w:color w:val="000000"/>
          <w:szCs w:val="21"/>
        </w:rPr>
        <w:t>（签章）</w:t>
      </w:r>
    </w:p>
    <w:p>
      <w:pPr>
        <w:adjustRightInd w:val="0"/>
        <w:snapToGrid w:val="0"/>
        <w:spacing w:line="520" w:lineRule="exact"/>
        <w:ind w:firstLine="420" w:firstLineChars="200"/>
        <w:rPr>
          <w:rFonts w:hint="eastAsia" w:ascii="宋体" w:hAnsi="宋体"/>
          <w:color w:val="000000"/>
          <w:szCs w:val="21"/>
        </w:rPr>
      </w:pP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 xml:space="preserve">                             成员二名称：</w:t>
      </w:r>
      <w:r>
        <w:rPr>
          <w:rFonts w:hint="eastAsia" w:ascii="宋体" w:hAnsi="宋体"/>
          <w:color w:val="000000"/>
          <w:szCs w:val="21"/>
          <w:u w:val="single"/>
        </w:rPr>
        <w:t xml:space="preserve">              </w:t>
      </w:r>
      <w:r>
        <w:rPr>
          <w:rFonts w:hint="eastAsia" w:ascii="宋体" w:hAnsi="宋体"/>
          <w:color w:val="000000"/>
          <w:szCs w:val="21"/>
          <w:u w:val="single"/>
          <w:lang w:val="en-US" w:eastAsia="zh-CN"/>
        </w:rPr>
        <w:t xml:space="preserve"> </w:t>
      </w:r>
      <w:r>
        <w:rPr>
          <w:rFonts w:hint="eastAsia" w:ascii="宋体" w:hAnsi="宋体"/>
          <w:color w:val="000000"/>
          <w:szCs w:val="21"/>
          <w:u w:val="single"/>
        </w:rPr>
        <w:t xml:space="preserve">  </w:t>
      </w:r>
      <w:r>
        <w:rPr>
          <w:rFonts w:hint="eastAsia" w:ascii="宋体" w:hAnsi="宋体"/>
          <w:color w:val="000000"/>
          <w:szCs w:val="21"/>
          <w:u w:val="single"/>
          <w:lang w:val="en-US" w:eastAsia="zh-CN"/>
        </w:rPr>
        <w:t xml:space="preserve"> </w:t>
      </w:r>
      <w:r>
        <w:rPr>
          <w:rFonts w:hint="eastAsia" w:ascii="宋体" w:hAnsi="宋体"/>
          <w:color w:val="000000"/>
          <w:szCs w:val="21"/>
          <w:u w:val="single"/>
        </w:rPr>
        <w:t xml:space="preserve">         </w:t>
      </w:r>
      <w:r>
        <w:rPr>
          <w:rFonts w:hint="eastAsia" w:ascii="宋体" w:hAnsi="宋体"/>
          <w:color w:val="000000"/>
          <w:szCs w:val="21"/>
        </w:rPr>
        <w:t>（签章）</w:t>
      </w:r>
    </w:p>
    <w:p>
      <w:pPr>
        <w:adjustRightInd w:val="0"/>
        <w:snapToGrid w:val="0"/>
        <w:spacing w:line="520" w:lineRule="exact"/>
        <w:ind w:firstLine="420" w:firstLineChars="200"/>
        <w:rPr>
          <w:rFonts w:hint="eastAsia" w:ascii="宋体" w:hAnsi="宋体"/>
          <w:color w:val="000000"/>
          <w:szCs w:val="21"/>
        </w:rPr>
      </w:pPr>
      <w:r>
        <w:rPr>
          <w:rFonts w:hint="eastAsia" w:ascii="宋体" w:hAnsi="宋体"/>
          <w:color w:val="000000"/>
          <w:szCs w:val="21"/>
        </w:rPr>
        <w:t xml:space="preserve">                             法定代表人：</w:t>
      </w:r>
      <w:r>
        <w:rPr>
          <w:rFonts w:hint="eastAsia" w:ascii="宋体" w:hAnsi="宋体"/>
          <w:color w:val="000000"/>
          <w:szCs w:val="21"/>
          <w:u w:val="single"/>
        </w:rPr>
        <w:t xml:space="preserve">             </w:t>
      </w:r>
      <w:r>
        <w:rPr>
          <w:rFonts w:hint="eastAsia" w:ascii="宋体" w:hAnsi="宋体"/>
          <w:color w:val="000000"/>
          <w:szCs w:val="21"/>
          <w:u w:val="single"/>
          <w:lang w:val="en-US" w:eastAsia="zh-CN"/>
        </w:rPr>
        <w:t xml:space="preserve">            </w:t>
      </w:r>
      <w:r>
        <w:rPr>
          <w:rFonts w:hint="eastAsia" w:ascii="宋体" w:hAnsi="宋体"/>
          <w:color w:val="000000"/>
          <w:szCs w:val="21"/>
          <w:u w:val="single"/>
        </w:rPr>
        <w:t xml:space="preserve">  </w:t>
      </w:r>
      <w:r>
        <w:rPr>
          <w:rFonts w:hint="eastAsia" w:ascii="宋体" w:hAnsi="宋体"/>
          <w:color w:val="000000"/>
          <w:szCs w:val="21"/>
        </w:rPr>
        <w:t>（签章）</w:t>
      </w:r>
    </w:p>
    <w:p>
      <w:pPr>
        <w:adjustRightInd w:val="0"/>
        <w:snapToGrid w:val="0"/>
        <w:spacing w:line="520" w:lineRule="exact"/>
        <w:ind w:firstLine="420" w:firstLineChars="200"/>
        <w:jc w:val="right"/>
        <w:rPr>
          <w:rFonts w:hint="eastAsia"/>
          <w:color w:val="000000"/>
        </w:rPr>
      </w:pP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w:t>
      </w:r>
    </w:p>
    <w:bookmarkEnd w:id="225"/>
    <w:bookmarkEnd w:id="226"/>
    <w:bookmarkEnd w:id="227"/>
    <w:bookmarkEnd w:id="228"/>
    <w:p>
      <w:pPr>
        <w:pStyle w:val="33"/>
        <w:keepNext w:val="0"/>
        <w:keepLines w:val="0"/>
        <w:pageBreakBefore/>
        <w:widowControl w:val="0"/>
        <w:kinsoku/>
        <w:wordWrap/>
        <w:overflowPunct/>
        <w:topLinePunct w:val="0"/>
        <w:autoSpaceDE/>
        <w:autoSpaceDN/>
        <w:bidi w:val="0"/>
        <w:adjustRightInd/>
        <w:snapToGrid/>
        <w:ind w:left="420" w:hanging="420"/>
        <w:textAlignment w:val="auto"/>
        <w:rPr>
          <w:rFonts w:hint="eastAsia" w:ascii="宋体" w:hAnsi="宋体" w:eastAsia="宋体" w:cs="宋体"/>
          <w:bCs/>
          <w:color w:val="auto"/>
          <w:sz w:val="21"/>
          <w:szCs w:val="21"/>
          <w:highlight w:val="none"/>
          <w:lang w:eastAsia="zh-CN"/>
        </w:rPr>
      </w:pPr>
      <w:r>
        <w:rPr>
          <w:rFonts w:hint="eastAsia" w:ascii="宋体" w:hAnsi="宋体" w:eastAsia="宋体"/>
          <w:b/>
          <w:color w:val="auto"/>
          <w:sz w:val="21"/>
          <w:szCs w:val="21"/>
          <w:highlight w:val="none"/>
        </w:rPr>
        <w:t>附件</w:t>
      </w:r>
      <w:r>
        <w:rPr>
          <w:rFonts w:hint="eastAsia" w:ascii="宋体" w:hAnsi="宋体" w:eastAsia="宋体"/>
          <w:b/>
          <w:color w:val="auto"/>
          <w:sz w:val="21"/>
          <w:szCs w:val="21"/>
          <w:highlight w:val="none"/>
          <w:lang w:val="en-US" w:eastAsia="zh-CN"/>
        </w:rPr>
        <w:t>2：</w:t>
      </w:r>
    </w:p>
    <w:p>
      <w:pPr>
        <w:spacing w:line="360" w:lineRule="exact"/>
        <w:ind w:firstLine="531" w:firstLineChars="147"/>
        <w:jc w:val="center"/>
        <w:rPr>
          <w:rFonts w:hint="eastAsia" w:ascii="宋体" w:hAnsi="宋体" w:cs="宋体"/>
          <w:bCs/>
          <w:color w:val="auto"/>
          <w:sz w:val="28"/>
          <w:szCs w:val="28"/>
          <w:highlight w:val="none"/>
        </w:rPr>
      </w:pPr>
      <w:bookmarkStart w:id="229" w:name="OLE_LINK42"/>
      <w:r>
        <w:rPr>
          <w:rFonts w:hint="eastAsia" w:ascii="宋体" w:hAnsi="宋体"/>
          <w:b/>
          <w:color w:val="auto"/>
          <w:sz w:val="36"/>
          <w:szCs w:val="36"/>
          <w:lang w:val="en-US" w:eastAsia="zh-CN"/>
        </w:rPr>
        <w:t>投标报价</w:t>
      </w:r>
      <w:r>
        <w:rPr>
          <w:rFonts w:hint="eastAsia" w:ascii="宋体" w:hAnsi="宋体"/>
          <w:b/>
          <w:color w:val="auto"/>
          <w:sz w:val="36"/>
          <w:szCs w:val="36"/>
        </w:rPr>
        <w:t>一览表</w:t>
      </w:r>
    </w:p>
    <w:p>
      <w:pPr>
        <w:spacing w:line="360" w:lineRule="exact"/>
        <w:ind w:firstLine="352" w:firstLineChars="147"/>
        <w:rPr>
          <w:rFonts w:hint="eastAsia" w:ascii="宋体" w:hAnsi="宋体" w:cs="宋体"/>
          <w:bCs/>
          <w:color w:val="auto"/>
          <w:sz w:val="24"/>
          <w:szCs w:val="24"/>
          <w:highlight w:val="none"/>
        </w:rPr>
      </w:pPr>
    </w:p>
    <w:tbl>
      <w:tblPr>
        <w:tblStyle w:val="4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77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jc w:val="center"/>
        </w:trPr>
        <w:tc>
          <w:tcPr>
            <w:tcW w:w="1803" w:type="dxa"/>
            <w:tcBorders>
              <w:top w:val="single" w:color="auto" w:sz="12" w:space="0"/>
              <w:bottom w:val="single" w:color="auto" w:sz="12" w:space="0"/>
              <w:right w:val="single" w:color="auto" w:sz="12" w:space="0"/>
            </w:tcBorders>
            <w:noWrap w:val="0"/>
            <w:vAlign w:val="center"/>
          </w:tcPr>
          <w:p>
            <w:pPr>
              <w:keepNext w:val="0"/>
              <w:keepLines w:val="0"/>
              <w:widowControl/>
              <w:suppressLineNumbers w:val="0"/>
              <w:spacing w:before="0" w:beforeAutospacing="0" w:after="0" w:afterAutospacing="0" w:line="460" w:lineRule="exact"/>
              <w:ind w:left="0" w:right="0"/>
              <w:jc w:val="center"/>
              <w:rPr>
                <w:rFonts w:hint="eastAsia" w:ascii="宋体" w:hAnsi="宋体" w:eastAsia="Times New Roman" w:cs="宋体"/>
                <w:bCs/>
                <w:color w:val="auto"/>
                <w:szCs w:val="21"/>
                <w:highlight w:val="none"/>
              </w:rPr>
            </w:pPr>
            <w:r>
              <w:rPr>
                <w:rFonts w:hint="eastAsia" w:ascii="宋体" w:hAnsi="宋体" w:eastAsia="Times New Roman" w:cs="宋体"/>
                <w:bCs/>
                <w:color w:val="auto"/>
                <w:szCs w:val="21"/>
                <w:highlight w:val="none"/>
              </w:rPr>
              <w:t>项目名称</w:t>
            </w:r>
          </w:p>
        </w:tc>
        <w:tc>
          <w:tcPr>
            <w:tcW w:w="7797" w:type="dxa"/>
            <w:tcBorders>
              <w:top w:val="single" w:color="auto" w:sz="12" w:space="0"/>
              <w:left w:val="single" w:color="auto" w:sz="12" w:space="0"/>
              <w:bottom w:val="single" w:color="auto" w:sz="12" w:space="0"/>
            </w:tcBorders>
            <w:noWrap w:val="0"/>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Times New Roman" w:cs="宋体"/>
                <w:bCs/>
                <w:color w:val="auto"/>
                <w:szCs w:val="21"/>
                <w:highlight w:val="none"/>
              </w:rPr>
            </w:pPr>
            <w:r>
              <w:rPr>
                <w:rFonts w:hint="eastAsia" w:ascii="宋体" w:hAnsi="宋体" w:eastAsia="Times New Roman" w:cs="宋体"/>
                <w:bCs/>
                <w:color w:val="auto"/>
                <w:szCs w:val="21"/>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jc w:val="center"/>
        </w:trPr>
        <w:tc>
          <w:tcPr>
            <w:tcW w:w="1803" w:type="dxa"/>
            <w:tcBorders>
              <w:top w:val="single" w:color="auto" w:sz="12" w:space="0"/>
              <w:right w:val="single" w:color="auto" w:sz="12" w:space="0"/>
            </w:tcBorders>
            <w:noWrap w:val="0"/>
            <w:vAlign w:val="center"/>
          </w:tcPr>
          <w:p>
            <w:pPr>
              <w:keepNext w:val="0"/>
              <w:keepLines w:val="0"/>
              <w:widowControl/>
              <w:suppressLineNumbers w:val="0"/>
              <w:spacing w:before="0" w:beforeAutospacing="0" w:after="0" w:afterAutospacing="0" w:line="460" w:lineRule="exact"/>
              <w:ind w:left="0" w:right="0"/>
              <w:jc w:val="center"/>
              <w:rPr>
                <w:rFonts w:hint="eastAsia" w:ascii="宋体" w:hAnsi="宋体" w:eastAsia="Times New Roman" w:cs="宋体"/>
                <w:bCs/>
                <w:color w:val="auto"/>
                <w:szCs w:val="21"/>
                <w:highlight w:val="none"/>
              </w:rPr>
            </w:pPr>
            <w:r>
              <w:rPr>
                <w:rFonts w:hint="eastAsia" w:ascii="宋体" w:hAnsi="宋体" w:eastAsia="Times New Roman" w:cs="宋体"/>
                <w:bCs/>
                <w:color w:val="auto"/>
                <w:szCs w:val="21"/>
                <w:highlight w:val="none"/>
              </w:rPr>
              <w:t>项目编号</w:t>
            </w:r>
          </w:p>
        </w:tc>
        <w:tc>
          <w:tcPr>
            <w:tcW w:w="7797" w:type="dxa"/>
            <w:tcBorders>
              <w:top w:val="single" w:color="auto" w:sz="12" w:space="0"/>
              <w:left w:val="single" w:color="auto" w:sz="12"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Cs/>
                <w:color w:val="auto"/>
                <w:szCs w:val="21"/>
                <w:highlight w:val="none"/>
                <w:lang w:val="en-US" w:eastAsia="zh-CN"/>
              </w:rPr>
            </w:pPr>
            <w:r>
              <w:rPr>
                <w:rFonts w:hint="eastAsia" w:ascii="宋体" w:hAnsi="宋体" w:eastAsia="Times New Roman" w:cs="宋体"/>
                <w:bCs/>
                <w:color w:val="auto"/>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jc w:val="center"/>
        </w:trPr>
        <w:tc>
          <w:tcPr>
            <w:tcW w:w="1803" w:type="dxa"/>
            <w:tcBorders>
              <w:right w:val="single" w:color="auto" w:sz="12" w:space="0"/>
            </w:tcBorders>
            <w:noWrap w:val="0"/>
            <w:vAlign w:val="center"/>
          </w:tcPr>
          <w:p>
            <w:pPr>
              <w:keepNext w:val="0"/>
              <w:keepLines w:val="0"/>
              <w:widowControl/>
              <w:suppressLineNumbers w:val="0"/>
              <w:spacing w:before="0" w:beforeAutospacing="0" w:after="0" w:afterAutospacing="0" w:line="460" w:lineRule="exact"/>
              <w:ind w:left="0" w:right="0"/>
              <w:jc w:val="center"/>
              <w:rPr>
                <w:rFonts w:hint="eastAsia" w:ascii="宋体" w:hAnsi="宋体" w:eastAsia="Times New Roman" w:cs="宋体"/>
                <w:bCs/>
                <w:color w:val="auto"/>
                <w:szCs w:val="21"/>
                <w:highlight w:val="none"/>
              </w:rPr>
            </w:pPr>
            <w:r>
              <w:rPr>
                <w:rFonts w:hint="eastAsia" w:ascii="宋体" w:hAnsi="宋体" w:eastAsia="Times New Roman" w:cs="宋体"/>
                <w:bCs/>
                <w:color w:val="auto"/>
                <w:szCs w:val="21"/>
                <w:highlight w:val="none"/>
              </w:rPr>
              <w:t>供应商名称</w:t>
            </w:r>
          </w:p>
        </w:tc>
        <w:tc>
          <w:tcPr>
            <w:tcW w:w="7797" w:type="dxa"/>
            <w:tcBorders>
              <w:left w:val="single" w:color="auto" w:sz="12" w:space="0"/>
            </w:tcBorders>
            <w:noWrap w:val="0"/>
            <w:vAlign w:val="top"/>
          </w:tcPr>
          <w:p>
            <w:pPr>
              <w:pStyle w:val="26"/>
              <w:keepNext w:val="0"/>
              <w:keepLines w:val="0"/>
              <w:suppressLineNumbers w:val="0"/>
              <w:spacing w:before="0" w:beforeAutospacing="0" w:after="0" w:afterAutospacing="0" w:line="460" w:lineRule="exact"/>
              <w:ind w:left="86" w:leftChars="41" w:right="0"/>
              <w:rPr>
                <w:rFonts w:hint="eastAsia" w:ascii="宋体" w:hAnsi="宋体" w:eastAsia="宋体" w:cs="宋体"/>
                <w:bCs/>
                <w:color w:val="auto"/>
                <w:sz w:val="21"/>
                <w:szCs w:val="21"/>
                <w:highlight w:val="none"/>
                <w:u w:val="none" w:color="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jc w:val="center"/>
        </w:trPr>
        <w:tc>
          <w:tcPr>
            <w:tcW w:w="1803" w:type="dxa"/>
            <w:tcBorders>
              <w:right w:val="single" w:color="auto" w:sz="12"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宋体" w:hAnsi="宋体" w:eastAsia="Times New Roman" w:cs="宋体"/>
                <w:bCs/>
                <w:color w:val="auto"/>
                <w:szCs w:val="21"/>
                <w:highlight w:val="none"/>
              </w:rPr>
            </w:pPr>
            <w:r>
              <w:rPr>
                <w:rFonts w:hint="eastAsia" w:ascii="宋体" w:hAnsi="宋体" w:eastAsia="Times New Roman" w:cs="宋体"/>
                <w:bCs/>
                <w:color w:val="auto"/>
                <w:szCs w:val="21"/>
                <w:highlight w:val="none"/>
              </w:rPr>
              <w:t>报价\</w:t>
            </w:r>
            <w:r>
              <w:rPr>
                <w:rFonts w:hint="eastAsia" w:ascii="宋体" w:hAnsi="宋体" w:eastAsia="Times New Roman" w:cs="宋体"/>
                <w:bCs/>
                <w:color w:val="auto"/>
                <w:szCs w:val="21"/>
                <w:highlight w:val="none"/>
                <w:lang w:val="en-US" w:eastAsia="zh-CN"/>
              </w:rPr>
              <w:t>供货</w:t>
            </w:r>
            <w:r>
              <w:rPr>
                <w:rFonts w:hint="eastAsia" w:ascii="宋体" w:hAnsi="宋体" w:eastAsia="Times New Roman" w:cs="宋体"/>
                <w:bCs/>
                <w:color w:val="auto"/>
                <w:szCs w:val="21"/>
                <w:highlight w:val="none"/>
              </w:rPr>
              <w:t>期：</w:t>
            </w:r>
          </w:p>
        </w:tc>
        <w:tc>
          <w:tcPr>
            <w:tcW w:w="7797" w:type="dxa"/>
            <w:tcBorders>
              <w:left w:val="single" w:color="auto" w:sz="12" w:space="0"/>
            </w:tcBorders>
            <w:noWrap w:val="0"/>
            <w:vAlign w:val="center"/>
          </w:tcPr>
          <w:p>
            <w:pPr>
              <w:keepNext w:val="0"/>
              <w:keepLines w:val="0"/>
              <w:widowControl/>
              <w:suppressLineNumbers w:val="0"/>
              <w:spacing w:before="0" w:beforeAutospacing="0" w:after="0" w:afterAutospacing="0" w:line="360" w:lineRule="auto"/>
              <w:ind w:left="0" w:right="0"/>
              <w:rPr>
                <w:rFonts w:hint="eastAsia" w:ascii="宋体" w:hAnsi="宋体" w:eastAsia="宋体" w:cs="宋体"/>
                <w:bCs/>
                <w:color w:val="auto"/>
                <w:szCs w:val="21"/>
                <w:highlight w:val="none"/>
                <w:lang w:eastAsia="zh-CN"/>
              </w:rPr>
            </w:pPr>
            <w:r>
              <w:rPr>
                <w:rFonts w:hint="eastAsia" w:ascii="宋体" w:hAnsi="宋体" w:eastAsia="Times New Roman" w:cs="宋体"/>
                <w:bCs/>
                <w:color w:val="auto"/>
                <w:szCs w:val="21"/>
                <w:highlight w:val="none"/>
                <w:lang w:eastAsia="zh-CN"/>
              </w:rPr>
              <w:t>投标报价</w:t>
            </w:r>
            <w:r>
              <w:rPr>
                <w:rFonts w:hint="eastAsia" w:ascii="宋体" w:hAnsi="宋体" w:eastAsia="Times New Roman" w:cs="宋体"/>
                <w:bCs/>
                <w:color w:val="auto"/>
                <w:szCs w:val="21"/>
                <w:highlight w:val="none"/>
              </w:rPr>
              <w:t>（大写）：</w:t>
            </w:r>
            <w:r>
              <w:rPr>
                <w:rFonts w:hint="eastAsia" w:ascii="宋体" w:hAnsi="宋体" w:eastAsia="Times New Roman" w:cs="宋体"/>
                <w:bCs/>
                <w:color w:val="auto"/>
                <w:szCs w:val="21"/>
                <w:highlight w:val="none"/>
                <w:u w:val="single"/>
              </w:rPr>
              <w:t xml:space="preserve">                     </w:t>
            </w:r>
            <w:r>
              <w:rPr>
                <w:rFonts w:hint="eastAsia" w:ascii="宋体" w:hAnsi="宋体" w:eastAsia="Times New Roman" w:cs="宋体"/>
                <w:bCs/>
                <w:color w:val="auto"/>
                <w:szCs w:val="21"/>
                <w:highlight w:val="none"/>
              </w:rPr>
              <w:t>元</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lang w:val="en-US" w:eastAsia="zh-CN"/>
              </w:rPr>
              <w:t>含税</w:t>
            </w:r>
            <w:r>
              <w:rPr>
                <w:rFonts w:hint="eastAsia" w:ascii="宋体" w:hAnsi="宋体" w:eastAsia="宋体" w:cs="宋体"/>
                <w:bCs/>
                <w:color w:val="auto"/>
                <w:szCs w:val="21"/>
                <w:highlight w:val="none"/>
                <w:lang w:eastAsia="zh-CN"/>
              </w:rPr>
              <w:t>）；</w:t>
            </w:r>
          </w:p>
          <w:p>
            <w:pPr>
              <w:keepNext w:val="0"/>
              <w:keepLines w:val="0"/>
              <w:widowControl/>
              <w:suppressLineNumbers w:val="0"/>
              <w:spacing w:before="0" w:beforeAutospacing="0" w:after="0" w:afterAutospacing="0" w:line="360" w:lineRule="auto"/>
              <w:ind w:left="0" w:right="0" w:firstLine="945" w:firstLineChars="450"/>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eastAsia="zh-CN"/>
              </w:rPr>
              <w:t>（</w:t>
            </w:r>
            <w:r>
              <w:rPr>
                <w:rFonts w:hint="eastAsia" w:ascii="宋体" w:hAnsi="宋体" w:eastAsia="Times New Roman" w:cs="宋体"/>
                <w:bCs/>
                <w:color w:val="auto"/>
                <w:szCs w:val="21"/>
                <w:highlight w:val="none"/>
              </w:rPr>
              <w:t>小写</w:t>
            </w:r>
            <w:r>
              <w:rPr>
                <w:rFonts w:hint="eastAsia" w:ascii="宋体" w:hAnsi="宋体" w:eastAsia="宋体" w:cs="宋体"/>
                <w:bCs/>
                <w:color w:val="auto"/>
                <w:szCs w:val="21"/>
                <w:highlight w:val="none"/>
                <w:lang w:eastAsia="zh-CN"/>
              </w:rPr>
              <w:t>）</w:t>
            </w:r>
            <w:r>
              <w:rPr>
                <w:rFonts w:hint="eastAsia" w:ascii="宋体" w:hAnsi="宋体" w:eastAsia="Times New Roman" w:cs="宋体"/>
                <w:bCs/>
                <w:color w:val="auto"/>
                <w:szCs w:val="21"/>
                <w:highlight w:val="none"/>
              </w:rPr>
              <w:t xml:space="preserve"> ：</w:t>
            </w:r>
            <w:r>
              <w:rPr>
                <w:rFonts w:hint="eastAsia" w:ascii="宋体" w:hAnsi="宋体" w:eastAsia="Times New Roman" w:cs="宋体"/>
                <w:bCs/>
                <w:color w:val="auto"/>
                <w:szCs w:val="21"/>
                <w:highlight w:val="none"/>
                <w:u w:val="single"/>
              </w:rPr>
              <w:t xml:space="preserve">                    </w:t>
            </w:r>
            <w:r>
              <w:rPr>
                <w:rFonts w:hint="eastAsia" w:ascii="宋体" w:hAnsi="宋体" w:eastAsia="Times New Roman" w:cs="宋体"/>
                <w:bCs/>
                <w:color w:val="auto"/>
                <w:szCs w:val="21"/>
                <w:highlight w:val="none"/>
              </w:rPr>
              <w:t>元</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lang w:val="en-US" w:eastAsia="zh-CN"/>
              </w:rPr>
              <w:t>含税</w:t>
            </w:r>
            <w:r>
              <w:rPr>
                <w:rFonts w:hint="eastAsia" w:ascii="宋体" w:hAnsi="宋体" w:eastAsia="宋体" w:cs="宋体"/>
                <w:bCs/>
                <w:color w:val="auto"/>
                <w:szCs w:val="21"/>
                <w:highlight w:val="none"/>
                <w:lang w:eastAsia="zh-CN"/>
              </w:rPr>
              <w:t>）；</w:t>
            </w:r>
          </w:p>
          <w:p>
            <w:pPr>
              <w:keepNext w:val="0"/>
              <w:keepLines w:val="0"/>
              <w:widowControl/>
              <w:suppressLineNumbers w:val="0"/>
              <w:spacing w:before="0" w:beforeAutospacing="0" w:after="0" w:afterAutospacing="0" w:line="600" w:lineRule="auto"/>
              <w:ind w:left="0" w:right="0"/>
              <w:rPr>
                <w:rFonts w:hint="eastAsia" w:ascii="宋体" w:hAnsi="宋体" w:eastAsia="Times New Roman" w:cs="宋体"/>
                <w:bCs/>
                <w:color w:val="auto"/>
                <w:szCs w:val="21"/>
                <w:highlight w:val="none"/>
                <w:u w:val="single" w:color="auto"/>
              </w:rPr>
            </w:pPr>
            <w:r>
              <w:rPr>
                <w:rFonts w:hint="eastAsia" w:ascii="宋体" w:hAnsi="宋体" w:eastAsia="宋体" w:cs="宋体"/>
                <w:bCs/>
                <w:color w:val="auto"/>
                <w:szCs w:val="21"/>
                <w:highlight w:val="none"/>
                <w:lang w:val="en-US" w:eastAsia="zh-CN"/>
              </w:rPr>
              <w:t>税率</w:t>
            </w:r>
            <w:r>
              <w:rPr>
                <w:rFonts w:hint="eastAsia" w:ascii="宋体" w:hAnsi="宋体" w:eastAsia="Times New Roman" w:cs="宋体"/>
                <w:bCs/>
                <w:color w:val="auto"/>
                <w:szCs w:val="21"/>
                <w:highlight w:val="none"/>
              </w:rPr>
              <w:t>：</w:t>
            </w:r>
            <w:r>
              <w:rPr>
                <w:rFonts w:hint="eastAsia" w:ascii="宋体" w:hAnsi="宋体" w:eastAsia="Times New Roman" w:cs="宋体"/>
                <w:bCs/>
                <w:color w:val="auto"/>
                <w:szCs w:val="21"/>
                <w:highlight w:val="none"/>
                <w:u w:val="single" w:color="auto"/>
              </w:rPr>
              <w:t xml:space="preserve">  </w:t>
            </w:r>
            <w:r>
              <w:rPr>
                <w:rFonts w:hint="eastAsia" w:ascii="宋体" w:hAnsi="宋体" w:eastAsia="Times New Roman" w:cs="宋体"/>
                <w:bCs/>
                <w:color w:val="auto"/>
                <w:szCs w:val="21"/>
                <w:highlight w:val="none"/>
                <w:u w:val="single" w:color="auto"/>
                <w:lang w:val="en-US" w:eastAsia="zh-CN"/>
              </w:rPr>
              <w:t xml:space="preserve">    </w:t>
            </w:r>
            <w:r>
              <w:rPr>
                <w:rFonts w:hint="eastAsia" w:ascii="宋体" w:hAnsi="宋体" w:eastAsia="Times New Roman" w:cs="宋体"/>
                <w:bCs/>
                <w:color w:val="auto"/>
                <w:szCs w:val="21"/>
                <w:highlight w:val="none"/>
                <w:u w:val="single" w:color="auto"/>
              </w:rPr>
              <w:t xml:space="preserve"> </w:t>
            </w:r>
            <w:r>
              <w:rPr>
                <w:rFonts w:hint="eastAsia" w:ascii="宋体" w:hAnsi="宋体" w:eastAsia="Times New Roman" w:cs="宋体"/>
                <w:bCs/>
                <w:color w:val="auto"/>
                <w:szCs w:val="21"/>
                <w:highlight w:val="none"/>
                <w:u w:val="none" w:color="auto"/>
              </w:rPr>
              <w:t>。</w:t>
            </w:r>
          </w:p>
        </w:tc>
      </w:tr>
    </w:tbl>
    <w:p>
      <w:pPr>
        <w:widowControl w:val="0"/>
        <w:snapToGrid w:val="0"/>
        <w:spacing w:line="460" w:lineRule="exact"/>
        <w:ind w:left="2940" w:leftChars="1400" w:firstLine="720" w:firstLineChars="300"/>
        <w:rPr>
          <w:rFonts w:hint="eastAsia" w:ascii="宋体" w:hAnsi="宋体" w:cs="宋体"/>
          <w:bCs/>
          <w:color w:val="auto"/>
          <w:sz w:val="24"/>
          <w:szCs w:val="24"/>
          <w:highlight w:val="none"/>
        </w:rPr>
      </w:pPr>
    </w:p>
    <w:p>
      <w:pPr>
        <w:widowControl w:val="0"/>
        <w:snapToGrid w:val="0"/>
        <w:spacing w:line="460" w:lineRule="exact"/>
        <w:ind w:left="2940" w:leftChars="1400" w:firstLine="720" w:firstLineChars="300"/>
        <w:rPr>
          <w:rFonts w:hint="eastAsia" w:ascii="宋体" w:hAnsi="宋体" w:cs="宋体"/>
          <w:bCs/>
          <w:color w:val="auto"/>
          <w:sz w:val="24"/>
          <w:szCs w:val="24"/>
          <w:highlight w:val="none"/>
        </w:rPr>
      </w:pPr>
    </w:p>
    <w:p>
      <w:pPr>
        <w:rPr>
          <w:rFonts w:hint="eastAsia" w:ascii="宋体" w:hAnsi="宋体" w:cs="宋体"/>
          <w:bCs/>
          <w:color w:val="auto"/>
          <w:sz w:val="24"/>
          <w:szCs w:val="24"/>
          <w:highlight w:val="none"/>
        </w:rPr>
      </w:pPr>
      <w:r>
        <w:rPr>
          <w:rFonts w:hint="eastAsia" w:ascii="宋体" w:hAnsi="宋体" w:cs="宋体"/>
          <w:bCs/>
          <w:color w:val="auto"/>
          <w:sz w:val="24"/>
          <w:szCs w:val="24"/>
          <w:highlight w:val="none"/>
        </w:rPr>
        <w:t>法定代表人</w:t>
      </w:r>
      <w:r>
        <w:rPr>
          <w:rFonts w:hint="eastAsia" w:ascii="宋体" w:hAnsi="宋体" w:cs="宋体"/>
          <w:bCs/>
          <w:color w:val="auto"/>
          <w:sz w:val="24"/>
          <w:szCs w:val="24"/>
          <w:highlight w:val="none"/>
          <w:lang w:val="en-US" w:eastAsia="zh-CN"/>
        </w:rPr>
        <w:t>或委托代理人</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签字或盖章</w:t>
      </w:r>
      <w:r>
        <w:rPr>
          <w:rFonts w:hint="eastAsia" w:ascii="宋体" w:hAnsi="宋体" w:cs="宋体"/>
          <w:bCs/>
          <w:color w:val="auto"/>
          <w:sz w:val="24"/>
          <w:szCs w:val="24"/>
          <w:highlight w:val="none"/>
        </w:rPr>
        <w:t>）：             供应商（</w:t>
      </w:r>
      <w:r>
        <w:rPr>
          <w:rFonts w:hint="eastAsia" w:ascii="宋体" w:hAnsi="宋体" w:cs="宋体"/>
          <w:bCs/>
          <w:color w:val="auto"/>
          <w:sz w:val="24"/>
          <w:szCs w:val="24"/>
          <w:highlight w:val="none"/>
          <w:lang w:val="en-US" w:eastAsia="zh-CN"/>
        </w:rPr>
        <w:t>盖章</w:t>
      </w:r>
      <w:r>
        <w:rPr>
          <w:rFonts w:hint="eastAsia" w:ascii="宋体" w:hAnsi="宋体" w:cs="宋体"/>
          <w:bCs/>
          <w:color w:val="auto"/>
          <w:sz w:val="24"/>
          <w:szCs w:val="24"/>
          <w:highlight w:val="none"/>
        </w:rPr>
        <w:t>）：</w:t>
      </w:r>
    </w:p>
    <w:p>
      <w:pPr>
        <w:widowControl w:val="0"/>
        <w:snapToGrid w:val="0"/>
        <w:spacing w:before="312" w:beforeLines="100" w:after="312" w:afterLines="100" w:line="360" w:lineRule="auto"/>
        <w:jc w:val="center"/>
        <w:rPr>
          <w:rFonts w:hint="eastAsia" w:ascii="宋体" w:hAnsi="宋体" w:cs="宋体"/>
          <w:bCs/>
          <w:color w:val="auto"/>
          <w:sz w:val="24"/>
          <w:szCs w:val="24"/>
          <w:highlight w:val="none"/>
        </w:rPr>
      </w:pPr>
      <w:r>
        <w:rPr>
          <w:rFonts w:hint="eastAsia" w:ascii="宋体" w:hAnsi="宋体" w:cs="宋体"/>
          <w:bCs/>
          <w:color w:val="auto"/>
          <w:sz w:val="24"/>
          <w:szCs w:val="24"/>
          <w:highlight w:val="none"/>
        </w:rPr>
        <w:t xml:space="preserve">                                      </w:t>
      </w:r>
      <w:bookmarkStart w:id="230" w:name="_Toc11960"/>
      <w:bookmarkStart w:id="231" w:name="_Toc26400"/>
      <w:r>
        <w:rPr>
          <w:rFonts w:hint="eastAsia" w:ascii="宋体" w:hAnsi="宋体" w:cs="宋体"/>
          <w:bCs/>
          <w:color w:val="auto"/>
          <w:sz w:val="24"/>
          <w:szCs w:val="24"/>
          <w:highlight w:val="none"/>
        </w:rPr>
        <w:t>日  期：    年  月  日</w:t>
      </w:r>
      <w:bookmarkEnd w:id="230"/>
      <w:bookmarkEnd w:id="231"/>
      <w:r>
        <w:rPr>
          <w:rFonts w:hint="eastAsia" w:ascii="宋体" w:hAnsi="宋体" w:cs="宋体"/>
          <w:bCs/>
          <w:color w:val="auto"/>
          <w:sz w:val="24"/>
          <w:szCs w:val="24"/>
          <w:highlight w:val="none"/>
        </w:rPr>
        <w:t xml:space="preserve"> </w:t>
      </w:r>
    </w:p>
    <w:p>
      <w:pPr>
        <w:jc w:val="center"/>
        <w:rPr>
          <w:rFonts w:hint="eastAsia" w:ascii="宋体" w:hAnsi="宋体" w:cs="宋体"/>
          <w:bCs/>
          <w:color w:val="auto"/>
          <w:sz w:val="24"/>
          <w:szCs w:val="24"/>
          <w:highlight w:val="none"/>
        </w:rPr>
      </w:pPr>
    </w:p>
    <w:p>
      <w:pPr>
        <w:pStyle w:val="2"/>
        <w:ind w:firstLine="480"/>
        <w:rPr>
          <w:rFonts w:hint="eastAsia" w:hAnsi="宋体" w:cs="宋体"/>
          <w:bCs/>
          <w:color w:val="auto"/>
          <w:sz w:val="24"/>
          <w:highlight w:val="none"/>
        </w:rPr>
      </w:pPr>
    </w:p>
    <w:p>
      <w:pPr>
        <w:rPr>
          <w:rFonts w:hint="eastAsia" w:hAnsi="宋体" w:cs="宋体"/>
          <w:bCs/>
          <w:color w:val="auto"/>
          <w:sz w:val="24"/>
          <w:highlight w:val="none"/>
        </w:rPr>
      </w:pPr>
    </w:p>
    <w:p>
      <w:pPr>
        <w:pStyle w:val="2"/>
        <w:rPr>
          <w:rFonts w:hint="eastAsia" w:hAnsi="宋体" w:cs="宋体"/>
          <w:bCs/>
          <w:color w:val="auto"/>
          <w:sz w:val="24"/>
          <w:highlight w:val="none"/>
        </w:rPr>
      </w:pPr>
    </w:p>
    <w:p>
      <w:pPr>
        <w:rPr>
          <w:rFonts w:hint="eastAsia"/>
          <w:color w:val="auto"/>
          <w:highlight w:val="none"/>
        </w:rPr>
      </w:pPr>
    </w:p>
    <w:p>
      <w:pPr>
        <w:jc w:val="center"/>
        <w:rPr>
          <w:rFonts w:hint="eastAsia" w:ascii="宋体" w:hAnsi="宋体" w:cs="宋体"/>
          <w:bCs/>
          <w:color w:val="auto"/>
          <w:sz w:val="24"/>
          <w:szCs w:val="24"/>
          <w:highlight w:val="none"/>
        </w:rPr>
      </w:pPr>
    </w:p>
    <w:p>
      <w:pPr>
        <w:pStyle w:val="33"/>
        <w:rPr>
          <w:rFonts w:hint="eastAsia" w:ascii="宋体" w:hAnsi="宋体" w:eastAsia="宋体" w:cs="宋体"/>
          <w:bCs/>
          <w:color w:val="auto"/>
          <w:highlight w:val="none"/>
          <w:lang w:val="en-US" w:eastAsia="zh-CN"/>
        </w:rPr>
      </w:pPr>
      <w:r>
        <w:rPr>
          <w:rFonts w:hint="eastAsia" w:ascii="宋体" w:hAnsi="宋体" w:eastAsia="宋体"/>
          <w:b/>
          <w:color w:val="auto"/>
          <w:sz w:val="21"/>
          <w:szCs w:val="21"/>
          <w:highlight w:val="none"/>
        </w:rPr>
        <w:t>附件</w:t>
      </w:r>
      <w:r>
        <w:rPr>
          <w:rFonts w:hint="eastAsia" w:ascii="宋体" w:hAnsi="宋体" w:eastAsia="宋体"/>
          <w:b/>
          <w:color w:val="auto"/>
          <w:sz w:val="21"/>
          <w:szCs w:val="21"/>
          <w:highlight w:val="none"/>
          <w:lang w:val="en-US" w:eastAsia="zh-CN"/>
        </w:rPr>
        <w:t>3：</w:t>
      </w:r>
    </w:p>
    <w:bookmarkEnd w:id="229"/>
    <w:p>
      <w:pPr>
        <w:spacing w:line="360" w:lineRule="exact"/>
        <w:ind w:firstLine="413" w:firstLineChars="147"/>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响 应 函</w:t>
      </w:r>
    </w:p>
    <w:p>
      <w:pPr>
        <w:spacing w:line="440" w:lineRule="exact"/>
        <w:rPr>
          <w:rFonts w:hint="eastAsia" w:ascii="宋体" w:hAnsi="宋体" w:cs="宋体"/>
          <w:bCs/>
          <w:color w:val="auto"/>
          <w:sz w:val="24"/>
          <w:highlight w:val="none"/>
        </w:rPr>
      </w:pPr>
    </w:p>
    <w:p>
      <w:pPr>
        <w:spacing w:line="360" w:lineRule="auto"/>
        <w:rPr>
          <w:rFonts w:hint="eastAsia" w:ascii="宋体" w:hAnsi="宋体" w:cs="宋体"/>
          <w:bCs/>
          <w:color w:val="auto"/>
          <w:szCs w:val="16"/>
          <w:highlight w:val="none"/>
          <w:u w:val="none" w:color="auto"/>
        </w:rPr>
      </w:pPr>
      <w:r>
        <w:rPr>
          <w:rFonts w:hint="eastAsia" w:ascii="宋体" w:hAnsi="宋体" w:cs="宋体"/>
          <w:bCs/>
          <w:color w:val="auto"/>
          <w:szCs w:val="16"/>
          <w:highlight w:val="none"/>
        </w:rPr>
        <w:t>致：</w:t>
      </w:r>
      <w:r>
        <w:rPr>
          <w:rFonts w:hint="eastAsia" w:ascii="宋体" w:hAnsi="宋体" w:cs="宋体"/>
          <w:bCs/>
          <w:color w:val="auto"/>
          <w:szCs w:val="16"/>
          <w:highlight w:val="none"/>
          <w:u w:val="none" w:color="auto"/>
        </w:rPr>
        <w:t xml:space="preserve">  </w:t>
      </w:r>
      <w:r>
        <w:rPr>
          <w:rFonts w:hint="eastAsia" w:ascii="宋体" w:hAnsi="宋体" w:cs="宋体"/>
          <w:bCs/>
          <w:color w:val="auto"/>
          <w:szCs w:val="16"/>
          <w:highlight w:val="none"/>
          <w:u w:val="single"/>
        </w:rPr>
        <w:t xml:space="preserve">          （采购人）          </w:t>
      </w:r>
      <w:r>
        <w:rPr>
          <w:rFonts w:hint="eastAsia" w:ascii="宋体" w:hAnsi="宋体" w:cs="宋体"/>
          <w:bCs/>
          <w:color w:val="auto"/>
          <w:szCs w:val="16"/>
          <w:highlight w:val="none"/>
          <w:u w:val="none" w:color="auto"/>
        </w:rPr>
        <w:t xml:space="preserve">                   </w:t>
      </w:r>
    </w:p>
    <w:p>
      <w:pPr>
        <w:spacing w:line="360" w:lineRule="auto"/>
        <w:ind w:firstLine="420" w:firstLineChars="200"/>
        <w:rPr>
          <w:rFonts w:hint="eastAsia" w:ascii="宋体" w:hAnsi="宋体" w:cs="宋体"/>
          <w:bCs/>
          <w:color w:val="auto"/>
          <w:szCs w:val="16"/>
          <w:highlight w:val="none"/>
        </w:rPr>
      </w:pPr>
      <w:r>
        <w:rPr>
          <w:rFonts w:hint="eastAsia" w:ascii="宋体" w:hAnsi="宋体" w:cs="宋体"/>
          <w:bCs/>
          <w:color w:val="auto"/>
          <w:szCs w:val="16"/>
          <w:highlight w:val="none"/>
        </w:rPr>
        <w:t>1、我们决定参加贵单位组织的“</w:t>
      </w:r>
      <w:r>
        <w:rPr>
          <w:rFonts w:hint="eastAsia" w:ascii="宋体" w:hAnsi="宋体" w:cs="宋体"/>
          <w:bCs/>
          <w:color w:val="auto"/>
          <w:szCs w:val="16"/>
          <w:highlight w:val="none"/>
          <w:u w:val="single" w:color="auto"/>
        </w:rPr>
        <w:t xml:space="preserve"> （项目名称）</w:t>
      </w:r>
      <w:r>
        <w:rPr>
          <w:rFonts w:hint="eastAsia" w:ascii="宋体" w:hAnsi="宋体" w:cs="宋体"/>
          <w:bCs/>
          <w:color w:val="auto"/>
          <w:szCs w:val="16"/>
          <w:highlight w:val="none"/>
        </w:rPr>
        <w:t>”的</w:t>
      </w:r>
      <w:r>
        <w:rPr>
          <w:rFonts w:hint="eastAsia" w:ascii="宋体" w:hAnsi="宋体" w:cs="宋体"/>
          <w:bCs/>
          <w:color w:val="auto"/>
          <w:szCs w:val="16"/>
          <w:highlight w:val="none"/>
          <w:lang w:val="en-US" w:eastAsia="zh-CN"/>
        </w:rPr>
        <w:t>开标</w:t>
      </w:r>
      <w:r>
        <w:rPr>
          <w:rFonts w:hint="eastAsia" w:ascii="宋体" w:hAnsi="宋体" w:cs="宋体"/>
          <w:bCs/>
          <w:color w:val="auto"/>
          <w:szCs w:val="16"/>
          <w:highlight w:val="none"/>
        </w:rPr>
        <w:t>。我方授权</w:t>
      </w:r>
      <w:r>
        <w:rPr>
          <w:rFonts w:hint="eastAsia" w:ascii="宋体" w:hAnsi="宋体" w:cs="宋体"/>
          <w:bCs/>
          <w:color w:val="auto"/>
          <w:szCs w:val="16"/>
          <w:highlight w:val="none"/>
          <w:u w:val="single"/>
        </w:rPr>
        <w:t xml:space="preserve">            </w:t>
      </w:r>
      <w:r>
        <w:rPr>
          <w:rFonts w:hint="eastAsia" w:ascii="宋体" w:hAnsi="宋体" w:cs="宋体"/>
          <w:bCs/>
          <w:color w:val="auto"/>
          <w:szCs w:val="16"/>
          <w:highlight w:val="none"/>
          <w:u w:val="single"/>
          <w:lang w:eastAsia="zh-CN"/>
        </w:rPr>
        <w:t>（</w:t>
      </w:r>
      <w:r>
        <w:rPr>
          <w:rFonts w:hint="eastAsia" w:ascii="宋体" w:hAnsi="宋体" w:cs="宋体"/>
          <w:bCs/>
          <w:color w:val="auto"/>
          <w:szCs w:val="16"/>
          <w:highlight w:val="none"/>
        </w:rPr>
        <w:t>姓名和职务</w:t>
      </w:r>
      <w:r>
        <w:rPr>
          <w:rFonts w:hint="eastAsia" w:ascii="宋体" w:hAnsi="宋体" w:cs="宋体"/>
          <w:bCs/>
          <w:color w:val="auto"/>
          <w:szCs w:val="16"/>
          <w:highlight w:val="none"/>
          <w:lang w:eastAsia="zh-CN"/>
        </w:rPr>
        <w:t>）</w:t>
      </w:r>
      <w:r>
        <w:rPr>
          <w:rFonts w:hint="eastAsia" w:ascii="宋体" w:hAnsi="宋体" w:cs="宋体"/>
          <w:bCs/>
          <w:color w:val="auto"/>
          <w:szCs w:val="16"/>
          <w:highlight w:val="none"/>
        </w:rPr>
        <w:t>代表我方</w:t>
      </w:r>
      <w:r>
        <w:rPr>
          <w:rFonts w:hint="eastAsia" w:ascii="宋体" w:hAnsi="宋体" w:cs="宋体"/>
          <w:bCs/>
          <w:color w:val="auto"/>
          <w:szCs w:val="16"/>
          <w:highlight w:val="none"/>
          <w:u w:val="single"/>
        </w:rPr>
        <w:t xml:space="preserve">               </w:t>
      </w:r>
      <w:r>
        <w:rPr>
          <w:rFonts w:hint="eastAsia" w:ascii="宋体" w:hAnsi="宋体" w:cs="宋体"/>
          <w:bCs/>
          <w:color w:val="auto"/>
          <w:szCs w:val="16"/>
          <w:highlight w:val="none"/>
        </w:rPr>
        <w:t>（供应商的名称）全权处理本项目</w:t>
      </w:r>
      <w:r>
        <w:rPr>
          <w:rFonts w:hint="eastAsia" w:ascii="宋体" w:hAnsi="宋体" w:cs="宋体"/>
          <w:bCs/>
          <w:color w:val="auto"/>
          <w:szCs w:val="16"/>
          <w:highlight w:val="none"/>
          <w:lang w:val="en-US" w:eastAsia="zh-CN"/>
        </w:rPr>
        <w:t>招投标</w:t>
      </w:r>
      <w:r>
        <w:rPr>
          <w:rFonts w:hint="eastAsia" w:ascii="宋体" w:hAnsi="宋体" w:cs="宋体"/>
          <w:bCs/>
          <w:color w:val="auto"/>
          <w:szCs w:val="16"/>
          <w:highlight w:val="none"/>
        </w:rPr>
        <w:t>的有关事宜。</w:t>
      </w:r>
    </w:p>
    <w:p>
      <w:pPr>
        <w:spacing w:line="440" w:lineRule="exact"/>
        <w:ind w:firstLine="420" w:firstLineChars="200"/>
        <w:rPr>
          <w:rFonts w:hint="eastAsia" w:ascii="宋体" w:hAnsi="宋体" w:cs="宋体"/>
          <w:bCs/>
          <w:color w:val="auto"/>
          <w:szCs w:val="16"/>
          <w:highlight w:val="none"/>
          <w:u w:val="none" w:color="auto"/>
        </w:rPr>
      </w:pPr>
      <w:r>
        <w:rPr>
          <w:rFonts w:hint="eastAsia" w:ascii="宋体" w:hAnsi="宋体" w:cs="宋体"/>
          <w:bCs/>
          <w:color w:val="auto"/>
          <w:szCs w:val="16"/>
          <w:highlight w:val="none"/>
        </w:rPr>
        <w:t>2、我方愿意按照</w:t>
      </w:r>
      <w:r>
        <w:rPr>
          <w:rFonts w:hint="eastAsia" w:ascii="宋体" w:hAnsi="宋体" w:cs="宋体"/>
          <w:bCs/>
          <w:color w:val="auto"/>
          <w:szCs w:val="16"/>
          <w:highlight w:val="none"/>
          <w:lang w:eastAsia="zh-CN"/>
        </w:rPr>
        <w:t>招标文件</w:t>
      </w:r>
      <w:r>
        <w:rPr>
          <w:rFonts w:hint="eastAsia" w:ascii="宋体" w:hAnsi="宋体" w:cs="宋体"/>
          <w:bCs/>
          <w:color w:val="auto"/>
          <w:szCs w:val="16"/>
          <w:highlight w:val="none"/>
        </w:rPr>
        <w:t xml:space="preserve">规定的各项要求，向采购人提供“ </w:t>
      </w:r>
      <w:r>
        <w:rPr>
          <w:rFonts w:hint="eastAsia" w:ascii="宋体" w:hAnsi="宋体" w:cs="宋体"/>
          <w:bCs/>
          <w:color w:val="auto"/>
          <w:szCs w:val="16"/>
          <w:highlight w:val="none"/>
          <w:u w:val="single" w:color="auto"/>
        </w:rPr>
        <w:t xml:space="preserve">      </w:t>
      </w:r>
      <w:r>
        <w:rPr>
          <w:rFonts w:hint="eastAsia" w:ascii="宋体" w:hAnsi="宋体" w:cs="宋体"/>
          <w:bCs/>
          <w:color w:val="auto"/>
          <w:szCs w:val="16"/>
          <w:highlight w:val="none"/>
          <w:u w:val="none" w:color="auto"/>
        </w:rPr>
        <w:t>（项目</w:t>
      </w:r>
      <w:r>
        <w:rPr>
          <w:rFonts w:hint="eastAsia" w:ascii="宋体" w:hAnsi="宋体" w:cs="宋体"/>
          <w:bCs/>
          <w:color w:val="auto"/>
          <w:szCs w:val="16"/>
          <w:highlight w:val="none"/>
          <w:u w:val="none" w:color="auto"/>
          <w:lang w:val="en-US" w:eastAsia="zh-CN"/>
        </w:rPr>
        <w:t>名称</w:t>
      </w:r>
      <w:r>
        <w:rPr>
          <w:rFonts w:hint="eastAsia" w:ascii="宋体" w:hAnsi="宋体" w:cs="宋体"/>
          <w:bCs/>
          <w:color w:val="auto"/>
          <w:szCs w:val="16"/>
          <w:highlight w:val="none"/>
          <w:u w:val="none" w:color="auto"/>
        </w:rPr>
        <w:t>）</w:t>
      </w:r>
      <w:r>
        <w:rPr>
          <w:rFonts w:hint="eastAsia" w:ascii="宋体" w:hAnsi="宋体" w:cs="宋体"/>
          <w:bCs/>
          <w:color w:val="auto"/>
          <w:szCs w:val="16"/>
          <w:highlight w:val="none"/>
        </w:rPr>
        <w:t>”项目的货物，总报价为人民币（大写）</w:t>
      </w:r>
      <w:r>
        <w:rPr>
          <w:rFonts w:hint="eastAsia" w:ascii="宋体" w:hAnsi="宋体" w:cs="宋体"/>
          <w:bCs/>
          <w:color w:val="auto"/>
          <w:szCs w:val="16"/>
          <w:highlight w:val="none"/>
          <w:u w:val="single"/>
        </w:rPr>
        <w:t xml:space="preserve">           </w:t>
      </w:r>
      <w:r>
        <w:rPr>
          <w:rFonts w:hint="eastAsia" w:ascii="宋体" w:hAnsi="宋体" w:cs="宋体"/>
          <w:bCs/>
          <w:color w:val="auto"/>
          <w:szCs w:val="16"/>
          <w:highlight w:val="none"/>
          <w:u w:val="none" w:color="auto"/>
        </w:rPr>
        <w:t xml:space="preserve">。   </w:t>
      </w:r>
    </w:p>
    <w:p>
      <w:pPr>
        <w:spacing w:line="360" w:lineRule="auto"/>
        <w:ind w:firstLine="420" w:firstLineChars="200"/>
        <w:rPr>
          <w:rFonts w:hint="eastAsia" w:ascii="宋体" w:hAnsi="宋体" w:cs="宋体"/>
          <w:bCs/>
          <w:color w:val="auto"/>
          <w:szCs w:val="16"/>
          <w:highlight w:val="none"/>
        </w:rPr>
      </w:pPr>
      <w:r>
        <w:rPr>
          <w:rFonts w:hint="eastAsia" w:ascii="宋体" w:hAnsi="宋体" w:cs="宋体"/>
          <w:bCs/>
          <w:color w:val="auto"/>
          <w:szCs w:val="16"/>
          <w:highlight w:val="none"/>
        </w:rPr>
        <w:t>3、一旦我方成为合同签字人，我方将严格履行合同规定的责任和义务。</w:t>
      </w:r>
    </w:p>
    <w:p>
      <w:pPr>
        <w:spacing w:line="360" w:lineRule="auto"/>
        <w:ind w:firstLine="420" w:firstLineChars="200"/>
        <w:rPr>
          <w:rFonts w:hint="eastAsia" w:ascii="宋体" w:hAnsi="宋体" w:cs="宋体"/>
          <w:bCs/>
          <w:color w:val="auto"/>
          <w:szCs w:val="16"/>
          <w:highlight w:val="none"/>
          <w:u w:val="single"/>
        </w:rPr>
      </w:pPr>
      <w:r>
        <w:rPr>
          <w:rFonts w:hint="eastAsia" w:ascii="宋体" w:hAnsi="宋体" w:cs="宋体"/>
          <w:bCs/>
          <w:color w:val="auto"/>
          <w:szCs w:val="16"/>
          <w:highlight w:val="none"/>
        </w:rPr>
        <w:t>4、</w:t>
      </w:r>
      <w:r>
        <w:rPr>
          <w:rFonts w:hint="eastAsia" w:ascii="宋体" w:hAnsi="宋体"/>
          <w:color w:val="auto"/>
          <w:szCs w:val="21"/>
          <w:highlight w:val="none"/>
        </w:rPr>
        <w:t>我方承诺在</w:t>
      </w:r>
      <w:r>
        <w:rPr>
          <w:rFonts w:hint="eastAsia" w:ascii="宋体" w:hAnsi="宋体"/>
          <w:color w:val="auto"/>
          <w:szCs w:val="21"/>
          <w:highlight w:val="none"/>
          <w:lang w:eastAsia="zh-CN"/>
        </w:rPr>
        <w:t>招标文件</w:t>
      </w:r>
      <w:r>
        <w:rPr>
          <w:rFonts w:hint="eastAsia" w:ascii="宋体" w:hAnsi="宋体"/>
          <w:color w:val="auto"/>
          <w:szCs w:val="21"/>
          <w:highlight w:val="none"/>
        </w:rPr>
        <w:t>规定的有效期内不撤销</w:t>
      </w:r>
      <w:r>
        <w:rPr>
          <w:rFonts w:hint="eastAsia" w:ascii="宋体" w:hAnsi="宋体"/>
          <w:color w:val="auto"/>
          <w:szCs w:val="21"/>
          <w:highlight w:val="none"/>
          <w:lang w:eastAsia="zh-CN"/>
        </w:rPr>
        <w:t>投标文件</w:t>
      </w:r>
      <w:r>
        <w:rPr>
          <w:rFonts w:hint="eastAsia" w:ascii="宋体" w:hAnsi="宋体" w:cs="宋体"/>
          <w:bCs/>
          <w:color w:val="auto"/>
          <w:szCs w:val="16"/>
          <w:highlight w:val="none"/>
        </w:rPr>
        <w:t>。</w:t>
      </w:r>
    </w:p>
    <w:p>
      <w:pPr>
        <w:spacing w:line="360" w:lineRule="auto"/>
        <w:ind w:firstLine="420" w:firstLineChars="200"/>
        <w:rPr>
          <w:rFonts w:hint="eastAsia" w:ascii="宋体" w:hAnsi="宋体" w:cs="宋体"/>
          <w:bCs/>
          <w:color w:val="auto"/>
          <w:szCs w:val="16"/>
          <w:highlight w:val="none"/>
        </w:rPr>
      </w:pPr>
      <w:r>
        <w:rPr>
          <w:rFonts w:hint="eastAsia" w:ascii="宋体" w:hAnsi="宋体" w:cs="宋体"/>
          <w:bCs/>
          <w:color w:val="auto"/>
          <w:szCs w:val="16"/>
          <w:highlight w:val="none"/>
        </w:rPr>
        <w:t>5、我方为本项目提交的</w:t>
      </w:r>
      <w:r>
        <w:rPr>
          <w:rFonts w:hint="eastAsia" w:ascii="宋体" w:hAnsi="宋体" w:cs="宋体"/>
          <w:bCs/>
          <w:color w:val="auto"/>
          <w:szCs w:val="16"/>
          <w:highlight w:val="none"/>
          <w:lang w:eastAsia="zh-CN"/>
        </w:rPr>
        <w:t>投标文件</w:t>
      </w:r>
      <w:r>
        <w:rPr>
          <w:rFonts w:hint="eastAsia" w:ascii="宋体" w:hAnsi="宋体" w:cs="宋体"/>
          <w:bCs/>
          <w:color w:val="auto"/>
          <w:szCs w:val="16"/>
          <w:highlight w:val="none"/>
        </w:rPr>
        <w:t>一式三份，其中正本一份、副本两份。</w:t>
      </w:r>
    </w:p>
    <w:p>
      <w:pPr>
        <w:spacing w:line="360" w:lineRule="auto"/>
        <w:ind w:firstLine="420" w:firstLineChars="200"/>
        <w:rPr>
          <w:rFonts w:hint="eastAsia" w:ascii="宋体" w:hAnsi="宋体" w:cs="宋体"/>
          <w:bCs/>
          <w:color w:val="auto"/>
          <w:szCs w:val="16"/>
          <w:highlight w:val="none"/>
        </w:rPr>
      </w:pPr>
      <w:r>
        <w:rPr>
          <w:rFonts w:hint="eastAsia" w:ascii="宋体" w:hAnsi="宋体" w:cs="宋体"/>
          <w:bCs/>
          <w:color w:val="auto"/>
          <w:szCs w:val="16"/>
          <w:highlight w:val="none"/>
        </w:rPr>
        <w:t>6、我方愿意提供可能另外要求的、与</w:t>
      </w:r>
      <w:r>
        <w:rPr>
          <w:rFonts w:hint="eastAsia" w:ascii="宋体" w:hAnsi="宋体" w:cs="宋体"/>
          <w:bCs/>
          <w:color w:val="auto"/>
          <w:szCs w:val="16"/>
          <w:highlight w:val="none"/>
          <w:lang w:val="en-US" w:eastAsia="zh-CN"/>
        </w:rPr>
        <w:t>招投标</w:t>
      </w:r>
      <w:r>
        <w:rPr>
          <w:rFonts w:hint="eastAsia" w:ascii="宋体" w:hAnsi="宋体" w:cs="宋体"/>
          <w:bCs/>
          <w:color w:val="auto"/>
          <w:szCs w:val="16"/>
          <w:highlight w:val="none"/>
        </w:rPr>
        <w:t>活动有关的文件资料，并保证我方已提供和将要提供的文件是真实的、准确的。</w:t>
      </w:r>
    </w:p>
    <w:p>
      <w:pPr>
        <w:spacing w:line="360" w:lineRule="auto"/>
        <w:ind w:firstLine="420" w:firstLineChars="200"/>
        <w:rPr>
          <w:rFonts w:hint="eastAsia" w:ascii="宋体" w:hAnsi="宋体" w:cs="宋体"/>
          <w:bCs/>
          <w:color w:val="auto"/>
          <w:szCs w:val="16"/>
          <w:highlight w:val="none"/>
        </w:rPr>
      </w:pPr>
      <w:r>
        <w:rPr>
          <w:rFonts w:hint="eastAsia" w:ascii="宋体" w:hAnsi="宋体" w:cs="宋体"/>
          <w:bCs/>
          <w:color w:val="auto"/>
          <w:szCs w:val="16"/>
          <w:highlight w:val="none"/>
        </w:rPr>
        <w:t>7、我单位提供如下通讯地址：电子邮箱（地址）</w:t>
      </w:r>
      <w:r>
        <w:rPr>
          <w:rFonts w:hint="eastAsia" w:ascii="宋体" w:hAnsi="宋体" w:cs="宋体"/>
          <w:bCs/>
          <w:color w:val="auto"/>
          <w:szCs w:val="16"/>
          <w:highlight w:val="none"/>
          <w:u w:val="single"/>
        </w:rPr>
        <w:t xml:space="preserve">                       </w:t>
      </w:r>
      <w:r>
        <w:rPr>
          <w:rFonts w:hint="eastAsia" w:ascii="宋体" w:hAnsi="宋体" w:cs="宋体"/>
          <w:bCs/>
          <w:color w:val="auto"/>
          <w:szCs w:val="16"/>
          <w:highlight w:val="none"/>
        </w:rPr>
        <w:t>，我单位确认本项目相关法律文书均通过我单位提供的以上地址送达，相关文书只要发送至以上电子邮箱（地址）即视为送达，我单位愿意承担一切法律后果。</w:t>
      </w:r>
    </w:p>
    <w:p>
      <w:pPr>
        <w:spacing w:line="360" w:lineRule="auto"/>
        <w:rPr>
          <w:rFonts w:hint="eastAsia" w:ascii="宋体" w:hAnsi="宋体" w:cs="宋体"/>
          <w:bCs/>
          <w:color w:val="auto"/>
          <w:szCs w:val="16"/>
          <w:highlight w:val="none"/>
        </w:rPr>
      </w:pPr>
    </w:p>
    <w:p>
      <w:pPr>
        <w:spacing w:line="360" w:lineRule="auto"/>
        <w:rPr>
          <w:rFonts w:hint="eastAsia" w:ascii="宋体" w:hAnsi="宋体" w:cs="宋体"/>
          <w:bCs/>
          <w:color w:val="auto"/>
          <w:szCs w:val="16"/>
          <w:highlight w:val="none"/>
        </w:rPr>
      </w:pPr>
      <w:r>
        <w:rPr>
          <w:rFonts w:hint="eastAsia" w:ascii="宋体" w:hAnsi="宋体" w:cs="宋体"/>
          <w:bCs/>
          <w:color w:val="auto"/>
          <w:szCs w:val="16"/>
          <w:highlight w:val="none"/>
        </w:rPr>
        <w:t>供应商名称</w:t>
      </w:r>
      <w:r>
        <w:rPr>
          <w:rFonts w:hint="eastAsia" w:ascii="宋体" w:hAnsi="宋体" w:cs="宋体"/>
          <w:bCs/>
          <w:color w:val="auto"/>
          <w:szCs w:val="16"/>
          <w:highlight w:val="none"/>
          <w:u w:val="single"/>
        </w:rPr>
        <w:t xml:space="preserve">：                                </w:t>
      </w:r>
      <w:r>
        <w:rPr>
          <w:rFonts w:hint="eastAsia" w:ascii="宋体" w:hAnsi="宋体" w:cs="宋体"/>
          <w:bCs/>
          <w:color w:val="auto"/>
          <w:szCs w:val="16"/>
          <w:highlight w:val="none"/>
        </w:rPr>
        <w:t>（</w:t>
      </w:r>
      <w:r>
        <w:rPr>
          <w:rFonts w:hint="eastAsia" w:ascii="宋体" w:hAnsi="宋体" w:cs="宋体"/>
          <w:bCs/>
          <w:color w:val="auto"/>
          <w:szCs w:val="16"/>
          <w:highlight w:val="none"/>
          <w:lang w:val="en-US" w:eastAsia="zh-CN"/>
        </w:rPr>
        <w:t>盖章</w:t>
      </w:r>
      <w:r>
        <w:rPr>
          <w:rFonts w:hint="eastAsia" w:ascii="宋体" w:hAnsi="宋体" w:cs="宋体"/>
          <w:bCs/>
          <w:color w:val="auto"/>
          <w:szCs w:val="16"/>
          <w:highlight w:val="none"/>
        </w:rPr>
        <w:t>）</w:t>
      </w:r>
    </w:p>
    <w:p>
      <w:pPr>
        <w:spacing w:line="360" w:lineRule="auto"/>
        <w:rPr>
          <w:rFonts w:hint="eastAsia" w:ascii="宋体" w:hAnsi="宋体" w:cs="宋体"/>
          <w:bCs/>
          <w:color w:val="auto"/>
          <w:szCs w:val="16"/>
          <w:highlight w:val="none"/>
        </w:rPr>
      </w:pPr>
      <w:r>
        <w:rPr>
          <w:rFonts w:hint="eastAsia" w:ascii="宋体" w:hAnsi="宋体" w:cs="宋体"/>
          <w:bCs/>
          <w:color w:val="auto"/>
          <w:szCs w:val="16"/>
          <w:highlight w:val="none"/>
        </w:rPr>
        <w:t xml:space="preserve">                        </w:t>
      </w:r>
    </w:p>
    <w:p>
      <w:pPr>
        <w:spacing w:line="360" w:lineRule="auto"/>
        <w:rPr>
          <w:rFonts w:hint="eastAsia" w:ascii="宋体" w:hAnsi="宋体" w:cs="宋体"/>
          <w:bCs/>
          <w:color w:val="auto"/>
          <w:szCs w:val="16"/>
          <w:highlight w:val="none"/>
          <w:u w:val="single"/>
        </w:rPr>
      </w:pPr>
      <w:r>
        <w:rPr>
          <w:rFonts w:hint="eastAsia" w:ascii="宋体" w:hAnsi="宋体" w:cs="宋体"/>
          <w:bCs/>
          <w:color w:val="auto"/>
          <w:szCs w:val="16"/>
          <w:highlight w:val="none"/>
        </w:rPr>
        <w:t>法定代表人</w:t>
      </w:r>
      <w:r>
        <w:rPr>
          <w:rFonts w:hint="eastAsia" w:ascii="宋体" w:hAnsi="宋体" w:cs="宋体"/>
          <w:bCs/>
          <w:color w:val="auto"/>
          <w:szCs w:val="16"/>
          <w:highlight w:val="none"/>
          <w:lang w:val="en-US" w:eastAsia="zh-CN"/>
        </w:rPr>
        <w:t>或委托代理人</w:t>
      </w:r>
      <w:r>
        <w:rPr>
          <w:rFonts w:hint="eastAsia" w:ascii="宋体" w:hAnsi="宋体" w:cs="宋体"/>
          <w:bCs/>
          <w:color w:val="auto"/>
          <w:szCs w:val="16"/>
          <w:highlight w:val="none"/>
        </w:rPr>
        <w:t>：                （</w:t>
      </w:r>
      <w:r>
        <w:rPr>
          <w:rFonts w:hint="eastAsia" w:ascii="宋体" w:hAnsi="宋体" w:cs="宋体"/>
          <w:bCs/>
          <w:color w:val="auto"/>
          <w:szCs w:val="16"/>
          <w:highlight w:val="none"/>
          <w:lang w:val="en-US" w:eastAsia="zh-CN"/>
        </w:rPr>
        <w:t>签字或盖章</w:t>
      </w:r>
      <w:r>
        <w:rPr>
          <w:rFonts w:hint="eastAsia" w:ascii="宋体" w:hAnsi="宋体" w:cs="宋体"/>
          <w:bCs/>
          <w:color w:val="auto"/>
          <w:szCs w:val="16"/>
          <w:highlight w:val="none"/>
        </w:rPr>
        <w:t>）</w:t>
      </w:r>
      <w:r>
        <w:rPr>
          <w:rFonts w:hint="eastAsia" w:ascii="宋体" w:hAnsi="宋体" w:cs="宋体"/>
          <w:bCs/>
          <w:color w:val="auto"/>
          <w:szCs w:val="16"/>
          <w:highlight w:val="none"/>
          <w:u w:val="single"/>
        </w:rPr>
        <w:t xml:space="preserve">                  </w:t>
      </w:r>
    </w:p>
    <w:p>
      <w:pPr>
        <w:spacing w:line="360" w:lineRule="auto"/>
        <w:ind w:firstLine="2205" w:firstLineChars="1050"/>
        <w:rPr>
          <w:rFonts w:hint="eastAsia" w:ascii="宋体" w:hAnsi="宋体" w:cs="宋体"/>
          <w:bCs/>
          <w:color w:val="auto"/>
          <w:szCs w:val="16"/>
          <w:highlight w:val="none"/>
        </w:rPr>
      </w:pPr>
      <w:r>
        <w:rPr>
          <w:rFonts w:hint="eastAsia" w:ascii="宋体" w:hAnsi="宋体" w:cs="宋体"/>
          <w:bCs/>
          <w:color w:val="auto"/>
          <w:szCs w:val="16"/>
          <w:highlight w:val="none"/>
        </w:rPr>
        <w:t>日  期：</w:t>
      </w:r>
      <w:r>
        <w:rPr>
          <w:rFonts w:hint="eastAsia" w:ascii="宋体" w:hAnsi="宋体" w:cs="宋体"/>
          <w:bCs/>
          <w:color w:val="auto"/>
          <w:szCs w:val="16"/>
          <w:highlight w:val="none"/>
          <w:u w:val="single"/>
        </w:rPr>
        <w:t xml:space="preserve">                   </w:t>
      </w:r>
    </w:p>
    <w:p>
      <w:pPr>
        <w:spacing w:line="360" w:lineRule="auto"/>
        <w:ind w:firstLine="2205" w:firstLineChars="1050"/>
        <w:rPr>
          <w:rFonts w:hint="eastAsia" w:ascii="宋体" w:hAnsi="宋体" w:cs="宋体"/>
          <w:bCs/>
          <w:color w:val="auto"/>
          <w:szCs w:val="16"/>
          <w:highlight w:val="none"/>
          <w:u w:val="single"/>
        </w:rPr>
      </w:pPr>
      <w:r>
        <w:rPr>
          <w:rFonts w:hint="eastAsia" w:ascii="宋体" w:hAnsi="宋体" w:cs="宋体"/>
          <w:bCs/>
          <w:color w:val="auto"/>
          <w:szCs w:val="16"/>
          <w:highlight w:val="none"/>
        </w:rPr>
        <w:t>通讯地址：</w:t>
      </w:r>
      <w:r>
        <w:rPr>
          <w:rFonts w:hint="eastAsia" w:ascii="宋体" w:hAnsi="宋体" w:cs="宋体"/>
          <w:bCs/>
          <w:color w:val="auto"/>
          <w:szCs w:val="16"/>
          <w:highlight w:val="none"/>
          <w:u w:val="single"/>
        </w:rPr>
        <w:t xml:space="preserve"> </w:t>
      </w:r>
    </w:p>
    <w:p>
      <w:pPr>
        <w:spacing w:line="360" w:lineRule="auto"/>
        <w:ind w:firstLine="2205" w:firstLineChars="1050"/>
        <w:rPr>
          <w:rFonts w:hint="eastAsia" w:ascii="宋体" w:hAnsi="宋体" w:cs="宋体"/>
          <w:bCs/>
          <w:color w:val="auto"/>
          <w:szCs w:val="16"/>
          <w:highlight w:val="none"/>
        </w:rPr>
      </w:pPr>
      <w:r>
        <w:rPr>
          <w:rFonts w:hint="eastAsia" w:ascii="宋体" w:hAnsi="宋体" w:cs="宋体"/>
          <w:bCs/>
          <w:color w:val="auto"/>
          <w:szCs w:val="16"/>
          <w:highlight w:val="none"/>
        </w:rPr>
        <w:t>电   话：</w:t>
      </w:r>
      <w:r>
        <w:rPr>
          <w:rFonts w:hint="eastAsia" w:ascii="宋体" w:hAnsi="宋体" w:cs="宋体"/>
          <w:bCs/>
          <w:color w:val="auto"/>
          <w:szCs w:val="16"/>
          <w:highlight w:val="none"/>
          <w:u w:val="single"/>
        </w:rPr>
        <w:t xml:space="preserve">                                    </w:t>
      </w:r>
      <w:r>
        <w:rPr>
          <w:rFonts w:hint="eastAsia" w:ascii="宋体" w:hAnsi="宋体" w:cs="宋体"/>
          <w:bCs/>
          <w:color w:val="auto"/>
          <w:szCs w:val="16"/>
          <w:highlight w:val="none"/>
        </w:rPr>
        <w:t xml:space="preserve">                </w:t>
      </w:r>
    </w:p>
    <w:p>
      <w:pPr>
        <w:pStyle w:val="33"/>
        <w:keepNext w:val="0"/>
        <w:keepLines w:val="0"/>
        <w:pageBreakBefore/>
        <w:widowControl w:val="0"/>
        <w:kinsoku/>
        <w:wordWrap/>
        <w:overflowPunct/>
        <w:topLinePunct w:val="0"/>
        <w:autoSpaceDE/>
        <w:autoSpaceDN/>
        <w:bidi w:val="0"/>
        <w:adjustRightInd/>
        <w:snapToGrid/>
        <w:ind w:left="0" w:firstLine="0"/>
        <w:textAlignment w:val="auto"/>
        <w:rPr>
          <w:rFonts w:hint="eastAsia" w:ascii="宋体" w:hAnsi="宋体" w:eastAsia="宋体" w:cs="宋体"/>
          <w:bCs/>
          <w:color w:val="auto"/>
          <w:sz w:val="21"/>
          <w:szCs w:val="21"/>
          <w:highlight w:val="none"/>
          <w:lang w:eastAsia="zh-CN"/>
        </w:rPr>
      </w:pPr>
      <w:r>
        <w:rPr>
          <w:rFonts w:hint="eastAsia" w:ascii="宋体" w:hAnsi="宋体" w:eastAsia="宋体"/>
          <w:b/>
          <w:color w:val="auto"/>
          <w:sz w:val="21"/>
          <w:szCs w:val="21"/>
          <w:highlight w:val="none"/>
        </w:rPr>
        <w:t>附件</w:t>
      </w:r>
      <w:r>
        <w:rPr>
          <w:rFonts w:hint="eastAsia" w:ascii="宋体" w:hAnsi="宋体" w:eastAsia="宋体"/>
          <w:b/>
          <w:color w:val="auto"/>
          <w:sz w:val="21"/>
          <w:szCs w:val="21"/>
          <w:highlight w:val="none"/>
          <w:lang w:val="en-US" w:eastAsia="zh-CN"/>
        </w:rPr>
        <w:t>4：</w:t>
      </w:r>
    </w:p>
    <w:p>
      <w:pPr>
        <w:spacing w:line="360" w:lineRule="auto"/>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pPr>
        <w:pStyle w:val="312"/>
        <w:spacing w:before="312" w:beforeLines="100" w:after="312" w:afterLines="100" w:line="480" w:lineRule="exact"/>
        <w:ind w:firstLine="157" w:firstLineChars="75"/>
        <w:rPr>
          <w:rFonts w:hint="eastAsia" w:ascii="宋体" w:hAnsi="宋体"/>
          <w:b/>
          <w:color w:val="auto"/>
          <w:sz w:val="21"/>
          <w:szCs w:val="21"/>
          <w:highlight w:val="none"/>
        </w:rPr>
      </w:pPr>
      <w:r>
        <w:rPr>
          <w:rFonts w:hint="eastAsia" w:ascii="宋体" w:hAnsi="宋体"/>
          <w:color w:val="auto"/>
          <w:sz w:val="21"/>
          <w:szCs w:val="21"/>
          <w:highlight w:val="none"/>
        </w:rPr>
        <w:t>1、法定代表人身份证明</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供应商名称：</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单位性质： </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经营期限：</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color="auto"/>
        </w:rPr>
        <w:t xml:space="preserve">         </w:t>
      </w:r>
      <w:r>
        <w:rPr>
          <w:rFonts w:hint="eastAsia" w:ascii="宋体" w:hAnsi="宋体"/>
          <w:color w:val="auto"/>
          <w:szCs w:val="21"/>
          <w:highlight w:val="none"/>
        </w:rPr>
        <w:t>性别：</w:t>
      </w:r>
      <w:r>
        <w:rPr>
          <w:rFonts w:hint="eastAsia" w:ascii="宋体" w:hAnsi="宋体"/>
          <w:color w:val="auto"/>
          <w:szCs w:val="21"/>
          <w:highlight w:val="none"/>
          <w:u w:val="single" w:color="auto"/>
        </w:rPr>
        <w:t xml:space="preserve">      </w:t>
      </w:r>
      <w:r>
        <w:rPr>
          <w:rFonts w:hint="eastAsia" w:ascii="宋体" w:hAnsi="宋体"/>
          <w:color w:val="auto"/>
          <w:szCs w:val="21"/>
          <w:highlight w:val="none"/>
        </w:rPr>
        <w:t>年龄：</w:t>
      </w:r>
      <w:r>
        <w:rPr>
          <w:rFonts w:hint="eastAsia" w:ascii="宋体" w:hAnsi="宋体"/>
          <w:color w:val="auto"/>
          <w:szCs w:val="21"/>
          <w:highlight w:val="none"/>
          <w:u w:val="single" w:color="auto"/>
        </w:rPr>
        <w:t xml:space="preserve">       </w:t>
      </w:r>
      <w:r>
        <w:rPr>
          <w:rFonts w:hint="eastAsia" w:ascii="宋体" w:hAnsi="宋体"/>
          <w:color w:val="auto"/>
          <w:szCs w:val="21"/>
          <w:highlight w:val="none"/>
        </w:rPr>
        <w:t>职务：</w:t>
      </w:r>
      <w:r>
        <w:rPr>
          <w:rFonts w:hint="eastAsia" w:ascii="宋体" w:hAnsi="宋体"/>
          <w:color w:val="auto"/>
          <w:szCs w:val="21"/>
          <w:highlight w:val="none"/>
          <w:u w:val="single" w:color="auto"/>
        </w:rPr>
        <w:t xml:space="preserve">        </w:t>
      </w:r>
    </w:p>
    <w:p>
      <w:pPr>
        <w:spacing w:line="4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（供应商名称）的法定代表人。</w:t>
      </w:r>
    </w:p>
    <w:p>
      <w:pPr>
        <w:spacing w:line="480" w:lineRule="exact"/>
        <w:ind w:firstLine="840" w:firstLineChars="400"/>
        <w:rPr>
          <w:rFonts w:hint="eastAsia" w:ascii="宋体" w:hAnsi="宋体"/>
          <w:color w:val="auto"/>
          <w:szCs w:val="21"/>
          <w:highlight w:val="none"/>
        </w:rPr>
      </w:pPr>
      <w:r>
        <w:rPr>
          <w:rFonts w:hint="eastAsia" w:ascii="宋体" w:hAnsi="宋体"/>
          <w:color w:val="auto"/>
          <w:szCs w:val="21"/>
          <w:highlight w:val="none"/>
        </w:rPr>
        <w:t>特此证明。</w:t>
      </w:r>
    </w:p>
    <w:p>
      <w:pPr>
        <w:spacing w:line="360" w:lineRule="auto"/>
        <w:jc w:val="left"/>
        <w:rPr>
          <w:rFonts w:hint="eastAsia" w:ascii="宋体" w:hAnsi="宋体"/>
          <w:color w:val="auto"/>
          <w:szCs w:val="21"/>
          <w:highlight w:val="none"/>
        </w:rPr>
      </w:pPr>
    </w:p>
    <w:p>
      <w:pPr>
        <w:pStyle w:val="7"/>
        <w:numPr>
          <w:ilvl w:val="0"/>
          <w:numId w:val="0"/>
        </w:numPr>
        <w:rPr>
          <w:rFonts w:hint="eastAsia"/>
          <w:color w:val="auto"/>
          <w:szCs w:val="21"/>
          <w:highlight w:val="none"/>
        </w:rPr>
      </w:pPr>
      <w:r>
        <w:rPr>
          <w:rFonts w:hint="eastAsia"/>
          <w:color w:val="auto"/>
          <w:szCs w:val="21"/>
          <w:highlight w:val="none"/>
        </w:rPr>
        <w:t xml:space="preserve">      </w:t>
      </w:r>
    </w:p>
    <w:p>
      <w:pPr>
        <w:spacing w:line="360" w:lineRule="auto"/>
        <w:ind w:firstLine="3045" w:firstLineChars="1450"/>
        <w:rPr>
          <w:rFonts w:hint="eastAsia" w:ascii="宋体" w:hAnsi="宋体"/>
          <w:color w:val="auto"/>
          <w:szCs w:val="21"/>
          <w:highlight w:val="none"/>
        </w:rPr>
      </w:pPr>
    </w:p>
    <w:p>
      <w:pPr>
        <w:spacing w:line="360" w:lineRule="auto"/>
        <w:ind w:firstLine="3045" w:firstLineChars="1450"/>
        <w:rPr>
          <w:rFonts w:hint="eastAsia" w:ascii="宋体" w:hAnsi="宋体"/>
          <w:color w:val="auto"/>
          <w:szCs w:val="21"/>
          <w:highlight w:val="none"/>
        </w:rPr>
      </w:pPr>
      <w:r>
        <w:rPr>
          <w:rFonts w:hint="eastAsia" w:ascii="宋体" w:hAnsi="宋体"/>
          <w:color w:val="auto"/>
          <w:szCs w:val="21"/>
          <w:highlight w:val="none"/>
        </w:rPr>
        <w:t>供应商：</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盖章</w:t>
      </w:r>
      <w:r>
        <w:rPr>
          <w:rFonts w:hint="eastAsia" w:ascii="宋体" w:hAnsi="宋体"/>
          <w:color w:val="auto"/>
          <w:szCs w:val="21"/>
          <w:highlight w:val="none"/>
        </w:rPr>
        <w:t>）</w:t>
      </w:r>
    </w:p>
    <w:p>
      <w:pPr>
        <w:spacing w:line="360" w:lineRule="auto"/>
        <w:rPr>
          <w:rFonts w:hint="eastAsia" w:ascii="宋体" w:hAnsi="宋体"/>
          <w:color w:val="auto"/>
          <w:szCs w:val="21"/>
          <w:highlight w:val="none"/>
        </w:rPr>
      </w:pPr>
      <w:r>
        <w:rPr>
          <w:rFonts w:hint="eastAsia" w:ascii="宋体" w:hAnsi="宋体"/>
          <w:color w:val="auto"/>
          <w:szCs w:val="21"/>
          <w:highlight w:val="none"/>
        </w:rPr>
        <w:t xml:space="preserve">                                        年    月     日</w:t>
      </w:r>
    </w:p>
    <w:p>
      <w:pPr>
        <w:spacing w:before="312" w:beforeLines="100" w:after="312" w:afterLines="100" w:line="480" w:lineRule="exact"/>
        <w:ind w:firstLine="2203" w:firstLineChars="1045"/>
        <w:jc w:val="left"/>
        <w:rPr>
          <w:rFonts w:hint="eastAsia" w:ascii="宋体" w:hAnsi="宋体"/>
          <w:b/>
          <w:color w:val="auto"/>
          <w:szCs w:val="21"/>
          <w:highlight w:val="none"/>
        </w:rPr>
      </w:pPr>
    </w:p>
    <w:p>
      <w:pPr>
        <w:spacing w:before="312" w:beforeLines="100" w:after="312" w:afterLines="100" w:line="480" w:lineRule="exact"/>
        <w:ind w:firstLine="2203" w:firstLineChars="1045"/>
        <w:jc w:val="left"/>
        <w:rPr>
          <w:rFonts w:hint="eastAsia" w:ascii="宋体" w:hAnsi="宋体"/>
          <w:b/>
          <w:color w:val="auto"/>
          <w:szCs w:val="21"/>
          <w:highlight w:val="none"/>
        </w:rPr>
      </w:pPr>
    </w:p>
    <w:p>
      <w:pPr>
        <w:spacing w:before="312" w:beforeLines="100" w:after="312" w:afterLines="100" w:line="480" w:lineRule="exact"/>
        <w:ind w:firstLine="2203" w:firstLineChars="1045"/>
        <w:jc w:val="left"/>
        <w:rPr>
          <w:rFonts w:hint="eastAsia" w:ascii="宋体" w:hAnsi="宋体"/>
          <w:b/>
          <w:color w:val="auto"/>
          <w:szCs w:val="21"/>
          <w:highlight w:val="none"/>
        </w:rPr>
      </w:pPr>
    </w:p>
    <w:p>
      <w:pPr>
        <w:spacing w:before="312" w:beforeLines="100" w:after="312" w:afterLines="100" w:line="480" w:lineRule="exact"/>
        <w:ind w:firstLine="2203" w:firstLineChars="1045"/>
        <w:jc w:val="left"/>
        <w:rPr>
          <w:rFonts w:hint="eastAsia" w:ascii="宋体" w:hAnsi="宋体"/>
          <w:b/>
          <w:color w:val="auto"/>
          <w:szCs w:val="21"/>
          <w:highlight w:val="none"/>
        </w:rPr>
      </w:pPr>
    </w:p>
    <w:p>
      <w:pPr>
        <w:spacing w:before="312" w:beforeLines="100" w:after="312" w:afterLines="100" w:line="480" w:lineRule="exact"/>
        <w:ind w:firstLine="2203" w:firstLineChars="1045"/>
        <w:jc w:val="left"/>
        <w:rPr>
          <w:rFonts w:hint="eastAsia" w:ascii="宋体" w:hAnsi="宋体"/>
          <w:b/>
          <w:color w:val="auto"/>
          <w:szCs w:val="21"/>
          <w:highlight w:val="none"/>
        </w:rPr>
      </w:pPr>
    </w:p>
    <w:p>
      <w:pPr>
        <w:spacing w:before="312" w:beforeLines="100" w:after="312" w:afterLines="100" w:line="480" w:lineRule="exact"/>
        <w:ind w:firstLine="2203" w:firstLineChars="1045"/>
        <w:jc w:val="left"/>
        <w:rPr>
          <w:rFonts w:hint="eastAsia" w:ascii="宋体" w:hAnsi="宋体"/>
          <w:b/>
          <w:color w:val="auto"/>
          <w:szCs w:val="21"/>
          <w:highlight w:val="none"/>
        </w:rPr>
      </w:pPr>
    </w:p>
    <w:p>
      <w:pPr>
        <w:spacing w:before="312" w:beforeLines="100" w:after="312" w:afterLines="100" w:line="480" w:lineRule="exact"/>
        <w:ind w:firstLine="2203" w:firstLineChars="1045"/>
        <w:jc w:val="left"/>
        <w:rPr>
          <w:rFonts w:hint="eastAsia" w:ascii="宋体" w:hAnsi="宋体"/>
          <w:b/>
          <w:color w:val="auto"/>
          <w:szCs w:val="21"/>
          <w:highlight w:val="none"/>
        </w:rPr>
      </w:pPr>
    </w:p>
    <w:p>
      <w:pPr>
        <w:spacing w:before="312" w:beforeLines="100" w:after="312" w:afterLines="100" w:line="240" w:lineRule="auto"/>
        <w:jc w:val="center"/>
        <w:rPr>
          <w:rFonts w:hint="eastAsia" w:ascii="宋体" w:hAnsi="宋体"/>
          <w:b/>
          <w:color w:val="auto"/>
          <w:szCs w:val="21"/>
          <w:highlight w:val="none"/>
        </w:rPr>
      </w:pPr>
      <w:bookmarkStart w:id="232" w:name="OLE_LINK29"/>
    </w:p>
    <w:p>
      <w:pPr>
        <w:spacing w:before="312" w:beforeLines="100" w:after="312" w:afterLines="100" w:line="240" w:lineRule="auto"/>
        <w:jc w:val="center"/>
        <w:rPr>
          <w:rFonts w:ascii="宋体" w:hAnsi="宋体"/>
          <w:b/>
          <w:color w:val="auto"/>
          <w:szCs w:val="21"/>
          <w:highlight w:val="none"/>
        </w:rPr>
      </w:pPr>
      <w:r>
        <w:rPr>
          <w:rFonts w:hint="eastAsia" w:ascii="宋体" w:hAnsi="宋体"/>
          <w:b/>
          <w:color w:val="auto"/>
          <w:szCs w:val="21"/>
          <w:highlight w:val="none"/>
        </w:rPr>
        <w:t>2、授权委托书</w:t>
      </w:r>
    </w:p>
    <w:p>
      <w:pPr>
        <w:spacing w:line="520" w:lineRule="exact"/>
        <w:ind w:firstLine="420" w:firstLineChars="200"/>
        <w:rPr>
          <w:rFonts w:ascii="宋体" w:hAnsi="宋体"/>
          <w:color w:val="auto"/>
          <w:szCs w:val="21"/>
          <w:highlight w:val="none"/>
        </w:rPr>
      </w:pPr>
      <w:r>
        <w:rPr>
          <w:rFonts w:hint="eastAsia" w:ascii="宋体" w:hAnsi="宋体"/>
          <w:color w:val="auto"/>
          <w:szCs w:val="21"/>
          <w:highlight w:val="none"/>
        </w:rPr>
        <w:t>本人</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（姓名）系</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（供应商）的法定代表人，现委托</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（姓名）为我方代理人。代理人根据授权，以我方名义签署、澄清、说明、补正、递交、撤回、修改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w:t>
      </w:r>
      <w:r>
        <w:rPr>
          <w:rFonts w:hint="eastAsia" w:ascii="宋体" w:hAnsi="宋体"/>
          <w:color w:val="auto"/>
          <w:szCs w:val="21"/>
          <w:highlight w:val="none"/>
          <w:lang w:eastAsia="zh-CN"/>
        </w:rPr>
        <w:t>（</w:t>
      </w:r>
      <w:r>
        <w:rPr>
          <w:rFonts w:hint="eastAsia" w:ascii="宋体" w:hAnsi="宋体"/>
          <w:color w:val="auto"/>
          <w:szCs w:val="21"/>
          <w:highlight w:val="none"/>
        </w:rPr>
        <w:t>项目名称）</w:t>
      </w:r>
      <w:r>
        <w:rPr>
          <w:rFonts w:hint="eastAsia" w:ascii="宋体" w:hAnsi="宋体"/>
          <w:color w:val="auto"/>
          <w:szCs w:val="21"/>
          <w:highlight w:val="none"/>
          <w:lang w:eastAsia="zh-CN"/>
        </w:rPr>
        <w:t>投标文件</w:t>
      </w:r>
      <w:r>
        <w:rPr>
          <w:rFonts w:hint="eastAsia" w:ascii="宋体" w:hAnsi="宋体"/>
          <w:color w:val="auto"/>
          <w:szCs w:val="21"/>
          <w:highlight w:val="none"/>
        </w:rPr>
        <w:t>，全权处理与该项目响应、评审答疑、签订合同以及与合同执行有关的一切事务，其法律后果由我方承担。</w:t>
      </w:r>
    </w:p>
    <w:p>
      <w:pPr>
        <w:spacing w:line="520" w:lineRule="exact"/>
        <w:ind w:firstLine="420" w:firstLineChars="200"/>
        <w:rPr>
          <w:rFonts w:ascii="宋体" w:hAnsi="宋体"/>
          <w:color w:val="auto"/>
          <w:szCs w:val="21"/>
          <w:highlight w:val="none"/>
        </w:rPr>
      </w:pPr>
      <w:r>
        <w:rPr>
          <w:rFonts w:hint="eastAsia" w:ascii="宋体" w:hAnsi="宋体"/>
          <w:color w:val="auto"/>
          <w:szCs w:val="21"/>
          <w:highlight w:val="none"/>
        </w:rPr>
        <w:t>委托期限：</w:t>
      </w:r>
      <w:r>
        <w:rPr>
          <w:rFonts w:ascii="宋体" w:hAnsi="宋体"/>
          <w:color w:val="auto"/>
          <w:szCs w:val="21"/>
          <w:highlight w:val="none"/>
        </w:rPr>
        <w:t xml:space="preserve">                                </w:t>
      </w:r>
    </w:p>
    <w:p>
      <w:pPr>
        <w:spacing w:line="5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pacing w:line="520" w:lineRule="exact"/>
        <w:ind w:firstLine="420" w:firstLineChars="200"/>
        <w:rPr>
          <w:rFonts w:ascii="宋体" w:hAnsi="宋体"/>
          <w:color w:val="auto"/>
          <w:szCs w:val="21"/>
          <w:highlight w:val="none"/>
        </w:rPr>
      </w:pPr>
    </w:p>
    <w:p>
      <w:pPr>
        <w:spacing w:line="520" w:lineRule="exact"/>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附：法定代表人身份证明</w:t>
      </w:r>
      <w:r>
        <w:rPr>
          <w:rFonts w:hint="eastAsia" w:ascii="宋体" w:hAnsi="宋体"/>
          <w:color w:val="auto"/>
          <w:szCs w:val="21"/>
          <w:highlight w:val="none"/>
          <w:lang w:val="en-US" w:eastAsia="zh-CN"/>
        </w:rPr>
        <w:t>复印件</w:t>
      </w:r>
    </w:p>
    <w:p>
      <w:pPr>
        <w:spacing w:line="520" w:lineRule="exact"/>
        <w:ind w:firstLine="840" w:firstLineChars="400"/>
        <w:rPr>
          <w:rFonts w:hint="eastAsia" w:ascii="宋体" w:hAnsi="宋体"/>
          <w:color w:val="auto"/>
          <w:szCs w:val="21"/>
          <w:highlight w:val="none"/>
        </w:rPr>
      </w:pPr>
      <w:r>
        <w:rPr>
          <w:rFonts w:hint="eastAsia" w:ascii="宋体" w:hAnsi="宋体"/>
          <w:color w:val="auto"/>
          <w:szCs w:val="21"/>
          <w:highlight w:val="none"/>
        </w:rPr>
        <w:t>委托代理人身份证明</w:t>
      </w:r>
      <w:r>
        <w:rPr>
          <w:rFonts w:hint="eastAsia" w:ascii="宋体" w:hAnsi="宋体"/>
          <w:color w:val="auto"/>
          <w:szCs w:val="21"/>
          <w:highlight w:val="none"/>
          <w:lang w:val="en-US" w:eastAsia="zh-CN"/>
        </w:rPr>
        <w:t>复印件</w:t>
      </w:r>
    </w:p>
    <w:p>
      <w:pPr>
        <w:spacing w:line="520" w:lineRule="exact"/>
        <w:ind w:firstLine="420" w:firstLineChars="200"/>
        <w:rPr>
          <w:rFonts w:hint="eastAsia" w:ascii="宋体" w:hAnsi="宋体"/>
          <w:color w:val="auto"/>
          <w:szCs w:val="21"/>
          <w:highlight w:val="none"/>
        </w:rPr>
      </w:pPr>
    </w:p>
    <w:p>
      <w:pPr>
        <w:spacing w:line="520" w:lineRule="exact"/>
        <w:ind w:firstLine="420" w:firstLineChars="200"/>
        <w:rPr>
          <w:rFonts w:hint="eastAsia" w:ascii="宋体" w:hAnsi="宋体"/>
          <w:color w:val="auto"/>
          <w:szCs w:val="21"/>
          <w:highlight w:val="none"/>
        </w:rPr>
      </w:pPr>
    </w:p>
    <w:p>
      <w:pPr>
        <w:spacing w:line="520" w:lineRule="exact"/>
        <w:ind w:firstLine="420" w:firstLineChars="200"/>
        <w:rPr>
          <w:rFonts w:hint="eastAsia" w:ascii="宋体" w:hAnsi="宋体"/>
          <w:color w:val="auto"/>
          <w:szCs w:val="21"/>
          <w:highlight w:val="none"/>
        </w:rPr>
      </w:pPr>
    </w:p>
    <w:p>
      <w:pPr>
        <w:spacing w:line="520" w:lineRule="exact"/>
        <w:ind w:firstLine="420" w:firstLineChars="200"/>
        <w:rPr>
          <w:rFonts w:ascii="宋体" w:hAnsi="宋体"/>
          <w:color w:val="auto"/>
          <w:szCs w:val="21"/>
          <w:highlight w:val="none"/>
        </w:rPr>
      </w:pPr>
    </w:p>
    <w:p>
      <w:pPr>
        <w:spacing w:line="440" w:lineRule="exact"/>
        <w:rPr>
          <w:rFonts w:ascii="宋体" w:hAns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供应商（   签章   ）：</w:t>
      </w:r>
    </w:p>
    <w:p>
      <w:pPr>
        <w:spacing w:line="440" w:lineRule="exact"/>
        <w:ind w:firstLine="2205" w:firstLineChars="1050"/>
        <w:rPr>
          <w:rFonts w:hint="eastAsia" w:ascii="宋体" w:hAnsi="宋体"/>
          <w:color w:val="auto"/>
          <w:szCs w:val="21"/>
          <w:highlight w:val="none"/>
        </w:rPr>
      </w:pPr>
      <w:r>
        <w:rPr>
          <w:rFonts w:hint="eastAsia" w:ascii="宋体" w:hAnsi="宋体"/>
          <w:color w:val="auto"/>
          <w:szCs w:val="21"/>
          <w:highlight w:val="none"/>
        </w:rPr>
        <w:t>法定代表人（身份证号码）</w:t>
      </w:r>
      <w:r>
        <w:rPr>
          <w:rFonts w:hint="eastAsia" w:ascii="宋体" w:hAnsi="宋体"/>
          <w:color w:val="auto"/>
          <w:szCs w:val="21"/>
          <w:highlight w:val="none"/>
          <w:lang w:eastAsia="zh-CN"/>
        </w:rPr>
        <w:t>：</w:t>
      </w:r>
      <w:r>
        <w:rPr>
          <w:rFonts w:ascii="宋体" w:hAnsi="宋体"/>
          <w:color w:val="auto"/>
          <w:szCs w:val="21"/>
          <w:highlight w:val="non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pPr>
        <w:pStyle w:val="3"/>
        <w:spacing w:line="440" w:lineRule="exact"/>
        <w:rPr>
          <w:rFonts w:hint="eastAsia"/>
          <w:color w:val="auto"/>
          <w:highlight w:val="none"/>
        </w:rPr>
      </w:pPr>
      <w:r>
        <w:rPr>
          <w:rFonts w:hint="eastAsia" w:ascii="宋体"/>
          <w:color w:val="auto"/>
          <w:sz w:val="24"/>
          <w:highlight w:val="none"/>
        </w:rPr>
        <w:t xml:space="preserve"> </w:t>
      </w:r>
      <w:r>
        <w:rPr>
          <w:rFonts w:hint="eastAsia" w:ascii="宋体" w:hAnsi="宋体"/>
          <w:color w:val="auto"/>
          <w:kern w:val="0"/>
          <w:szCs w:val="21"/>
          <w:highlight w:val="none"/>
          <w:u w:val="none" w:color="000000"/>
          <w:lang w:val="en-US" w:eastAsia="zh-CN"/>
        </w:rPr>
        <w:t xml:space="preserve">                                联系方式：</w:t>
      </w:r>
    </w:p>
    <w:p>
      <w:pPr>
        <w:spacing w:line="440" w:lineRule="exact"/>
        <w:ind w:left="2274" w:leftChars="1083"/>
        <w:rPr>
          <w:rFonts w:ascii="宋体" w:hAnsi="宋体"/>
          <w:color w:val="auto"/>
          <w:szCs w:val="21"/>
          <w:highlight w:val="none"/>
        </w:rPr>
      </w:pPr>
      <w:r>
        <w:rPr>
          <w:rFonts w:hint="eastAsia" w:ascii="宋体" w:hAnsi="宋体"/>
          <w:color w:val="auto"/>
          <w:szCs w:val="21"/>
          <w:highlight w:val="none"/>
        </w:rPr>
        <w:t>委托代理人（身份证号码）</w:t>
      </w:r>
      <w:r>
        <w:rPr>
          <w:rFonts w:hint="eastAsia" w:ascii="宋体" w:hAnsi="宋体"/>
          <w:color w:val="auto"/>
          <w:szCs w:val="21"/>
          <w:highlight w:val="none"/>
          <w:lang w:eastAsia="zh-CN"/>
        </w:rPr>
        <w:t>：</w:t>
      </w:r>
      <w:r>
        <w:rPr>
          <w:rFonts w:ascii="宋体" w:hAnsi="宋体"/>
          <w:color w:val="auto"/>
          <w:szCs w:val="21"/>
          <w:highlight w:val="none"/>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签字</w:t>
      </w:r>
      <w:r>
        <w:rPr>
          <w:rFonts w:hint="eastAsia" w:ascii="宋体" w:hAnsi="宋体"/>
          <w:color w:val="auto"/>
          <w:szCs w:val="21"/>
          <w:highlight w:val="none"/>
        </w:rPr>
        <w:t>）</w:t>
      </w:r>
    </w:p>
    <w:p>
      <w:pPr>
        <w:spacing w:line="440" w:lineRule="exact"/>
        <w:ind w:firstLine="3990" w:firstLineChars="1900"/>
        <w:rPr>
          <w:rFonts w:ascii="宋体" w:hAnsi="宋体"/>
          <w:color w:val="auto"/>
          <w:szCs w:val="21"/>
          <w:highlight w:val="none"/>
        </w:rPr>
      </w:pPr>
      <w:r>
        <w:rPr>
          <w:rFonts w:hint="eastAsia" w:ascii="宋体" w:hAnsi="宋体"/>
          <w:color w:val="auto"/>
          <w:szCs w:val="21"/>
          <w:highlight w:val="none"/>
        </w:rPr>
        <w:t xml:space="preserve">联系方式：   </w:t>
      </w:r>
      <w:r>
        <w:rPr>
          <w:rFonts w:ascii="宋体" w:hAnsi="宋体"/>
          <w:color w:val="auto"/>
          <w:szCs w:val="21"/>
          <w:highlight w:val="none"/>
        </w:rPr>
        <w:t xml:space="preserve">          </w:t>
      </w:r>
    </w:p>
    <w:p>
      <w:pPr>
        <w:spacing w:line="600" w:lineRule="exact"/>
        <w:ind w:firstLine="3727" w:firstLineChars="1775"/>
        <w:rPr>
          <w:rFonts w:hint="eastAsia" w:ascii="宋体" w:hAns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pPr>
        <w:spacing w:line="600" w:lineRule="exact"/>
        <w:ind w:firstLine="420" w:firstLineChars="200"/>
        <w:rPr>
          <w:rFonts w:hint="eastAsia" w:ascii="宋体" w:hAnsi="宋体"/>
          <w:color w:val="auto"/>
          <w:szCs w:val="21"/>
          <w:highlight w:val="none"/>
        </w:rPr>
      </w:pPr>
    </w:p>
    <w:p>
      <w:pPr>
        <w:spacing w:line="600" w:lineRule="exact"/>
        <w:ind w:firstLine="420" w:firstLineChars="200"/>
        <w:rPr>
          <w:rFonts w:hint="eastAsia" w:ascii="宋体" w:hAnsi="宋体"/>
          <w:color w:val="auto"/>
          <w:szCs w:val="21"/>
          <w:highlight w:val="none"/>
        </w:rPr>
      </w:pPr>
    </w:p>
    <w:p>
      <w:pPr>
        <w:spacing w:line="600" w:lineRule="exact"/>
        <w:ind w:firstLine="420" w:firstLineChars="200"/>
        <w:rPr>
          <w:rFonts w:hint="eastAsia" w:ascii="宋体" w:hAnsi="宋体"/>
          <w:color w:val="auto"/>
          <w:szCs w:val="21"/>
          <w:highlight w:val="none"/>
        </w:rPr>
      </w:pPr>
    </w:p>
    <w:p>
      <w:pPr>
        <w:spacing w:line="60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 </w:t>
      </w:r>
    </w:p>
    <w:p>
      <w:pPr>
        <w:pStyle w:val="2"/>
        <w:rPr>
          <w:rFonts w:hint="eastAsia" w:ascii="宋体" w:hAnsi="宋体"/>
          <w:color w:val="auto"/>
          <w:szCs w:val="21"/>
          <w:highlight w:val="none"/>
          <w:lang w:val="en-US" w:eastAsia="zh-CN"/>
        </w:rPr>
      </w:pPr>
    </w:p>
    <w:p>
      <w:pPr>
        <w:rPr>
          <w:rFonts w:hint="eastAsia"/>
          <w:color w:val="auto"/>
          <w:highlight w:val="none"/>
          <w:lang w:eastAsia="zh-CN"/>
        </w:rPr>
      </w:pPr>
    </w:p>
    <w:p>
      <w:pPr>
        <w:spacing w:line="520" w:lineRule="exact"/>
        <w:ind w:firstLine="420" w:firstLineChars="200"/>
        <w:rPr>
          <w:rFonts w:hint="eastAsia" w:ascii="宋体" w:hAnsi="宋体"/>
          <w:color w:val="auto"/>
          <w:szCs w:val="21"/>
          <w:highlight w:val="none"/>
        </w:rPr>
      </w:pPr>
    </w:p>
    <w:bookmarkEnd w:id="232"/>
    <w:p>
      <w:pPr>
        <w:spacing w:line="560" w:lineRule="atLeast"/>
        <w:jc w:val="left"/>
        <w:rPr>
          <w:rFonts w:hint="eastAsia" w:ascii="宋体" w:hAnsi="宋体" w:cs="宋体"/>
          <w:b/>
          <w:bCs/>
          <w:color w:val="auto"/>
          <w:szCs w:val="21"/>
          <w:highlight w:val="none"/>
        </w:rPr>
      </w:pPr>
      <w:r>
        <w:rPr>
          <w:rFonts w:hint="eastAsia" w:ascii="宋体" w:hAnsi="宋体" w:cs="宋体"/>
          <w:b/>
          <w:bCs/>
          <w:color w:val="auto"/>
          <w:szCs w:val="21"/>
          <w:highlight w:val="none"/>
        </w:rPr>
        <w:t>附件</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w:t>
      </w:r>
    </w:p>
    <w:p>
      <w:pPr>
        <w:spacing w:line="360" w:lineRule="auto"/>
        <w:jc w:val="center"/>
        <w:rPr>
          <w:rFonts w:hint="eastAsia" w:ascii="宋体" w:hAnsi="宋体"/>
          <w:b/>
          <w:color w:val="auto"/>
          <w:sz w:val="28"/>
          <w:szCs w:val="28"/>
          <w:highlight w:val="none"/>
        </w:rPr>
      </w:pPr>
      <w:r>
        <w:rPr>
          <w:rFonts w:hint="eastAsia" w:ascii="宋体" w:hAnsi="宋体"/>
          <w:b/>
          <w:color w:val="auto"/>
          <w:sz w:val="28"/>
          <w:szCs w:val="28"/>
          <w:highlight w:val="none"/>
        </w:rPr>
        <w:t>诚信</w:t>
      </w:r>
      <w:r>
        <w:rPr>
          <w:rFonts w:hint="eastAsia" w:ascii="宋体" w:hAnsi="宋体"/>
          <w:b/>
          <w:color w:val="auto"/>
          <w:sz w:val="28"/>
          <w:szCs w:val="28"/>
          <w:highlight w:val="none"/>
          <w:lang w:val="en-US" w:eastAsia="zh-CN"/>
        </w:rPr>
        <w:t>投标</w:t>
      </w:r>
      <w:r>
        <w:rPr>
          <w:rFonts w:hint="eastAsia" w:ascii="宋体" w:hAnsi="宋体"/>
          <w:b/>
          <w:color w:val="auto"/>
          <w:sz w:val="28"/>
          <w:szCs w:val="28"/>
          <w:highlight w:val="none"/>
        </w:rPr>
        <w:t>承诺书</w:t>
      </w:r>
    </w:p>
    <w:p>
      <w:pPr>
        <w:spacing w:line="440" w:lineRule="exact"/>
        <w:jc w:val="left"/>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60" w:lineRule="exact"/>
        <w:ind w:firstLine="420" w:firstLineChars="200"/>
        <w:jc w:val="left"/>
        <w:rPr>
          <w:rFonts w:asci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color="auto"/>
        </w:rPr>
        <w:t xml:space="preserve">       （项目名称）         项目</w:t>
      </w:r>
      <w:r>
        <w:rPr>
          <w:rFonts w:hint="eastAsia" w:ascii="宋体" w:hAnsi="宋体"/>
          <w:color w:val="auto"/>
          <w:szCs w:val="21"/>
          <w:highlight w:val="none"/>
        </w:rPr>
        <w:t>的响应，所提供的一切材料都是真实、有效、合法的；</w:t>
      </w:r>
    </w:p>
    <w:p>
      <w:pPr>
        <w:spacing w:line="560" w:lineRule="exact"/>
        <w:ind w:firstLine="420" w:firstLineChars="200"/>
        <w:jc w:val="left"/>
        <w:rPr>
          <w:rFonts w:asci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60" w:lineRule="exact"/>
        <w:ind w:firstLine="420" w:firstLineChars="200"/>
        <w:jc w:val="left"/>
        <w:rPr>
          <w:rFonts w:ascii="宋体"/>
          <w:color w:val="auto"/>
          <w:szCs w:val="21"/>
          <w:highlight w:val="none"/>
        </w:rPr>
      </w:pPr>
      <w:r>
        <w:rPr>
          <w:rFonts w:hint="eastAsia" w:ascii="宋体" w:hAnsi="宋体"/>
          <w:color w:val="auto"/>
          <w:szCs w:val="21"/>
          <w:highlight w:val="none"/>
        </w:rPr>
        <w:t>三、不出借、转让资质证书，不让他人挂靠，不以他人名义或者以其他方式弄虚作假，骗取成交；</w:t>
      </w:r>
    </w:p>
    <w:p>
      <w:pPr>
        <w:spacing w:line="560" w:lineRule="exact"/>
        <w:ind w:firstLine="420" w:firstLineChars="200"/>
        <w:jc w:val="left"/>
        <w:rPr>
          <w:rFonts w:ascii="宋体"/>
          <w:color w:val="auto"/>
          <w:szCs w:val="21"/>
          <w:highlight w:val="none"/>
        </w:rPr>
      </w:pPr>
      <w:r>
        <w:rPr>
          <w:rFonts w:hint="eastAsia" w:ascii="宋体" w:hAnsi="宋体"/>
          <w:color w:val="auto"/>
          <w:szCs w:val="21"/>
          <w:highlight w:val="none"/>
        </w:rPr>
        <w:t>四、不与其他供应商相互串通</w:t>
      </w:r>
      <w:r>
        <w:rPr>
          <w:rFonts w:hint="eastAsia" w:ascii="宋体" w:hAnsi="宋体"/>
          <w:color w:val="auto"/>
          <w:szCs w:val="21"/>
          <w:highlight w:val="none"/>
          <w:lang w:eastAsia="zh-CN"/>
        </w:rPr>
        <w:t>投标报价</w:t>
      </w:r>
      <w:r>
        <w:rPr>
          <w:rFonts w:hint="eastAsia" w:ascii="宋体" w:hAnsi="宋体"/>
          <w:color w:val="auto"/>
          <w:szCs w:val="21"/>
          <w:highlight w:val="none"/>
        </w:rPr>
        <w:t>，不排挤其他供应商的公平竞争、损害采购人的合法权益；</w:t>
      </w:r>
    </w:p>
    <w:p>
      <w:pPr>
        <w:spacing w:line="560" w:lineRule="exact"/>
        <w:ind w:firstLine="420" w:firstLineChars="200"/>
        <w:jc w:val="left"/>
        <w:rPr>
          <w:rFonts w:ascii="宋体"/>
          <w:color w:val="auto"/>
          <w:szCs w:val="21"/>
          <w:highlight w:val="none"/>
        </w:rPr>
      </w:pPr>
      <w:r>
        <w:rPr>
          <w:rFonts w:hint="eastAsia" w:ascii="宋体" w:hAnsi="宋体"/>
          <w:color w:val="auto"/>
          <w:szCs w:val="21"/>
          <w:highlight w:val="none"/>
        </w:rPr>
        <w:t>五、不与采购人、采购代理机构或其他供应商串通响应，损害国家利益、社会公共利益或者他人的合法权益；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前三年被人民检察院列入行贿犯罪档案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w:t>
      </w:r>
    </w:p>
    <w:p>
      <w:pPr>
        <w:spacing w:line="500" w:lineRule="exact"/>
        <w:ind w:firstLine="420" w:firstLineChars="200"/>
        <w:rPr>
          <w:rFonts w:ascii="宋体"/>
          <w:color w:val="auto"/>
          <w:szCs w:val="21"/>
          <w:highlight w:val="none"/>
        </w:rPr>
      </w:pPr>
      <w:r>
        <w:rPr>
          <w:rFonts w:hint="eastAsia" w:ascii="宋体" w:hAnsi="宋体"/>
          <w:color w:val="auto"/>
          <w:szCs w:val="21"/>
          <w:highlight w:val="none"/>
        </w:rPr>
        <w:t>七、我公司没有下列情形：被滁州市县两级公管部门记入不良行为记录且在披露期内。</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w:t>
      </w:r>
      <w:r>
        <w:rPr>
          <w:rFonts w:hint="eastAsia" w:ascii="宋体" w:hAnsi="宋体"/>
          <w:color w:val="auto"/>
          <w:szCs w:val="21"/>
          <w:highlight w:val="none"/>
          <w:lang w:val="en-US" w:eastAsia="zh-CN"/>
        </w:rPr>
        <w:t>开标</w:t>
      </w:r>
      <w:r>
        <w:rPr>
          <w:rFonts w:hint="eastAsia" w:ascii="宋体" w:hAnsi="宋体"/>
          <w:color w:val="auto"/>
          <w:szCs w:val="21"/>
          <w:highlight w:val="none"/>
        </w:rPr>
        <w:t>现场纪律，服从监管人员管理；</w:t>
      </w:r>
    </w:p>
    <w:p>
      <w:pPr>
        <w:spacing w:line="56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九、保证成交后不转包，若有分包征得采购人同意；</w:t>
      </w:r>
    </w:p>
    <w:p>
      <w:pPr>
        <w:spacing w:line="56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十、保证成交之后，按照</w:t>
      </w:r>
      <w:r>
        <w:rPr>
          <w:rFonts w:hint="eastAsia" w:ascii="宋体" w:hAnsi="宋体"/>
          <w:color w:val="auto"/>
          <w:szCs w:val="21"/>
          <w:highlight w:val="none"/>
          <w:lang w:eastAsia="zh-CN"/>
        </w:rPr>
        <w:t>投标文件</w:t>
      </w:r>
      <w:r>
        <w:rPr>
          <w:rFonts w:hint="eastAsia" w:ascii="宋体" w:hAnsi="宋体"/>
          <w:color w:val="auto"/>
          <w:szCs w:val="21"/>
          <w:highlight w:val="none"/>
        </w:rPr>
        <w:t>要求提供相关后续服务；</w:t>
      </w:r>
    </w:p>
    <w:p>
      <w:pPr>
        <w:spacing w:line="56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十一、保证企业及所属相关人员在本次响应中无行贿等犯罪行为；</w:t>
      </w:r>
    </w:p>
    <w:p>
      <w:pPr>
        <w:spacing w:line="56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十一、如在</w:t>
      </w:r>
      <w:r>
        <w:rPr>
          <w:rFonts w:hint="eastAsia" w:ascii="宋体" w:hAnsi="宋体"/>
          <w:color w:val="auto"/>
          <w:szCs w:val="21"/>
          <w:highlight w:val="none"/>
          <w:lang w:val="en-US" w:eastAsia="zh-CN"/>
        </w:rPr>
        <w:t>开标</w:t>
      </w:r>
      <w:r>
        <w:rPr>
          <w:rFonts w:hint="eastAsia" w:ascii="宋体" w:hAnsi="宋体"/>
          <w:color w:val="auto"/>
          <w:szCs w:val="21"/>
          <w:highlight w:val="none"/>
        </w:rPr>
        <w:t>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6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响应或者中标（成交）资格、记入不良行为记录、投标保证金不予退还等有关处理，愿意承担法律责任，给采购人造成损失的，依法承担赔偿责任。</w:t>
      </w:r>
    </w:p>
    <w:p>
      <w:pPr>
        <w:spacing w:line="560" w:lineRule="exact"/>
        <w:ind w:firstLine="420" w:firstLineChars="200"/>
        <w:jc w:val="left"/>
        <w:rPr>
          <w:rFonts w:hint="eastAsia" w:ascii="宋体" w:hAnsi="宋体"/>
          <w:color w:val="auto"/>
          <w:szCs w:val="21"/>
          <w:highlight w:val="none"/>
        </w:rPr>
      </w:pPr>
    </w:p>
    <w:p>
      <w:pPr>
        <w:spacing w:line="520" w:lineRule="exact"/>
        <w:jc w:val="left"/>
        <w:rPr>
          <w:rFonts w:ascii="宋体"/>
          <w:color w:val="auto"/>
          <w:szCs w:val="21"/>
          <w:highlight w:val="none"/>
        </w:rPr>
      </w:pPr>
    </w:p>
    <w:p>
      <w:pPr>
        <w:spacing w:line="600" w:lineRule="exact"/>
        <w:ind w:firstLine="420" w:firstLineChars="200"/>
        <w:jc w:val="left"/>
        <w:rPr>
          <w:rFonts w:ascii="宋体"/>
          <w:color w:val="auto"/>
          <w:szCs w:val="21"/>
          <w:highlight w:val="none"/>
        </w:rPr>
      </w:pPr>
      <w:r>
        <w:rPr>
          <w:rFonts w:hint="eastAsia" w:ascii="宋体" w:hAnsi="宋体"/>
          <w:color w:val="auto"/>
          <w:szCs w:val="21"/>
          <w:highlight w:val="none"/>
        </w:rPr>
        <w:t>开户银行：</w:t>
      </w:r>
      <w:r>
        <w:rPr>
          <w:rFonts w:ascii="宋体" w:hAnsi="宋体"/>
          <w:color w:val="auto"/>
          <w:szCs w:val="21"/>
          <w:highlight w:val="none"/>
        </w:rPr>
        <w:t xml:space="preserve">                   </w:t>
      </w:r>
      <w:r>
        <w:rPr>
          <w:rFonts w:hint="eastAsia" w:ascii="宋体" w:hAnsi="宋体"/>
          <w:color w:val="auto"/>
          <w:szCs w:val="21"/>
          <w:highlight w:val="none"/>
        </w:rPr>
        <w:t>基本账户：</w:t>
      </w:r>
    </w:p>
    <w:p>
      <w:pPr>
        <w:spacing w:line="600" w:lineRule="exact"/>
        <w:ind w:firstLine="420" w:firstLineChars="200"/>
        <w:jc w:val="left"/>
        <w:rPr>
          <w:rFonts w:ascii="宋体"/>
          <w:color w:val="auto"/>
          <w:szCs w:val="21"/>
          <w:highlight w:val="none"/>
        </w:rPr>
      </w:pPr>
      <w:r>
        <w:rPr>
          <w:rFonts w:hint="eastAsia" w:ascii="宋体" w:hAnsi="宋体"/>
          <w:color w:val="auto"/>
          <w:szCs w:val="21"/>
          <w:highlight w:val="none"/>
        </w:rPr>
        <w:t>供应商（</w:t>
      </w:r>
      <w:r>
        <w:rPr>
          <w:rFonts w:hint="eastAsia" w:ascii="宋体" w:hAnsi="宋体"/>
          <w:color w:val="auto"/>
          <w:szCs w:val="21"/>
          <w:highlight w:val="none"/>
          <w:lang w:val="en-US" w:eastAsia="zh-CN"/>
        </w:rPr>
        <w:t>盖章</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pPr>
        <w:spacing w:line="600" w:lineRule="exact"/>
        <w:ind w:firstLine="4095" w:firstLineChars="1950"/>
        <w:rPr>
          <w:rFonts w:hint="eastAsia"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spacing w:line="600" w:lineRule="exact"/>
        <w:jc w:val="left"/>
        <w:rPr>
          <w:rFonts w:hint="eastAsia" w:ascii="宋体"/>
          <w:color w:val="auto"/>
          <w:szCs w:val="21"/>
          <w:highlight w:val="none"/>
        </w:rPr>
      </w:pPr>
    </w:p>
    <w:p>
      <w:pPr>
        <w:pStyle w:val="3"/>
        <w:rPr>
          <w:rFonts w:hint="eastAsia" w:ascii="宋体"/>
          <w:color w:val="auto"/>
          <w:szCs w:val="21"/>
          <w:highlight w:val="none"/>
        </w:rPr>
      </w:pPr>
    </w:p>
    <w:p>
      <w:pPr>
        <w:spacing w:line="560" w:lineRule="atLeast"/>
        <w:jc w:val="left"/>
        <w:rPr>
          <w:rFonts w:hint="eastAsia" w:ascii="宋体" w:hAnsi="宋体" w:cs="宋体"/>
          <w:b/>
          <w:bCs/>
          <w:color w:val="auto"/>
          <w:szCs w:val="21"/>
          <w:highlight w:val="none"/>
        </w:rPr>
      </w:pPr>
    </w:p>
    <w:p>
      <w:pPr>
        <w:spacing w:line="560" w:lineRule="atLeast"/>
        <w:jc w:val="left"/>
        <w:rPr>
          <w:rFonts w:hint="eastAsia" w:ascii="宋体" w:hAnsi="宋体" w:cs="宋体"/>
          <w:b/>
          <w:bCs/>
          <w:color w:val="auto"/>
          <w:szCs w:val="21"/>
          <w:highlight w:val="none"/>
        </w:rPr>
      </w:pPr>
    </w:p>
    <w:p>
      <w:pPr>
        <w:spacing w:line="560" w:lineRule="atLeast"/>
        <w:jc w:val="left"/>
        <w:rPr>
          <w:rFonts w:hint="eastAsia" w:ascii="宋体" w:hAnsi="宋体" w:cs="宋体"/>
          <w:b/>
          <w:bCs/>
          <w:color w:val="auto"/>
          <w:szCs w:val="21"/>
          <w:highlight w:val="none"/>
        </w:rPr>
      </w:pPr>
    </w:p>
    <w:p>
      <w:pPr>
        <w:spacing w:line="560" w:lineRule="atLeast"/>
        <w:jc w:val="left"/>
        <w:rPr>
          <w:rFonts w:hint="eastAsia" w:ascii="宋体" w:hAnsi="宋体" w:cs="宋体"/>
          <w:b/>
          <w:bCs/>
          <w:color w:val="auto"/>
          <w:szCs w:val="21"/>
          <w:highlight w:val="none"/>
        </w:rPr>
      </w:pPr>
      <w:r>
        <w:rPr>
          <w:rFonts w:hint="eastAsia" w:ascii="宋体" w:hAnsi="宋体" w:cs="宋体"/>
          <w:b/>
          <w:bCs/>
          <w:color w:val="auto"/>
          <w:szCs w:val="21"/>
          <w:highlight w:val="none"/>
        </w:rPr>
        <w:t>附件</w:t>
      </w:r>
      <w:r>
        <w:rPr>
          <w:rFonts w:hint="eastAsia" w:ascii="宋体" w:hAnsi="宋体" w:cs="宋体"/>
          <w:b/>
          <w:bCs/>
          <w:color w:val="auto"/>
          <w:szCs w:val="21"/>
          <w:highlight w:val="none"/>
          <w:lang w:val="en-US" w:eastAsia="zh-CN"/>
        </w:rPr>
        <w:t>6</w:t>
      </w:r>
      <w:r>
        <w:rPr>
          <w:rFonts w:hint="eastAsia" w:ascii="宋体" w:hAnsi="宋体" w:cs="宋体"/>
          <w:b/>
          <w:bCs/>
          <w:color w:val="auto"/>
          <w:szCs w:val="21"/>
          <w:highlight w:val="none"/>
        </w:rPr>
        <w:t>：</w:t>
      </w:r>
    </w:p>
    <w:p>
      <w:pPr>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服务承诺书</w:t>
      </w:r>
    </w:p>
    <w:p>
      <w:pPr>
        <w:spacing w:line="600" w:lineRule="auto"/>
        <w:rPr>
          <w:rFonts w:hint="eastAsia" w:ascii="宋体" w:hAnsi="宋体" w:cs="宋体"/>
          <w:bCs/>
          <w:color w:val="auto"/>
          <w:sz w:val="24"/>
          <w:szCs w:val="24"/>
          <w:highlight w:val="none"/>
          <w:u w:val="single"/>
        </w:rPr>
      </w:pPr>
      <w:r>
        <w:rPr>
          <w:rFonts w:hint="eastAsia" w:ascii="宋体" w:hAnsi="宋体" w:cs="宋体"/>
          <w:bCs/>
          <w:color w:val="auto"/>
          <w:sz w:val="24"/>
          <w:szCs w:val="24"/>
          <w:highlight w:val="none"/>
        </w:rPr>
        <w:t>致：</w:t>
      </w:r>
      <w:r>
        <w:rPr>
          <w:rFonts w:hint="eastAsia" w:ascii="宋体" w:hAnsi="宋体" w:cs="宋体"/>
          <w:bCs/>
          <w:color w:val="auto"/>
          <w:sz w:val="24"/>
          <w:szCs w:val="24"/>
          <w:highlight w:val="none"/>
          <w:u w:val="single"/>
        </w:rPr>
        <w:t xml:space="preserve">          （采购人）     ：</w:t>
      </w:r>
    </w:p>
    <w:p>
      <w:pPr>
        <w:spacing w:line="6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highlight w:val="none"/>
        </w:rPr>
        <w:t>本承诺声明：</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（供应商名称）</w:t>
      </w:r>
      <w:r>
        <w:rPr>
          <w:rFonts w:hint="eastAsia" w:ascii="宋体" w:hAnsi="宋体" w:cs="宋体"/>
          <w:bCs/>
          <w:color w:val="auto"/>
          <w:sz w:val="24"/>
          <w:szCs w:val="24"/>
          <w:highlight w:val="none"/>
        </w:rPr>
        <w:t>对本</w:t>
      </w:r>
      <w:r>
        <w:rPr>
          <w:rFonts w:hint="eastAsia" w:ascii="宋体" w:hAnsi="宋体" w:cs="宋体"/>
          <w:bCs/>
          <w:color w:val="auto"/>
          <w:sz w:val="24"/>
          <w:szCs w:val="24"/>
          <w:highlight w:val="none"/>
          <w:lang w:eastAsia="zh-CN"/>
        </w:rPr>
        <w:t>招标文件</w:t>
      </w:r>
      <w:r>
        <w:rPr>
          <w:rFonts w:hint="eastAsia" w:ascii="宋体" w:hAnsi="宋体" w:cs="宋体"/>
          <w:bCs/>
          <w:color w:val="auto"/>
          <w:sz w:val="24"/>
          <w:szCs w:val="24"/>
          <w:highlight w:val="none"/>
        </w:rPr>
        <w:t>的相关要求完全响应。若有幸成交将严格按照以上承诺进行服务。</w:t>
      </w:r>
    </w:p>
    <w:p>
      <w:pPr>
        <w:pStyle w:val="82"/>
        <w:spacing w:line="600" w:lineRule="auto"/>
        <w:rPr>
          <w:rFonts w:hint="eastAsia" w:ascii="宋体" w:hAnsi="宋体" w:cs="宋体"/>
          <w:bCs/>
          <w:color w:val="auto"/>
          <w:highlight w:val="none"/>
        </w:rPr>
      </w:pPr>
      <w:r>
        <w:rPr>
          <w:rFonts w:hint="eastAsia" w:ascii="宋体" w:hAnsi="宋体" w:cs="宋体"/>
          <w:bCs/>
          <w:color w:val="auto"/>
          <w:sz w:val="24"/>
          <w:szCs w:val="24"/>
          <w:highlight w:val="none"/>
        </w:rPr>
        <w:t xml:space="preserve"> </w:t>
      </w:r>
    </w:p>
    <w:p>
      <w:pPr>
        <w:spacing w:line="60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特此声明</w:t>
      </w:r>
    </w:p>
    <w:p>
      <w:pPr>
        <w:spacing w:line="600" w:lineRule="auto"/>
        <w:rPr>
          <w:rFonts w:hint="eastAsia" w:ascii="宋体" w:hAnsi="宋体" w:cs="宋体"/>
          <w:bCs/>
          <w:color w:val="auto"/>
          <w:sz w:val="24"/>
          <w:szCs w:val="24"/>
          <w:highlight w:val="none"/>
        </w:rPr>
      </w:pPr>
      <w:r>
        <w:rPr>
          <w:rFonts w:hint="eastAsia" w:ascii="宋体" w:hAnsi="宋体" w:cs="宋体"/>
          <w:bCs/>
          <w:color w:val="auto"/>
          <w:sz w:val="24"/>
          <w:szCs w:val="24"/>
          <w:highlight w:val="none"/>
        </w:rPr>
        <w:t> </w:t>
      </w:r>
    </w:p>
    <w:p>
      <w:pPr>
        <w:spacing w:line="600" w:lineRule="auto"/>
        <w:ind w:firstLine="4080" w:firstLineChars="1700"/>
        <w:rPr>
          <w:rFonts w:hint="eastAsia" w:ascii="宋体" w:hAnsi="宋体" w:cs="宋体"/>
          <w:bCs/>
          <w:color w:val="auto"/>
          <w:sz w:val="24"/>
          <w:szCs w:val="24"/>
          <w:highlight w:val="none"/>
          <w:u w:val="single"/>
        </w:rPr>
      </w:pPr>
      <w:r>
        <w:rPr>
          <w:rFonts w:hint="eastAsia" w:ascii="宋体" w:hAnsi="宋体" w:cs="宋体"/>
          <w:bCs/>
          <w:color w:val="auto"/>
          <w:sz w:val="24"/>
          <w:szCs w:val="24"/>
          <w:highlight w:val="none"/>
        </w:rPr>
        <w:t xml:space="preserve"> 法定代表人</w:t>
      </w:r>
      <w:r>
        <w:rPr>
          <w:rFonts w:hint="eastAsia" w:ascii="宋体" w:hAnsi="宋体" w:cs="宋体"/>
          <w:bCs/>
          <w:color w:val="auto"/>
          <w:sz w:val="24"/>
          <w:szCs w:val="24"/>
          <w:highlight w:val="none"/>
          <w:lang w:val="en-US" w:eastAsia="zh-CN"/>
        </w:rPr>
        <w:t>或委托代理人（签字或盖章）</w:t>
      </w:r>
      <w:r>
        <w:rPr>
          <w:rFonts w:hint="eastAsia" w:ascii="宋体" w:hAnsi="宋体" w:cs="宋体"/>
          <w:bCs/>
          <w:color w:val="auto"/>
          <w:sz w:val="24"/>
          <w:szCs w:val="24"/>
          <w:highlight w:val="none"/>
        </w:rPr>
        <w:t xml:space="preserve">： </w:t>
      </w:r>
      <w:r>
        <w:rPr>
          <w:rFonts w:hint="eastAsia" w:ascii="宋体" w:hAnsi="宋体" w:cs="宋体"/>
          <w:bCs/>
          <w:color w:val="auto"/>
          <w:sz w:val="24"/>
          <w:szCs w:val="24"/>
          <w:highlight w:val="none"/>
          <w:u w:val="single" w:color="auto"/>
        </w:rPr>
        <w:t xml:space="preserve">   </w:t>
      </w:r>
      <w:r>
        <w:rPr>
          <w:rFonts w:hint="eastAsia" w:ascii="宋体" w:hAnsi="宋体" w:cs="宋体"/>
          <w:bCs/>
          <w:color w:val="auto"/>
          <w:sz w:val="24"/>
          <w:szCs w:val="24"/>
          <w:highlight w:val="none"/>
          <w:u w:val="single"/>
        </w:rPr>
        <w:t xml:space="preserve">                 </w:t>
      </w:r>
    </w:p>
    <w:p>
      <w:pPr>
        <w:spacing w:line="600" w:lineRule="auto"/>
        <w:rPr>
          <w:rFonts w:hint="eastAsia" w:ascii="宋体" w:hAnsi="宋体" w:cs="宋体"/>
          <w:bCs/>
          <w:color w:val="auto"/>
          <w:sz w:val="24"/>
          <w:szCs w:val="24"/>
          <w:highlight w:val="none"/>
        </w:rPr>
      </w:pPr>
      <w:r>
        <w:rPr>
          <w:rFonts w:hint="eastAsia" w:ascii="宋体" w:hAnsi="宋体" w:cs="宋体"/>
          <w:bCs/>
          <w:color w:val="auto"/>
          <w:sz w:val="24"/>
          <w:szCs w:val="24"/>
          <w:highlight w:val="none"/>
        </w:rPr>
        <w:t xml:space="preserve">                                    供应商名称：</w:t>
      </w:r>
      <w:r>
        <w:rPr>
          <w:rFonts w:hint="eastAsia" w:ascii="宋体" w:hAnsi="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盖章</w:t>
      </w:r>
      <w:r>
        <w:rPr>
          <w:rFonts w:hint="eastAsia" w:ascii="宋体" w:hAnsi="宋体" w:cs="宋体"/>
          <w:bCs/>
          <w:color w:val="auto"/>
          <w:sz w:val="24"/>
          <w:szCs w:val="24"/>
          <w:highlight w:val="none"/>
          <w:u w:val="single"/>
        </w:rPr>
        <w:t xml:space="preserve">）         </w:t>
      </w:r>
    </w:p>
    <w:p>
      <w:pPr>
        <w:spacing w:line="600" w:lineRule="auto"/>
        <w:ind w:firstLine="4680" w:firstLineChars="1950"/>
        <w:rPr>
          <w:rFonts w:hint="eastAsia" w:ascii="宋体" w:hAnsi="宋体" w:cs="宋体"/>
          <w:bCs/>
          <w:color w:val="auto"/>
          <w:sz w:val="24"/>
          <w:szCs w:val="24"/>
          <w:highlight w:val="none"/>
          <w:u w:val="single"/>
        </w:rPr>
      </w:pPr>
      <w:r>
        <w:rPr>
          <w:rFonts w:hint="eastAsia" w:ascii="宋体" w:hAnsi="宋体" w:cs="宋体"/>
          <w:bCs/>
          <w:color w:val="auto"/>
          <w:sz w:val="24"/>
          <w:szCs w:val="24"/>
          <w:highlight w:val="none"/>
        </w:rPr>
        <w:t>日    期：</w:t>
      </w:r>
      <w:r>
        <w:rPr>
          <w:rFonts w:hint="eastAsia" w:ascii="宋体" w:hAnsi="宋体" w:cs="宋体"/>
          <w:bCs/>
          <w:color w:val="auto"/>
          <w:sz w:val="24"/>
          <w:szCs w:val="24"/>
          <w:highlight w:val="none"/>
          <w:u w:val="single"/>
        </w:rPr>
        <w:t xml:space="preserve"> </w:t>
      </w:r>
    </w:p>
    <w:p>
      <w:pPr>
        <w:spacing w:line="600" w:lineRule="auto"/>
        <w:ind w:firstLine="4680" w:firstLineChars="1950"/>
        <w:rPr>
          <w:rFonts w:hint="eastAsia" w:ascii="宋体" w:hAnsi="宋体" w:cs="宋体"/>
          <w:bCs/>
          <w:color w:val="auto"/>
          <w:sz w:val="24"/>
          <w:szCs w:val="24"/>
          <w:highlight w:val="none"/>
          <w:u w:val="single"/>
        </w:rPr>
      </w:pPr>
    </w:p>
    <w:p>
      <w:pPr>
        <w:spacing w:line="600" w:lineRule="auto"/>
        <w:ind w:firstLine="4680" w:firstLineChars="1950"/>
        <w:rPr>
          <w:rFonts w:hint="eastAsia" w:ascii="宋体" w:hAnsi="宋体" w:cs="宋体"/>
          <w:bCs/>
          <w:color w:val="auto"/>
          <w:sz w:val="24"/>
          <w:szCs w:val="24"/>
          <w:highlight w:val="none"/>
          <w:u w:val="single"/>
        </w:rPr>
      </w:pPr>
    </w:p>
    <w:p>
      <w:pPr>
        <w:spacing w:line="600" w:lineRule="auto"/>
        <w:ind w:firstLine="4680" w:firstLineChars="1950"/>
        <w:rPr>
          <w:rFonts w:hint="eastAsia" w:ascii="宋体" w:hAnsi="宋体" w:cs="宋体"/>
          <w:bCs/>
          <w:color w:val="auto"/>
          <w:sz w:val="24"/>
          <w:szCs w:val="24"/>
          <w:highlight w:val="none"/>
          <w:u w:val="single"/>
        </w:rPr>
      </w:pPr>
    </w:p>
    <w:p>
      <w:pPr>
        <w:spacing w:line="600" w:lineRule="auto"/>
        <w:ind w:firstLine="4680" w:firstLineChars="1950"/>
        <w:rPr>
          <w:rFonts w:hint="eastAsia" w:ascii="宋体" w:hAnsi="宋体" w:cs="宋体"/>
          <w:bCs/>
          <w:color w:val="auto"/>
          <w:sz w:val="24"/>
          <w:szCs w:val="24"/>
          <w:highlight w:val="none"/>
          <w:u w:val="single"/>
        </w:rPr>
      </w:pPr>
    </w:p>
    <w:p>
      <w:pPr>
        <w:spacing w:line="600" w:lineRule="auto"/>
        <w:ind w:firstLine="4680" w:firstLineChars="1950"/>
        <w:rPr>
          <w:rFonts w:hint="eastAsia" w:ascii="宋体" w:hAnsi="宋体" w:cs="宋体"/>
          <w:bCs/>
          <w:color w:val="auto"/>
          <w:sz w:val="24"/>
          <w:szCs w:val="24"/>
          <w:highlight w:val="none"/>
          <w:u w:val="single"/>
        </w:rPr>
      </w:pPr>
    </w:p>
    <w:p>
      <w:pPr>
        <w:spacing w:line="600" w:lineRule="auto"/>
        <w:ind w:firstLine="4680" w:firstLineChars="1950"/>
        <w:rPr>
          <w:rFonts w:hint="eastAsia" w:ascii="宋体" w:hAnsi="宋体" w:cs="宋体"/>
          <w:bCs/>
          <w:color w:val="auto"/>
          <w:sz w:val="24"/>
          <w:szCs w:val="24"/>
          <w:highlight w:val="none"/>
          <w:u w:val="single"/>
        </w:rPr>
      </w:pPr>
    </w:p>
    <w:p>
      <w:pPr>
        <w:spacing w:line="600" w:lineRule="auto"/>
        <w:ind w:firstLine="4680" w:firstLineChars="1950"/>
        <w:rPr>
          <w:rFonts w:hint="eastAsia" w:ascii="宋体" w:hAnsi="宋体" w:cs="宋体"/>
          <w:bCs/>
          <w:color w:val="auto"/>
          <w:sz w:val="24"/>
          <w:szCs w:val="24"/>
          <w:highlight w:val="none"/>
          <w:u w:val="single"/>
        </w:rPr>
      </w:pPr>
    </w:p>
    <w:p>
      <w:pPr>
        <w:spacing w:line="600" w:lineRule="auto"/>
        <w:ind w:firstLine="4680" w:firstLineChars="1950"/>
        <w:rPr>
          <w:rFonts w:hint="eastAsia" w:ascii="宋体" w:hAnsi="宋体" w:cs="宋体"/>
          <w:bCs/>
          <w:color w:val="auto"/>
          <w:sz w:val="24"/>
          <w:szCs w:val="24"/>
          <w:highlight w:val="none"/>
          <w:u w:val="single"/>
        </w:rPr>
      </w:pPr>
    </w:p>
    <w:p>
      <w:pPr>
        <w:spacing w:line="560" w:lineRule="atLeast"/>
        <w:jc w:val="left"/>
        <w:rPr>
          <w:rFonts w:hint="eastAsia" w:ascii="宋体" w:hAnsi="宋体" w:cs="宋体"/>
          <w:b/>
          <w:bCs/>
          <w:color w:val="auto"/>
          <w:szCs w:val="21"/>
          <w:highlight w:val="none"/>
          <w:lang w:val="en-US" w:eastAsia="zh-CN"/>
        </w:rPr>
      </w:pPr>
      <w:r>
        <w:rPr>
          <w:rFonts w:hint="eastAsia" w:ascii="宋体" w:hAnsi="宋体" w:cs="宋体"/>
          <w:b/>
          <w:bCs/>
          <w:color w:val="auto"/>
          <w:szCs w:val="21"/>
          <w:highlight w:val="none"/>
          <w:lang w:val="en-US" w:eastAsia="zh-CN"/>
        </w:rPr>
        <w:t>附件7：其他投标材料</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供应商营业执照、税务登记证、组织机构代码证（或三证合一的有效证件）；</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会计师事务所、评估机构执业证书，或其他证明</w:t>
      </w:r>
      <w:r>
        <w:rPr>
          <w:rFonts w:hint="eastAsia" w:ascii="宋体" w:hAnsi="宋体"/>
          <w:color w:val="auto"/>
          <w:szCs w:val="21"/>
          <w:highlight w:val="none"/>
          <w:lang w:val="en-US" w:eastAsia="zh-CN"/>
        </w:rPr>
        <w:t>资质</w:t>
      </w:r>
      <w:r>
        <w:rPr>
          <w:rFonts w:hint="eastAsia" w:ascii="宋体" w:hAnsi="宋体"/>
          <w:color w:val="auto"/>
          <w:szCs w:val="21"/>
          <w:highlight w:val="none"/>
        </w:rPr>
        <w:t>材料；</w:t>
      </w:r>
    </w:p>
    <w:p>
      <w:pPr>
        <w:spacing w:line="500" w:lineRule="exact"/>
        <w:ind w:firstLine="420" w:firstLineChars="200"/>
        <w:rPr>
          <w:rFonts w:hint="eastAsia" w:ascii="宋体" w:hAnsi="宋体"/>
          <w:color w:val="auto"/>
          <w:szCs w:val="21"/>
          <w:highlight w:val="none"/>
          <w:lang w:eastAsia="zh-CN"/>
        </w:rPr>
      </w:pPr>
      <w:r>
        <w:rPr>
          <w:rFonts w:hint="eastAsia" w:ascii="宋体" w:hAnsi="宋体"/>
          <w:color w:val="auto"/>
          <w:szCs w:val="21"/>
          <w:highlight w:val="none"/>
          <w:lang w:val="en-US" w:eastAsia="zh-CN"/>
        </w:rPr>
        <w:t>3.</w:t>
      </w:r>
      <w:r>
        <w:rPr>
          <w:rFonts w:hint="eastAsia" w:ascii="宋体" w:hAnsi="宋体"/>
          <w:color w:val="auto"/>
          <w:szCs w:val="21"/>
          <w:highlight w:val="none"/>
        </w:rPr>
        <w:t>审计</w:t>
      </w:r>
      <w:r>
        <w:rPr>
          <w:rFonts w:hint="eastAsia" w:ascii="宋体" w:hAnsi="宋体"/>
          <w:color w:val="auto"/>
          <w:szCs w:val="21"/>
          <w:highlight w:val="none"/>
          <w:lang w:eastAsia="zh-CN"/>
        </w:rPr>
        <w:t>、</w:t>
      </w:r>
      <w:r>
        <w:rPr>
          <w:rFonts w:hint="eastAsia" w:ascii="宋体" w:hAnsi="宋体"/>
          <w:color w:val="auto"/>
          <w:szCs w:val="21"/>
          <w:highlight w:val="none"/>
        </w:rPr>
        <w:t>评估项目负责人</w:t>
      </w:r>
      <w:r>
        <w:rPr>
          <w:rFonts w:hint="eastAsia" w:ascii="宋体" w:hAnsi="宋体"/>
          <w:color w:val="auto"/>
          <w:szCs w:val="21"/>
          <w:highlight w:val="none"/>
          <w:lang w:val="en-US" w:eastAsia="zh-CN"/>
        </w:rPr>
        <w:t>资质</w:t>
      </w:r>
      <w:r>
        <w:rPr>
          <w:rFonts w:hint="eastAsia" w:ascii="宋体" w:hAnsi="宋体"/>
          <w:color w:val="auto"/>
          <w:szCs w:val="21"/>
          <w:highlight w:val="none"/>
        </w:rPr>
        <w:t>证书</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注册在投标单位</w:t>
      </w:r>
      <w:r>
        <w:rPr>
          <w:rFonts w:hint="eastAsia" w:ascii="宋体" w:hAnsi="宋体"/>
          <w:color w:val="auto"/>
          <w:szCs w:val="21"/>
          <w:highlight w:val="none"/>
          <w:lang w:eastAsia="zh-CN"/>
        </w:rPr>
        <w:t>）；</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审计</w:t>
      </w:r>
      <w:r>
        <w:rPr>
          <w:rFonts w:hint="eastAsia" w:ascii="宋体" w:hAnsi="宋体"/>
          <w:color w:val="auto"/>
          <w:szCs w:val="21"/>
          <w:highlight w:val="none"/>
          <w:lang w:eastAsia="zh-CN"/>
        </w:rPr>
        <w:t>、</w:t>
      </w:r>
      <w:r>
        <w:rPr>
          <w:rFonts w:hint="eastAsia" w:ascii="宋体" w:hAnsi="宋体"/>
          <w:color w:val="auto"/>
          <w:szCs w:val="21"/>
          <w:highlight w:val="none"/>
        </w:rPr>
        <w:t>评估项目负责人</w:t>
      </w:r>
      <w:r>
        <w:rPr>
          <w:rFonts w:hint="eastAsia" w:ascii="宋体" w:hAnsi="宋体"/>
          <w:color w:val="auto"/>
          <w:szCs w:val="21"/>
          <w:highlight w:val="none"/>
          <w:lang w:val="en-US" w:eastAsia="zh-CN"/>
        </w:rPr>
        <w:t>近三个月</w:t>
      </w:r>
      <w:r>
        <w:rPr>
          <w:rFonts w:hint="eastAsia" w:ascii="宋体" w:hAnsi="宋体"/>
          <w:color w:val="auto"/>
          <w:szCs w:val="21"/>
          <w:highlight w:val="none"/>
        </w:rPr>
        <w:t xml:space="preserve">社保证明；     </w:t>
      </w:r>
    </w:p>
    <w:p>
      <w:pPr>
        <w:pStyle w:val="57"/>
        <w:rPr>
          <w:rFonts w:hint="eastAsia" w:ascii="宋体" w:hAnsi="宋体"/>
          <w:color w:val="auto"/>
          <w:szCs w:val="21"/>
          <w:highlight w:val="none"/>
        </w:rPr>
      </w:pPr>
    </w:p>
    <w:p>
      <w:pPr>
        <w:pStyle w:val="57"/>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附件8：供应商认为需要提供的其他证明材料</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p>
    <w:p>
      <w:pPr>
        <w:pStyle w:val="6"/>
        <w:keepNext/>
        <w:keepLines w:val="0"/>
        <w:pageBreakBefore/>
        <w:widowControl/>
        <w:kinsoku/>
        <w:wordWrap/>
        <w:overflowPunct/>
        <w:topLinePunct w:val="0"/>
        <w:autoSpaceDE/>
        <w:autoSpaceDN/>
        <w:bidi w:val="0"/>
        <w:adjustRightInd/>
        <w:snapToGrid/>
        <w:spacing w:before="200" w:after="200" w:line="600" w:lineRule="exact"/>
        <w:jc w:val="center"/>
        <w:textAlignment w:val="auto"/>
        <w:rPr>
          <w:rFonts w:hint="eastAsia" w:ascii="黑体" w:hAnsi="黑体" w:eastAsia="黑体"/>
          <w:sz w:val="28"/>
          <w:szCs w:val="28"/>
        </w:rPr>
      </w:pPr>
      <w:bookmarkStart w:id="233" w:name="_Toc30879"/>
      <w:bookmarkStart w:id="234" w:name="_Toc95223548"/>
      <w:bookmarkStart w:id="235" w:name="_Toc1217"/>
      <w:r>
        <w:rPr>
          <w:rFonts w:hint="eastAsia" w:ascii="黑体" w:hAnsi="黑体" w:eastAsia="黑体"/>
          <w:sz w:val="36"/>
          <w:szCs w:val="28"/>
        </w:rPr>
        <w:t>附件</w:t>
      </w:r>
      <w:r>
        <w:rPr>
          <w:rFonts w:hint="eastAsia" w:hAnsi="黑体"/>
          <w:sz w:val="36"/>
          <w:szCs w:val="28"/>
          <w:lang w:val="en-US" w:eastAsia="zh-CN"/>
        </w:rPr>
        <w:t>9：</w:t>
      </w:r>
      <w:r>
        <w:rPr>
          <w:rFonts w:hint="eastAsia" w:ascii="黑体" w:hAnsi="黑体" w:eastAsia="黑体"/>
          <w:sz w:val="36"/>
          <w:szCs w:val="28"/>
        </w:rPr>
        <w:t xml:space="preserve"> 关于联合惩戒失信行为加强信用查询管理的通知</w:t>
      </w:r>
      <w:bookmarkEnd w:id="233"/>
      <w:bookmarkEnd w:id="234"/>
      <w:bookmarkEnd w:id="235"/>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一、失信行为联合惩戒的范围和查询渠道</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在我市公共资源交易活动中对存在下列失信行为的投标人、法定代表人及其项目经理（建造师）实施联合惩戒，禁止参与我市公共资源交易活动。</w:t>
      </w:r>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（一）工程建设项目</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1、“信用中国”网站（www.creditchina.gov.cn）查询以下失信行为：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①投标人被人民法院列入失信被执行人的；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②投标人被税务部门列入重大税收违法案件当事人的；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③投标人被人力资源社会保障主管部门列入拖欠农民工工资“黑名单”的；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④在“信用中国”网站上披露的仍在公示期的严重失信行为的。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2、国家企业信用信息公示系统网站（</w:t>
      </w:r>
      <w:r>
        <w:rPr>
          <w:rFonts w:hint="eastAsia" w:ascii="宋体" w:hAnsi="宋体" w:cs="宋体"/>
          <w:color w:val="000000"/>
          <w:szCs w:val="21"/>
        </w:rPr>
        <w:fldChar w:fldCharType="begin"/>
      </w:r>
      <w:r>
        <w:rPr>
          <w:rFonts w:hint="eastAsia" w:ascii="宋体" w:hAnsi="宋体" w:cs="宋体"/>
          <w:color w:val="000000"/>
          <w:szCs w:val="21"/>
        </w:rPr>
        <w:instrText xml:space="preserve">HYPERLINK "http://www.gsxt.gov.cn）查询"</w:instrText>
      </w:r>
      <w:r>
        <w:rPr>
          <w:rFonts w:hint="eastAsia" w:ascii="宋体" w:hAnsi="宋体" w:cs="宋体"/>
          <w:color w:val="000000"/>
          <w:szCs w:val="21"/>
        </w:rPr>
        <w:fldChar w:fldCharType="separate"/>
      </w:r>
      <w:r>
        <w:rPr>
          <w:rFonts w:hint="eastAsia" w:ascii="宋体" w:hAnsi="宋体" w:cs="宋体"/>
          <w:color w:val="000000"/>
          <w:szCs w:val="21"/>
        </w:rPr>
        <w:t>www.gsxt.gov.cn）</w:t>
      </w:r>
      <w:r>
        <w:rPr>
          <w:rFonts w:hint="eastAsia" w:ascii="宋体" w:hAnsi="宋体" w:cs="宋体"/>
          <w:color w:val="000000"/>
          <w:szCs w:val="21"/>
        </w:rPr>
        <w:fldChar w:fldCharType="end"/>
      </w:r>
      <w:r>
        <w:rPr>
          <w:rFonts w:hint="eastAsia" w:ascii="宋体" w:hAnsi="宋体" w:cs="宋体"/>
          <w:color w:val="000000"/>
          <w:szCs w:val="21"/>
        </w:rPr>
        <w:t>查询以下失信行为：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①被市场监督管理部门列入经营异常名录或者严重违法企业名单的。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3、滁州市公共资源交易中心网站（http://ggzy.chuzhou.gov.cn/）查询以下失信行为：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①被滁州市县两级公管部门取消在一定期限内的投标资格且在取消期限内的；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②被滁州市县两级公管部门记入不良行为记录或者信用信息记录，且在披露期内的。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4、由竞争主体进行承诺，不进行现场网上信用查询的失信行为：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①前三年列入行贿犯罪档案的单位和个人；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②被滁州市县两级各行业主管部门取消在一定期限内的投标资格且在取消期限内的；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③因拖欠农民工工资被县级及以上有关行政主管部门限制投标资格且在限制期限内的。</w:t>
      </w:r>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（二）政府采购项目</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1、“信用中国”网站（www.creditchina.gov.cn）查询以下失信行为：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①投标人被人民法院列入失信被执行人的；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②投标人被税务部门列入重大税收违法案件当事人的；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③在“信用中国”网站上披露的仍在公示期的严重失信行为的。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2、国家企业信用信息公示系统网站（</w:t>
      </w:r>
      <w:r>
        <w:rPr>
          <w:rFonts w:hint="eastAsia" w:ascii="宋体" w:hAnsi="宋体" w:cs="宋体"/>
          <w:color w:val="000000"/>
          <w:szCs w:val="21"/>
        </w:rPr>
        <w:fldChar w:fldCharType="begin"/>
      </w:r>
      <w:r>
        <w:rPr>
          <w:rFonts w:hint="eastAsia" w:ascii="宋体" w:hAnsi="宋体" w:cs="宋体"/>
          <w:color w:val="000000"/>
          <w:szCs w:val="21"/>
        </w:rPr>
        <w:instrText xml:space="preserve">HYPERLINK "http://www.gsxt.gov.cn）查询"</w:instrText>
      </w:r>
      <w:r>
        <w:rPr>
          <w:rFonts w:hint="eastAsia" w:ascii="宋体" w:hAnsi="宋体" w:cs="宋体"/>
          <w:color w:val="000000"/>
          <w:szCs w:val="21"/>
        </w:rPr>
        <w:fldChar w:fldCharType="separate"/>
      </w:r>
      <w:r>
        <w:rPr>
          <w:rFonts w:hint="eastAsia" w:ascii="宋体" w:hAnsi="宋体" w:cs="宋体"/>
          <w:color w:val="000000"/>
          <w:szCs w:val="21"/>
        </w:rPr>
        <w:t>www.gsxt.gov.cn）</w:t>
      </w:r>
      <w:r>
        <w:rPr>
          <w:rFonts w:hint="eastAsia" w:ascii="宋体" w:hAnsi="宋体" w:cs="宋体"/>
          <w:color w:val="000000"/>
          <w:szCs w:val="21"/>
        </w:rPr>
        <w:fldChar w:fldCharType="end"/>
      </w:r>
      <w:r>
        <w:rPr>
          <w:rFonts w:hint="eastAsia" w:ascii="宋体" w:hAnsi="宋体" w:cs="宋体"/>
          <w:color w:val="000000"/>
          <w:szCs w:val="21"/>
        </w:rPr>
        <w:t>查询以下失信行为：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①被市场监督管理部门列入经营异常名录或者严重违法企业名单的。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3、中国政府采购网站（</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"http://www.ccgp.gov.cn" </w:instrText>
      </w:r>
      <w:r>
        <w:rPr>
          <w:rFonts w:hint="eastAsia" w:ascii="宋体" w:hAnsi="宋体" w:cs="宋体"/>
          <w:color w:val="000000"/>
          <w:szCs w:val="21"/>
        </w:rPr>
        <w:fldChar w:fldCharType="separate"/>
      </w:r>
      <w:r>
        <w:rPr>
          <w:rStyle w:val="51"/>
          <w:rFonts w:hint="eastAsia" w:ascii="宋体" w:hAnsi="宋体" w:cs="宋体"/>
          <w:color w:val="000000"/>
          <w:szCs w:val="21"/>
        </w:rPr>
        <w:t>www.ccgp.gov.cn</w:t>
      </w:r>
      <w:r>
        <w:rPr>
          <w:rFonts w:hint="eastAsia" w:ascii="宋体" w:hAnsi="宋体" w:cs="宋体"/>
          <w:color w:val="000000"/>
          <w:szCs w:val="21"/>
        </w:rPr>
        <w:fldChar w:fldCharType="end"/>
      </w:r>
      <w:r>
        <w:rPr>
          <w:rFonts w:hint="eastAsia" w:ascii="宋体" w:hAnsi="宋体" w:cs="宋体"/>
          <w:color w:val="000000"/>
          <w:szCs w:val="21"/>
        </w:rPr>
        <w:t>）查询以下失信行为：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①政府采购严重违法失信行为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4、滁州市公共资源交易中心网站（http://ggzy.chuzhou.gov.cn/）查询以下失信行为：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①被滁州市县两级公管部门取消在一定期限内的投标资格且在取消期限内的；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②被滁州市县两级公管部门记入不良行为记录或者信用信息记录，且在披露期内的。</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5、由竞争主体进行承诺，不进行现场网上信用查询的失信行为：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①前三年列入行贿犯罪档案的单位和个人；</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②被滁州市县两级各行业主管部门取消在一定期限内的投标资格且在取消期限内的。</w:t>
      </w:r>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二、在开评标活动中的查询程序</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实行有限数量制资格审查的项目，由项目单位（代理机构）对入围的投标人、法定代表人及其项目经理（建造师）是否存在上述要求查询的失信行为进行网上核查；若核查结果与投标人承诺不一致，则提交评标委员会取消其入围资格，依次进行替补，并对替补单位进行核查。评审结论以核查后入围的结果重新计算最终评标基准值。</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2、不实行有限数量制资格审查的项目，由项目单位（代理机构）对评审最终得分排序前3名（含）的预中标候选人、法定代表人及其项目经理（建造师）是否存在上述要求查询的失信行为进行网上核查。若核查结果与投标人承诺不一致，则提交评标委员会取消其预中标候选人资格，依次替补，并再次对替补单位进行核查。核查结果不改变原评标基准值。</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3、项目单位及其委托的代理机构应当做好信用查询结果截图和记录留存。</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4、交易中心见证人员对预中标候选人信用查询结果进行复查，发现问题及时纠正，并按规定程序追究相关单位和人员责任。</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5、结果公告须提供有评标委员会、代理机构及交易中心现场见证人员查询记录三方签字表方可发布。</w:t>
      </w:r>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三、相关要求</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1、参与公共资源交易活动的竞争主体根据上述范围查询的内容进行自查或承诺，出具《诚信投标承诺书》（诚信投标承诺书包括但不限于上述自查或承诺内容）并注明承诺日期（投标截止时间前5日内）。</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经核查，竞争主体在承诺日期之前（没有承诺日期的以资格审查日或开标日之前）有上述失信行为进行虚假承诺的，将视作不诚信行为，资格审查委员会或评标委员会及代理机构应当及时报告公共资源监管部门，依法依规予以处理。</w:t>
      </w:r>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2、“信用中国”查询的严重失信行为判定依据为各行业主管部门下发的联合惩戒文件中规定的行为（按附件2执行）。</w:t>
      </w:r>
    </w:p>
    <w:p>
      <w:pPr>
        <w:adjustRightInd w:val="0"/>
        <w:snapToGrid w:val="0"/>
        <w:spacing w:line="360" w:lineRule="auto"/>
        <w:ind w:firstLine="420" w:firstLineChars="200"/>
        <w:rPr>
          <w:rFonts w:hint="eastAsia" w:ascii="宋体" w:hAnsi="宋体" w:cs="宋体"/>
          <w:color w:val="000000"/>
          <w:szCs w:val="21"/>
        </w:rPr>
      </w:pPr>
      <w:r>
        <w:rPr>
          <w:rFonts w:hint="eastAsia" w:ascii="宋体" w:hAnsi="宋体" w:cs="宋体"/>
          <w:color w:val="000000"/>
          <w:szCs w:val="21"/>
        </w:rPr>
        <w:t>3、资格预审的项目以递交资格预审申请文件截止时间查询为准；资格后审的项目以递交投标文件截止时间查询为准。</w:t>
      </w:r>
    </w:p>
    <w:p>
      <w:pPr>
        <w:adjustRightInd w:val="0"/>
        <w:snapToGrid w:val="0"/>
        <w:spacing w:line="560" w:lineRule="exact"/>
        <w:rPr>
          <w:rFonts w:hint="eastAsia"/>
          <w:color w:val="000000"/>
        </w:rPr>
      </w:pPr>
    </w:p>
    <w:p>
      <w:pPr>
        <w:pStyle w:val="6"/>
        <w:pageBreakBefore/>
        <w:spacing w:before="200" w:after="200" w:line="600" w:lineRule="exact"/>
        <w:rPr>
          <w:rFonts w:hint="eastAsia" w:ascii="黑体" w:hAnsi="黑体" w:eastAsia="黑体"/>
          <w:sz w:val="36"/>
          <w:szCs w:val="28"/>
        </w:rPr>
      </w:pPr>
      <w:bookmarkStart w:id="236" w:name="_Toc17620"/>
      <w:bookmarkStart w:id="237" w:name="_Toc95223549"/>
      <w:bookmarkStart w:id="238" w:name="_Toc15797"/>
      <w:r>
        <w:rPr>
          <w:rFonts w:hint="eastAsia" w:ascii="黑体" w:hAnsi="黑体" w:eastAsia="黑体"/>
          <w:sz w:val="36"/>
          <w:szCs w:val="28"/>
        </w:rPr>
        <w:t>附件</w:t>
      </w:r>
      <w:r>
        <w:rPr>
          <w:rFonts w:hint="eastAsia" w:hAnsi="黑体"/>
          <w:sz w:val="36"/>
          <w:szCs w:val="28"/>
          <w:lang w:val="en-US" w:eastAsia="zh-CN"/>
        </w:rPr>
        <w:t>10：</w:t>
      </w:r>
      <w:r>
        <w:rPr>
          <w:rFonts w:hint="eastAsia" w:ascii="黑体" w:hAnsi="黑体" w:eastAsia="黑体"/>
          <w:sz w:val="36"/>
          <w:szCs w:val="28"/>
        </w:rPr>
        <w:t>“信用中国”查询的严重失信行为类别及判定依据</w:t>
      </w:r>
      <w:bookmarkEnd w:id="236"/>
      <w:bookmarkEnd w:id="237"/>
      <w:bookmarkEnd w:id="238"/>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“信用中国”查询的严重失信行为判定依据为各行业主管部门下发的联合惩戒文件中规定的行为。下面将部分类别的严重失信行为列举如下：</w:t>
      </w:r>
    </w:p>
    <w:p>
      <w:pPr>
        <w:adjustRightInd w:val="0"/>
        <w:snapToGrid w:val="0"/>
        <w:spacing w:line="360" w:lineRule="auto"/>
        <w:ind w:firstLine="645"/>
        <w:jc w:val="left"/>
        <w:rPr>
          <w:rFonts w:hint="eastAsia" w:ascii="宋体" w:hAnsi="宋体" w:cs="宋体"/>
          <w:b/>
          <w:color w:val="000000"/>
          <w:szCs w:val="21"/>
        </w:rPr>
      </w:pPr>
      <w:r>
        <w:rPr>
          <w:rFonts w:hint="eastAsia" w:ascii="宋体" w:hAnsi="宋体" w:cs="宋体"/>
          <w:b/>
          <w:color w:val="000000"/>
          <w:szCs w:val="21"/>
        </w:rPr>
        <w:t>一、安全生产领域严重失信行为：</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（一）发生较大及以上生产安全责任事故，或1年内累计发生3起及以上造成人员死亡的一般生产安全责任事故的；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（二）未按规定取得安全生产许可，擅自开展生产经营建设活动的；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（三）发现重大生产安全事故隐患，或职业病危害严重超标，不及时整改，仍组织从业人员冒险作业的；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（四）采取隐蔽、欺骗或阻碍等方式逃避、对抗安全监管监察的</w:t>
      </w:r>
      <w:r>
        <w:rPr>
          <w:rFonts w:hint="eastAsia" w:ascii="宋体" w:hAnsi="宋体" w:cs="宋体"/>
          <w:color w:val="000000"/>
          <w:szCs w:val="21"/>
          <w:lang w:eastAsia="zh-CN"/>
        </w:rPr>
        <w:t>；</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（五）被责令停产停业整顿，仍然从事生产经营建设活动的；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（六）瞒报、谎报、迟报生产安全事故的；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（七）矿山、危险化学品、金属冶炼等高危行业建设项目安全设施未经验收合格即投入生产和使用的；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（八）矿山生产经营单位存在超层越界开采、以探代采行为的；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（九）发生事故后，故意破坏事故现场，伪造有关证据资料，妨碍、对抗事故调查，或主要负责人逃逸的；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（十）安全生产和职业健康技术服务机构出具虚假报告或证明，违规转让或出借资质的。</w:t>
      </w:r>
    </w:p>
    <w:p>
      <w:pPr>
        <w:adjustRightInd w:val="0"/>
        <w:snapToGrid w:val="0"/>
        <w:spacing w:line="360" w:lineRule="auto"/>
        <w:ind w:firstLine="645"/>
        <w:jc w:val="left"/>
        <w:rPr>
          <w:rFonts w:hint="eastAsia" w:ascii="宋体" w:hAnsi="宋体" w:cs="宋体"/>
          <w:b/>
          <w:color w:val="000000"/>
          <w:szCs w:val="21"/>
        </w:rPr>
      </w:pPr>
      <w:r>
        <w:rPr>
          <w:rFonts w:hint="eastAsia" w:ascii="宋体" w:hAnsi="宋体" w:cs="宋体"/>
          <w:b/>
          <w:color w:val="000000"/>
          <w:szCs w:val="21"/>
        </w:rPr>
        <w:t>依据：《对安全生产领域失信行为开展联合惩戒的实施办法》（安监总办〔2017〕49号）第二条</w:t>
      </w:r>
    </w:p>
    <w:p>
      <w:pPr>
        <w:adjustRightInd w:val="0"/>
        <w:snapToGrid w:val="0"/>
        <w:spacing w:line="360" w:lineRule="auto"/>
        <w:ind w:firstLine="645"/>
        <w:jc w:val="left"/>
        <w:rPr>
          <w:rFonts w:hint="eastAsia" w:ascii="宋体" w:hAnsi="宋体" w:cs="宋体"/>
          <w:b/>
          <w:color w:val="000000"/>
          <w:szCs w:val="21"/>
        </w:rPr>
      </w:pPr>
    </w:p>
    <w:p>
      <w:pPr>
        <w:adjustRightInd w:val="0"/>
        <w:snapToGrid w:val="0"/>
        <w:spacing w:line="360" w:lineRule="auto"/>
        <w:ind w:firstLine="645"/>
        <w:jc w:val="left"/>
        <w:rPr>
          <w:rFonts w:hint="eastAsia" w:ascii="宋体" w:hAnsi="宋体" w:cs="宋体"/>
          <w:b/>
          <w:color w:val="000000"/>
          <w:szCs w:val="21"/>
        </w:rPr>
      </w:pPr>
      <w:r>
        <w:rPr>
          <w:rFonts w:hint="eastAsia" w:ascii="宋体" w:hAnsi="宋体" w:cs="宋体"/>
          <w:b/>
          <w:color w:val="000000"/>
          <w:szCs w:val="21"/>
        </w:rPr>
        <w:t>二、环境保护领域严重失信行为：</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（一）因为环境违法构成</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"https://baike.sogou.com/m/fullLemma?lid=10403954&amp;g_ut=3"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环境犯罪</w:t>
      </w:r>
      <w:r>
        <w:rPr>
          <w:rFonts w:hint="eastAsia" w:ascii="宋体" w:hAnsi="宋体" w:cs="宋体"/>
          <w:color w:val="000000"/>
          <w:szCs w:val="21"/>
        </w:rPr>
        <w:fldChar w:fldCharType="end"/>
      </w:r>
      <w:r>
        <w:rPr>
          <w:rFonts w:hint="eastAsia" w:ascii="宋体" w:hAnsi="宋体" w:cs="宋体"/>
          <w:color w:val="000000"/>
          <w:szCs w:val="21"/>
        </w:rPr>
        <w:t>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（二）</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"https://baike.sogou.com/m/fullLemma?lid=76033123&amp;g_ut=3"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建设项目环境影响评价</w:t>
      </w:r>
      <w:r>
        <w:rPr>
          <w:rFonts w:hint="eastAsia" w:ascii="宋体" w:hAnsi="宋体" w:cs="宋体"/>
          <w:color w:val="000000"/>
          <w:szCs w:val="21"/>
        </w:rPr>
        <w:fldChar w:fldCharType="end"/>
      </w:r>
      <w:r>
        <w:rPr>
          <w:rFonts w:hint="eastAsia" w:ascii="宋体" w:hAnsi="宋体" w:cs="宋体"/>
          <w:color w:val="000000"/>
          <w:szCs w:val="21"/>
        </w:rPr>
        <w:t>文件未按规定通过审批，擅自开工建设的；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（三）建设项目环保设施未建成、环保措施未落实、未通过</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"https://baike.sogou.com/m/fullLemma?lid=6470550&amp;g_ut=3"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竣工环保验收</w:t>
      </w:r>
      <w:r>
        <w:rPr>
          <w:rFonts w:hint="eastAsia" w:ascii="宋体" w:hAnsi="宋体" w:cs="宋体"/>
          <w:color w:val="000000"/>
          <w:szCs w:val="21"/>
        </w:rPr>
        <w:fldChar w:fldCharType="end"/>
      </w:r>
      <w:r>
        <w:rPr>
          <w:rFonts w:hint="eastAsia" w:ascii="宋体" w:hAnsi="宋体" w:cs="宋体"/>
          <w:color w:val="000000"/>
          <w:szCs w:val="21"/>
        </w:rPr>
        <w:t>或者验收不合格，主体工程正式投入生产或者使用的；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（四）建设项目性质、规模、地点、采用的生产工艺或者防治污染、防止生态破坏的措施发生重大变动，未重新报批环境影响评价文件，擅自投入生产或者使用的；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（五）主要污染物排放总量超过控制指标的；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（六）私设暗管或者利用</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"https://baike.sogou.com/m/fullLemma?lid=41657319&amp;g_ut=3"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渗井</w:t>
      </w:r>
      <w:r>
        <w:rPr>
          <w:rFonts w:hint="eastAsia" w:ascii="宋体" w:hAnsi="宋体" w:cs="宋体"/>
          <w:color w:val="000000"/>
          <w:szCs w:val="21"/>
        </w:rPr>
        <w:fldChar w:fldCharType="end"/>
      </w:r>
      <w:r>
        <w:rPr>
          <w:rFonts w:hint="eastAsia" w:ascii="宋体" w:hAnsi="宋体" w:cs="宋体"/>
          <w:color w:val="000000"/>
          <w:szCs w:val="21"/>
        </w:rPr>
        <w:t>、渗坑、裂隙、溶洞等排放、倾倒、处置水污染物，或者通过私设旁路排放</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"https://baike.sogou.com/m/fullLemma?lid=7758328&amp;g_ut=3"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大气污染物</w:t>
      </w:r>
      <w:r>
        <w:rPr>
          <w:rFonts w:hint="eastAsia" w:ascii="宋体" w:hAnsi="宋体" w:cs="宋体"/>
          <w:color w:val="000000"/>
          <w:szCs w:val="21"/>
        </w:rPr>
        <w:fldChar w:fldCharType="end"/>
      </w:r>
      <w:r>
        <w:rPr>
          <w:rFonts w:hint="eastAsia" w:ascii="宋体" w:hAnsi="宋体" w:cs="宋体"/>
          <w:color w:val="000000"/>
          <w:szCs w:val="21"/>
        </w:rPr>
        <w:t>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（七）非法排放、倾倒、处置危险废物，或者向无</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"https://baike.sogou.com/m/fullLemma?lid=5923292&amp;g_ut=3"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经营许可证</w:t>
      </w:r>
      <w:r>
        <w:rPr>
          <w:rFonts w:hint="eastAsia" w:ascii="宋体" w:hAnsi="宋体" w:cs="宋体"/>
          <w:color w:val="000000"/>
          <w:szCs w:val="21"/>
        </w:rPr>
        <w:fldChar w:fldCharType="end"/>
      </w:r>
      <w:r>
        <w:rPr>
          <w:rFonts w:hint="eastAsia" w:ascii="宋体" w:hAnsi="宋体" w:cs="宋体"/>
          <w:color w:val="000000"/>
          <w:szCs w:val="21"/>
        </w:rPr>
        <w:t>或者超出经营许可范围的单位或个人提供或者委托其收集、贮存、利用、处置危险废物的；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（八）</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"https://baike.sogou.com/m/fullLemma?lid=167759803&amp;g_ut=3"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环境违法行为</w:t>
      </w:r>
      <w:r>
        <w:rPr>
          <w:rFonts w:hint="eastAsia" w:ascii="宋体" w:hAnsi="宋体" w:cs="宋体"/>
          <w:color w:val="000000"/>
          <w:szCs w:val="21"/>
        </w:rPr>
        <w:fldChar w:fldCharType="end"/>
      </w:r>
      <w:r>
        <w:rPr>
          <w:rFonts w:hint="eastAsia" w:ascii="宋体" w:hAnsi="宋体" w:cs="宋体"/>
          <w:color w:val="000000"/>
          <w:szCs w:val="21"/>
        </w:rPr>
        <w:t>造成集中式生活饮用水水源取水中断的；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（九）环境违法行为对生活饮用水水源保护区、自然保护区、</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"https://baike.sogou.com/m/fullLemma?lid=155199213&amp;g_ut=3"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国家重点生态功能区</w:t>
      </w:r>
      <w:r>
        <w:rPr>
          <w:rFonts w:hint="eastAsia" w:ascii="宋体" w:hAnsi="宋体" w:cs="宋体"/>
          <w:color w:val="000000"/>
          <w:szCs w:val="21"/>
        </w:rPr>
        <w:fldChar w:fldCharType="end"/>
      </w:r>
      <w:r>
        <w:rPr>
          <w:rFonts w:hint="eastAsia" w:ascii="宋体" w:hAnsi="宋体" w:cs="宋体"/>
          <w:color w:val="000000"/>
          <w:szCs w:val="21"/>
        </w:rPr>
        <w:t>、风景名胜区、居住功能区、</w:t>
      </w:r>
      <w:r>
        <w:rPr>
          <w:rFonts w:hint="eastAsia" w:ascii="宋体" w:hAnsi="宋体" w:cs="宋体"/>
          <w:color w:val="000000"/>
          <w:szCs w:val="21"/>
        </w:rPr>
        <w:fldChar w:fldCharType="begin"/>
      </w:r>
      <w:r>
        <w:rPr>
          <w:rFonts w:hint="eastAsia" w:ascii="宋体" w:hAnsi="宋体" w:cs="宋体"/>
          <w:color w:val="000000"/>
          <w:szCs w:val="21"/>
        </w:rPr>
        <w:instrText xml:space="preserve"> HYPERLINK "https://baike.sogou.com/m/fullLemma?lid=7757164&amp;g_ut=3" \t "https://baike.sogou.com/m/_blank" </w:instrText>
      </w:r>
      <w:r>
        <w:rPr>
          <w:rFonts w:hint="eastAsia" w:ascii="宋体" w:hAnsi="宋体" w:cs="宋体"/>
          <w:color w:val="000000"/>
          <w:szCs w:val="21"/>
        </w:rPr>
        <w:fldChar w:fldCharType="separate"/>
      </w:r>
      <w:r>
        <w:rPr>
          <w:rFonts w:hint="eastAsia" w:ascii="宋体" w:hAnsi="宋体" w:cs="宋体"/>
          <w:color w:val="000000"/>
          <w:szCs w:val="21"/>
        </w:rPr>
        <w:t>基本农田保护区</w:t>
      </w:r>
      <w:r>
        <w:rPr>
          <w:rFonts w:hint="eastAsia" w:ascii="宋体" w:hAnsi="宋体" w:cs="宋体"/>
          <w:color w:val="000000"/>
          <w:szCs w:val="21"/>
        </w:rPr>
        <w:fldChar w:fldCharType="end"/>
      </w:r>
      <w:r>
        <w:rPr>
          <w:rFonts w:hint="eastAsia" w:ascii="宋体" w:hAnsi="宋体" w:cs="宋体"/>
          <w:color w:val="000000"/>
          <w:szCs w:val="21"/>
        </w:rPr>
        <w:t>等环境敏感区造成重大不利影响的；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（十）违法从事自然资源开发、交通基础设施建设，以及其他开发建设活动，造成严重生态破坏的；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（十一）发生较大及以上突发环境事件的；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（十二）被环保部门挂牌督办，整改逾期未完成的；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（十三）以暴力、威胁等方式拒绝、阻挠环保部门工作人员现场检查的；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（十四）违反重污染天气应急预案有关规定，对重污染天气响应不力的。</w:t>
      </w:r>
    </w:p>
    <w:p>
      <w:pPr>
        <w:adjustRightInd w:val="0"/>
        <w:snapToGrid w:val="0"/>
        <w:spacing w:line="360" w:lineRule="auto"/>
        <w:ind w:firstLine="645"/>
        <w:jc w:val="left"/>
        <w:rPr>
          <w:rFonts w:hint="eastAsia" w:ascii="宋体" w:hAnsi="宋体" w:cs="宋体"/>
          <w:b/>
          <w:color w:val="000000"/>
          <w:szCs w:val="21"/>
        </w:rPr>
      </w:pPr>
      <w:r>
        <w:rPr>
          <w:rFonts w:hint="eastAsia" w:ascii="宋体" w:hAnsi="宋体" w:cs="宋体"/>
          <w:b/>
          <w:color w:val="000000"/>
          <w:szCs w:val="21"/>
        </w:rPr>
        <w:t>依据：《关于对环境保护领域失信生产经营单位及其有关人员开展联合惩戒的合作备忘录》、《企业环境信用评价办法（试行）》（环发〔2013〕150号）</w:t>
      </w:r>
    </w:p>
    <w:p>
      <w:pPr>
        <w:adjustRightInd w:val="0"/>
        <w:snapToGrid w:val="0"/>
        <w:spacing w:line="360" w:lineRule="auto"/>
        <w:ind w:firstLine="645"/>
        <w:jc w:val="left"/>
        <w:rPr>
          <w:rFonts w:hint="eastAsia" w:ascii="宋体" w:hAnsi="宋体" w:cs="宋体"/>
          <w:b/>
          <w:color w:val="000000"/>
          <w:szCs w:val="21"/>
        </w:rPr>
      </w:pPr>
    </w:p>
    <w:p>
      <w:pPr>
        <w:adjustRightInd w:val="0"/>
        <w:snapToGrid w:val="0"/>
        <w:spacing w:line="360" w:lineRule="auto"/>
        <w:ind w:firstLine="645"/>
        <w:jc w:val="left"/>
        <w:rPr>
          <w:rFonts w:hint="eastAsia" w:ascii="宋体" w:hAnsi="宋体" w:cs="宋体"/>
          <w:b/>
          <w:color w:val="000000"/>
          <w:szCs w:val="21"/>
        </w:rPr>
      </w:pPr>
      <w:r>
        <w:rPr>
          <w:rFonts w:hint="eastAsia" w:ascii="宋体" w:hAnsi="宋体" w:cs="宋体"/>
          <w:b/>
          <w:color w:val="000000"/>
          <w:szCs w:val="21"/>
        </w:rPr>
        <w:t>三、</w:t>
      </w:r>
      <w:r>
        <w:rPr>
          <w:rFonts w:hint="eastAsia" w:ascii="宋体" w:hAnsi="宋体" w:cs="宋体"/>
          <w:b/>
          <w:bCs/>
          <w:color w:val="000000"/>
          <w:szCs w:val="21"/>
        </w:rPr>
        <w:t>公共资源交易领域严重失信行为</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（一）违反法律规定，必须进行招标的项目而不招标的，将必须进行招标的项目化整为零或者以其他任何方式规避招标的；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（二）招标代理机构违反法律规定，泄露应当保密的与招标投标活动有关的情况和资料的，或者与招标人、投标人串通损害 国家利益、社会公共利益或者他人合法权益的；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 （三）招标人以不合理的条件限制或者排斥潜在投标人的，对潜在投标人实行歧视待遇的，强制要求投标人组成联合体共同 投标的，或者限制投标人之间竞争的；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 （四）依法必须进行招标的项目的招标人向他人透露已获取招标文件的潜在投标人的名称、数量或者可能影响公平竞争的有 关招标投标的其他情况的，或者泄露标底的；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 （五）投标人相互串通投标或者与招标人串通投标的，投标人以向招标人或者评标委员会成员行贿的手段谋取中标的； </w:t>
      </w:r>
    </w:p>
    <w:p>
      <w:pPr>
        <w:adjustRightInd w:val="0"/>
        <w:snapToGrid w:val="0"/>
        <w:spacing w:line="360" w:lineRule="auto"/>
        <w:ind w:firstLine="667" w:firstLineChars="318"/>
        <w:jc w:val="left"/>
        <w:rPr>
          <w:rFonts w:hint="eastAsia" w:ascii="宋体" w:hAnsi="宋体" w:cs="宋体"/>
          <w:color w:val="000000"/>
          <w:szCs w:val="21"/>
        </w:rPr>
      </w:pPr>
      <w:r>
        <w:rPr>
          <w:rFonts w:hint="eastAsia" w:ascii="宋体" w:hAnsi="宋体" w:cs="宋体"/>
          <w:color w:val="000000"/>
          <w:szCs w:val="21"/>
        </w:rPr>
        <w:t>（六）投标人以他人名义投标或者以其他方式弄虚作假，骗取中标的；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 （七）依法必须进行招标的项目，招标人违反法律规定，与投标人就投标价格、投标方案等实质性内容进行谈判的；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（八）评标委员会成员收受投标人的财物或者其他好处的，评标委员会成员或者参加评标的有关工作人员向他人透露对投 标文件的评审和比较、中标候选人的推荐以及与评标有关的其他 情况的；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（九）招标人在评标委员会依法推荐的中标候选人以外确定中标人的，依法必须进行招标的项目在所有投标被评标委员会否 决后自行确定中标人的；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（十）中标人将中标项目转让给他人的，将中标项目肢解后分别转让给他人的，违反法律规定将中标项目的部分主体、关键 性工作分包给他人的，或者分包人再次分包的；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（十一）招标人与中标人不按照招标文件和中标人的投标文件订立合同的，或者招标人、中标人订立背离合同实质性内容的 协议的；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（十二）中标人不按照与招标人订立的合同履行义务，情节严重的；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（十三）采购人、采购代理机构存在应当采用公开招标方式而擅自采用其他方式采购，擅自提高采购标准，以不合理的条件 对供应商实行差别待遇或者歧视待遇，在招标采购过程中与投标 人进行协商谈判，中标、成交通知书发出后不与中标、成交供应商签订采购合同，或者拒绝有关部门依法实施监督检查等情形的；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 （十四）采购人、采购代理机构及其工作人员存在与供应商 或者采购代理机构恶意串通，在采购过程中接受贿赂或者获取其 他不正当利益，在有关部门依法实施的监督检查中提供虚假情况， 或者开标前泄露标底等情形的；</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 （十五）采购人对应当实行集中采购的政府采购项目，不委托集中采购机构实行集中采购的；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（十六）采购人、采购代理机构违反法律规定隐匿、销毁应当保存的采购文件或者伪造、变造采购文件的； </w:t>
      </w:r>
    </w:p>
    <w:p>
      <w:pPr>
        <w:adjustRightInd w:val="0"/>
        <w:snapToGrid w:val="0"/>
        <w:spacing w:line="360" w:lineRule="auto"/>
        <w:ind w:firstLine="645"/>
        <w:jc w:val="left"/>
        <w:rPr>
          <w:rFonts w:hint="eastAsia" w:ascii="宋体" w:hAnsi="宋体" w:cs="宋体"/>
          <w:color w:val="000000"/>
          <w:szCs w:val="21"/>
        </w:rPr>
      </w:pPr>
      <w:r>
        <w:rPr>
          <w:rFonts w:hint="eastAsia" w:ascii="宋体" w:hAnsi="宋体" w:cs="宋体"/>
          <w:color w:val="000000"/>
          <w:szCs w:val="21"/>
        </w:rPr>
        <w:t xml:space="preserve">（十七）供应商存在提供虚假材料谋取中标、成交，采取不 正当手段诋毁、排挤其他供应商，与采购人、其他供应商或者采 购代理机构恶意串通，向采购人、采购代理机构行贿或者提供其 他不正当利益，在招标采购过程中与采购人进行协商谈判，或拒 绝有关部门监督检查或者提供虚假情况等情形的；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（十八）疫苗生产企业向县级疾病预防控制机构以外的单位或者个人销售第二类疫苗的；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（十九）存在其他违反公共资源交易法律法规行为的。</w:t>
      </w:r>
    </w:p>
    <w:p>
      <w:pPr>
        <w:adjustRightInd w:val="0"/>
        <w:snapToGrid w:val="0"/>
        <w:spacing w:line="360" w:lineRule="auto"/>
        <w:ind w:firstLine="670" w:firstLineChars="318"/>
        <w:jc w:val="left"/>
        <w:rPr>
          <w:rFonts w:hint="eastAsia" w:ascii="宋体" w:hAnsi="宋体" w:cs="宋体"/>
          <w:b/>
          <w:color w:val="000000"/>
          <w:szCs w:val="21"/>
        </w:rPr>
      </w:pPr>
      <w:r>
        <w:rPr>
          <w:rFonts w:hint="eastAsia" w:ascii="宋体" w:hAnsi="宋体" w:cs="宋体"/>
          <w:b/>
          <w:color w:val="000000"/>
          <w:szCs w:val="21"/>
        </w:rPr>
        <w:t>依据：《关于对公共资源交易领域严重失信主体开展联合惩戒的备忘录》</w:t>
      </w:r>
    </w:p>
    <w:p>
      <w:pPr>
        <w:adjustRightInd w:val="0"/>
        <w:snapToGrid w:val="0"/>
        <w:spacing w:line="360" w:lineRule="auto"/>
        <w:ind w:firstLine="645"/>
        <w:jc w:val="left"/>
        <w:rPr>
          <w:rFonts w:hint="eastAsia" w:ascii="宋体" w:hAnsi="宋体" w:cs="宋体"/>
          <w:color w:val="000000"/>
          <w:szCs w:val="21"/>
        </w:rPr>
      </w:pPr>
    </w:p>
    <w:p>
      <w:pPr>
        <w:adjustRightInd w:val="0"/>
        <w:snapToGrid w:val="0"/>
        <w:spacing w:line="360" w:lineRule="auto"/>
        <w:ind w:firstLine="645"/>
        <w:jc w:val="left"/>
        <w:rPr>
          <w:rFonts w:hint="eastAsia" w:ascii="宋体" w:hAnsi="宋体" w:cs="宋体"/>
          <w:b/>
          <w:bCs/>
          <w:color w:val="000000"/>
          <w:szCs w:val="21"/>
        </w:rPr>
      </w:pPr>
      <w:r>
        <w:rPr>
          <w:rFonts w:hint="eastAsia" w:ascii="宋体" w:hAnsi="宋体" w:cs="宋体"/>
          <w:b/>
          <w:color w:val="000000"/>
          <w:szCs w:val="21"/>
        </w:rPr>
        <w:t>四、</w:t>
      </w:r>
      <w:r>
        <w:rPr>
          <w:rFonts w:hint="eastAsia" w:ascii="宋体" w:hAnsi="宋体" w:cs="宋体"/>
          <w:b/>
          <w:bCs/>
          <w:color w:val="000000"/>
          <w:szCs w:val="21"/>
        </w:rPr>
        <w:t>社会保险领域严重失信行为</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（一）用人单位未按相关规定参加社会保险且拒不整改的；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（二）用人单位未如实申报社会保险缴费基数且拒不整改的；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（三）应缴纳社会保险费却拒不缴纳的；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（四）隐匿、转移、侵占、挪用社会保险费款、基金或者违规 投资运营的；</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（五）以欺诈、伪造证明材料或者其他手段参加、申报社会保 险和骗取社会保险基金支出或社会保险待遇的；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（六）非法获取、出售或变相交易社会保险个人权益数据的；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（七）社会保险服务机构违反服务协议或相关规定的；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 xml:space="preserve">（八）拒绝协助社会保险行政部门、经办机构对事故和问题进 行调查核实的；拒绝接受或协助税务部门对社会保险实施监督检查， 不如实提供与社会保险相关各项资料的； </w:t>
      </w:r>
    </w:p>
    <w:p>
      <w:pPr>
        <w:adjustRightInd w:val="0"/>
        <w:snapToGrid w:val="0"/>
        <w:spacing w:line="360" w:lineRule="auto"/>
        <w:ind w:left="105" w:hanging="105" w:hangingChars="50"/>
        <w:jc w:val="left"/>
        <w:rPr>
          <w:rFonts w:hint="eastAsia" w:ascii="宋体" w:hAnsi="宋体" w:cs="宋体"/>
          <w:color w:val="000000"/>
          <w:szCs w:val="21"/>
        </w:rPr>
      </w:pPr>
      <w:r>
        <w:rPr>
          <w:rFonts w:hint="eastAsia" w:ascii="宋体" w:hAnsi="宋体" w:cs="宋体"/>
          <w:color w:val="000000"/>
          <w:szCs w:val="21"/>
        </w:rPr>
        <w:t>（九）其他违反法律法规规定的。</w:t>
      </w:r>
    </w:p>
    <w:p>
      <w:pPr>
        <w:adjustRightInd w:val="0"/>
        <w:snapToGrid w:val="0"/>
        <w:spacing w:line="360" w:lineRule="auto"/>
        <w:ind w:left="422" w:hanging="422" w:hangingChars="200"/>
        <w:jc w:val="left"/>
        <w:rPr>
          <w:rFonts w:hint="eastAsia" w:ascii="宋体" w:hAnsi="宋体" w:cs="宋体"/>
          <w:b/>
          <w:color w:val="000000"/>
          <w:szCs w:val="21"/>
        </w:rPr>
      </w:pPr>
      <w:r>
        <w:rPr>
          <w:rFonts w:hint="eastAsia" w:ascii="宋体" w:hAnsi="宋体" w:cs="宋体"/>
          <w:b/>
          <w:color w:val="000000"/>
          <w:szCs w:val="21"/>
        </w:rPr>
        <w:t>依据：《关于对社会保险领域严重失信企业及其有关人员实施联合惩戒的合作备忘录》</w:t>
      </w:r>
    </w:p>
    <w:p>
      <w:pPr>
        <w:adjustRightInd w:val="0"/>
        <w:snapToGrid w:val="0"/>
        <w:spacing w:line="360" w:lineRule="auto"/>
        <w:ind w:left="105" w:hanging="105" w:hangingChars="50"/>
        <w:jc w:val="left"/>
        <w:rPr>
          <w:rFonts w:hint="eastAsia" w:ascii="宋体" w:hAnsi="宋体" w:cs="宋体"/>
          <w:color w:val="000000"/>
          <w:szCs w:val="21"/>
        </w:rPr>
      </w:pPr>
    </w:p>
    <w:p>
      <w:pPr>
        <w:adjustRightInd w:val="0"/>
        <w:snapToGrid w:val="0"/>
        <w:spacing w:line="360" w:lineRule="auto"/>
        <w:jc w:val="left"/>
        <w:rPr>
          <w:rFonts w:hint="eastAsia" w:ascii="宋体" w:hAnsi="宋体" w:cs="宋体"/>
          <w:b/>
          <w:bCs/>
          <w:color w:val="000000"/>
          <w:szCs w:val="21"/>
        </w:rPr>
      </w:pPr>
      <w:r>
        <w:rPr>
          <w:rFonts w:hint="eastAsia" w:ascii="宋体" w:hAnsi="宋体" w:cs="宋体"/>
          <w:color w:val="000000"/>
          <w:szCs w:val="21"/>
        </w:rPr>
        <w:t xml:space="preserve">     </w:t>
      </w:r>
      <w:r>
        <w:rPr>
          <w:rFonts w:hint="eastAsia" w:ascii="宋体" w:hAnsi="宋体" w:cs="宋体"/>
          <w:b/>
          <w:color w:val="000000"/>
          <w:szCs w:val="21"/>
        </w:rPr>
        <w:t>五、建筑市场领域</w:t>
      </w:r>
      <w:r>
        <w:rPr>
          <w:rFonts w:hint="eastAsia" w:ascii="宋体" w:hAnsi="宋体" w:cs="宋体"/>
          <w:b/>
          <w:bCs/>
          <w:color w:val="000000"/>
          <w:szCs w:val="21"/>
        </w:rPr>
        <w:t>严重失信行为</w:t>
      </w:r>
    </w:p>
    <w:p>
      <w:pPr>
        <w:adjustRightInd w:val="0"/>
        <w:snapToGrid w:val="0"/>
        <w:spacing w:line="360" w:lineRule="auto"/>
        <w:ind w:firstLine="420" w:firstLineChars="200"/>
        <w:jc w:val="left"/>
        <w:rPr>
          <w:rFonts w:hint="eastAsia" w:ascii="宋体" w:hAnsi="宋体" w:cs="宋体"/>
          <w:color w:val="000000"/>
          <w:szCs w:val="21"/>
        </w:rPr>
      </w:pPr>
      <w:r>
        <w:rPr>
          <w:rFonts w:hint="eastAsia" w:ascii="宋体" w:hAnsi="宋体" w:cs="宋体"/>
          <w:color w:val="000000"/>
          <w:szCs w:val="21"/>
        </w:rPr>
        <w:t>（一）利用虚假材料、以欺骗手段取得企业资质的；</w:t>
      </w:r>
    </w:p>
    <w:p>
      <w:pPr>
        <w:adjustRightInd w:val="0"/>
        <w:snapToGrid w:val="0"/>
        <w:spacing w:line="360" w:lineRule="auto"/>
        <w:ind w:firstLine="420" w:firstLineChars="200"/>
        <w:jc w:val="left"/>
        <w:rPr>
          <w:rFonts w:hint="eastAsia" w:ascii="宋体" w:hAnsi="宋体" w:cs="宋体"/>
          <w:color w:val="000000"/>
          <w:szCs w:val="21"/>
        </w:rPr>
      </w:pPr>
      <w:r>
        <w:rPr>
          <w:rFonts w:hint="eastAsia" w:ascii="宋体" w:hAnsi="宋体" w:cs="宋体"/>
          <w:color w:val="000000"/>
          <w:szCs w:val="21"/>
        </w:rPr>
        <w:t>（二）发生转包、出借资质，受到行政处罚的；</w:t>
      </w:r>
    </w:p>
    <w:p>
      <w:pPr>
        <w:adjustRightInd w:val="0"/>
        <w:snapToGrid w:val="0"/>
        <w:spacing w:line="360" w:lineRule="auto"/>
        <w:ind w:firstLine="420" w:firstLineChars="200"/>
        <w:jc w:val="left"/>
        <w:rPr>
          <w:rFonts w:hint="eastAsia" w:ascii="宋体" w:hAnsi="宋体" w:cs="宋体"/>
          <w:color w:val="000000"/>
          <w:szCs w:val="21"/>
        </w:rPr>
      </w:pPr>
      <w:r>
        <w:rPr>
          <w:rFonts w:hint="eastAsia" w:ascii="宋体" w:hAnsi="宋体" w:cs="宋体"/>
          <w:color w:val="000000"/>
          <w:szCs w:val="21"/>
        </w:rPr>
        <w:t>（三）发生重大及以上工程质量安全事故，或1年内累计发生2次及以上较大工程质量安全事故，或发生性质恶劣、危害性严重、社会影响大的较大工程质量安全事故，受到行政处罚的；</w:t>
      </w:r>
    </w:p>
    <w:p>
      <w:pPr>
        <w:adjustRightInd w:val="0"/>
        <w:snapToGrid w:val="0"/>
        <w:spacing w:line="360" w:lineRule="auto"/>
        <w:ind w:firstLine="420" w:firstLineChars="200"/>
        <w:jc w:val="left"/>
        <w:rPr>
          <w:rFonts w:hint="eastAsia" w:ascii="宋体" w:hAnsi="宋体" w:cs="宋体"/>
          <w:color w:val="000000"/>
          <w:szCs w:val="21"/>
        </w:rPr>
      </w:pPr>
      <w:r>
        <w:rPr>
          <w:rFonts w:hint="eastAsia" w:ascii="宋体" w:hAnsi="宋体" w:cs="宋体"/>
          <w:color w:val="000000"/>
          <w:szCs w:val="21"/>
        </w:rPr>
        <w:t>（四）经法院判决或仲裁机构裁决，认定为拖欠工程款</w:t>
      </w:r>
      <w:r>
        <w:rPr>
          <w:rFonts w:hint="eastAsia" w:ascii="宋体" w:hAnsi="宋体" w:cs="宋体"/>
          <w:color w:val="000000"/>
          <w:szCs w:val="21"/>
          <w:lang w:eastAsia="zh-CN"/>
        </w:rPr>
        <w:t>，</w:t>
      </w:r>
      <w:r>
        <w:rPr>
          <w:rFonts w:hint="eastAsia" w:ascii="宋体" w:hAnsi="宋体" w:cs="宋体"/>
          <w:color w:val="000000"/>
          <w:szCs w:val="21"/>
        </w:rPr>
        <w:t>且拒不履行生效法律文书确定的义务的。</w:t>
      </w:r>
    </w:p>
    <w:p>
      <w:pPr>
        <w:adjustRightInd w:val="0"/>
        <w:snapToGrid w:val="0"/>
        <w:spacing w:line="360" w:lineRule="auto"/>
        <w:ind w:firstLine="420" w:firstLineChars="200"/>
        <w:jc w:val="left"/>
        <w:rPr>
          <w:rFonts w:hint="eastAsia" w:ascii="宋体" w:hAnsi="宋体" w:cs="宋体"/>
          <w:color w:val="000000"/>
          <w:szCs w:val="21"/>
        </w:rPr>
      </w:pPr>
      <w:r>
        <w:rPr>
          <w:rFonts w:hint="eastAsia" w:ascii="宋体" w:hAnsi="宋体" w:cs="宋体"/>
          <w:color w:val="000000"/>
          <w:szCs w:val="21"/>
        </w:rPr>
        <w:t>各级住房城乡建设主管部门应当参照建筑市场主体“黑名单”，对被人力资源社会保障行政部门列入拖欠农民工工资“黑名单”的建筑市场各方主体加强监管。</w:t>
      </w:r>
    </w:p>
    <w:p>
      <w:pPr>
        <w:adjustRightInd w:val="0"/>
        <w:snapToGrid w:val="0"/>
        <w:spacing w:line="360" w:lineRule="auto"/>
        <w:ind w:firstLine="422" w:firstLineChars="200"/>
        <w:jc w:val="left"/>
        <w:rPr>
          <w:rFonts w:hint="eastAsia" w:ascii="宋体" w:hAnsi="宋体" w:cs="宋体"/>
          <w:color w:val="000000"/>
          <w:szCs w:val="21"/>
        </w:rPr>
      </w:pPr>
      <w:r>
        <w:rPr>
          <w:rFonts w:hint="eastAsia" w:ascii="宋体" w:hAnsi="宋体" w:cs="宋体"/>
          <w:b/>
          <w:color w:val="000000"/>
          <w:szCs w:val="21"/>
        </w:rPr>
        <w:t>依据：《建筑市场信用管理暂行办法》</w:t>
      </w:r>
    </w:p>
    <w:p>
      <w:pPr>
        <w:adjustRightInd w:val="0"/>
        <w:snapToGrid w:val="0"/>
        <w:spacing w:line="360" w:lineRule="auto"/>
        <w:ind w:firstLine="422" w:firstLineChars="200"/>
        <w:rPr>
          <w:rFonts w:hint="eastAsia" w:ascii="宋体" w:hAnsi="宋体" w:cs="宋体"/>
          <w:b/>
          <w:color w:val="000000"/>
          <w:szCs w:val="21"/>
        </w:rPr>
      </w:pPr>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六、政府采购严重失信行为</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供应商、采购代理机构在三年内受到财政部门作出下列情形之一的行政处罚，列入政府采购严重违法失信行为记录名单。</w:t>
      </w:r>
      <w:r>
        <w:rPr>
          <w:rFonts w:hint="eastAsia" w:ascii="宋体" w:hAnsi="宋体" w:cs="宋体"/>
          <w:color w:val="000000"/>
          <w:szCs w:val="21"/>
        </w:rPr>
        <w:br w:type="textWrapping"/>
      </w:r>
      <w:r>
        <w:rPr>
          <w:rFonts w:hint="eastAsia" w:ascii="宋体" w:hAnsi="宋体" w:cs="宋体"/>
          <w:color w:val="000000"/>
          <w:szCs w:val="21"/>
        </w:rPr>
        <w:t>　　（一）三万元以上罚款；</w:t>
      </w:r>
      <w:r>
        <w:rPr>
          <w:rFonts w:hint="eastAsia" w:ascii="宋体" w:hAnsi="宋体" w:cs="宋体"/>
          <w:color w:val="000000"/>
          <w:szCs w:val="21"/>
        </w:rPr>
        <w:br w:type="textWrapping"/>
      </w:r>
      <w:r>
        <w:rPr>
          <w:rFonts w:hint="eastAsia" w:ascii="宋体" w:hAnsi="宋体" w:cs="宋体"/>
          <w:color w:val="000000"/>
          <w:szCs w:val="21"/>
        </w:rPr>
        <w:t>　　（二）在一至三年内禁止参加政府采购活动（处罚期限届满的除外）；</w:t>
      </w:r>
      <w:r>
        <w:rPr>
          <w:rFonts w:hint="eastAsia" w:ascii="宋体" w:hAnsi="宋体" w:cs="宋体"/>
          <w:color w:val="000000"/>
          <w:szCs w:val="21"/>
        </w:rPr>
        <w:br w:type="textWrapping"/>
      </w:r>
      <w:r>
        <w:rPr>
          <w:rFonts w:hint="eastAsia" w:ascii="宋体" w:hAnsi="宋体" w:cs="宋体"/>
          <w:color w:val="000000"/>
          <w:szCs w:val="21"/>
        </w:rPr>
        <w:t>　　（三）在一至三年内禁止代理政府采购业务（处罚期限届满的除外）；</w:t>
      </w:r>
      <w:r>
        <w:rPr>
          <w:rFonts w:hint="eastAsia" w:ascii="宋体" w:hAnsi="宋体" w:cs="宋体"/>
          <w:color w:val="000000"/>
          <w:szCs w:val="21"/>
        </w:rPr>
        <w:br w:type="textWrapping"/>
      </w:r>
      <w:r>
        <w:rPr>
          <w:rFonts w:hint="eastAsia" w:ascii="宋体" w:hAnsi="宋体" w:cs="宋体"/>
          <w:color w:val="000000"/>
          <w:szCs w:val="21"/>
        </w:rPr>
        <w:t>　 （四）撤销政府采购代理机构资格（仅针对《政府采购法》第78条修改前作出的处罚决定）。</w:t>
      </w:r>
    </w:p>
    <w:p>
      <w:pPr>
        <w:adjustRightInd w:val="0"/>
        <w:snapToGrid w:val="0"/>
        <w:spacing w:line="360" w:lineRule="auto"/>
        <w:ind w:firstLine="422" w:firstLineChars="200"/>
        <w:jc w:val="left"/>
        <w:rPr>
          <w:rFonts w:hint="eastAsia" w:ascii="宋体" w:hAnsi="宋体" w:cs="宋体"/>
          <w:b/>
          <w:color w:val="000000"/>
          <w:szCs w:val="21"/>
        </w:rPr>
      </w:pPr>
      <w:r>
        <w:rPr>
          <w:rFonts w:hint="eastAsia" w:ascii="宋体" w:hAnsi="宋体" w:cs="宋体"/>
          <w:b/>
          <w:color w:val="000000"/>
          <w:szCs w:val="21"/>
        </w:rPr>
        <w:t>依据：《关于报送政府采购严重违法失信行为信息记录的通知》</w:t>
      </w:r>
    </w:p>
    <w:p>
      <w:pPr>
        <w:adjustRightInd w:val="0"/>
        <w:snapToGrid w:val="0"/>
        <w:spacing w:line="360" w:lineRule="auto"/>
        <w:ind w:firstLine="422" w:firstLineChars="200"/>
        <w:rPr>
          <w:rFonts w:hint="eastAsia" w:ascii="宋体" w:hAnsi="宋体" w:cs="宋体"/>
          <w:b/>
          <w:color w:val="000000"/>
          <w:szCs w:val="21"/>
        </w:rPr>
      </w:pPr>
      <w:r>
        <w:rPr>
          <w:rFonts w:hint="eastAsia" w:ascii="宋体" w:hAnsi="宋体" w:cs="宋体"/>
          <w:b/>
          <w:color w:val="000000"/>
          <w:szCs w:val="21"/>
        </w:rPr>
        <w:t>七、水利建设领域严重失信行为</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（一）出借、借用资质证书进行投标或承接工程的；</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（二）围标、串标的；</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（三）转包或违法分包所承揽工程的；</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（四）有行贿、受贿违法记录的；</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（五）对重（特）大质量事故、生产安全事故负有直接责任的；</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（六）公开信息隐瞒真实情况、弄虚作假的。</w:t>
      </w:r>
    </w:p>
    <w:p>
      <w:pPr>
        <w:adjustRightInd w:val="0"/>
        <w:snapToGrid w:val="0"/>
        <w:spacing w:line="360" w:lineRule="auto"/>
        <w:ind w:firstLine="615"/>
        <w:rPr>
          <w:rFonts w:hint="eastAsia" w:ascii="宋体" w:hAnsi="宋体" w:cs="宋体"/>
          <w:color w:val="000000"/>
          <w:szCs w:val="21"/>
        </w:rPr>
      </w:pPr>
      <w:r>
        <w:rPr>
          <w:rFonts w:hint="eastAsia" w:ascii="宋体" w:hAnsi="宋体" w:cs="宋体"/>
          <w:color w:val="000000"/>
          <w:szCs w:val="21"/>
        </w:rPr>
        <w:t>依据：《水利建设市场主体信用评价管理暂行办法》</w:t>
      </w:r>
    </w:p>
    <w:p>
      <w:pPr>
        <w:adjustRightInd w:val="0"/>
        <w:snapToGrid w:val="0"/>
        <w:spacing w:line="360" w:lineRule="auto"/>
        <w:ind w:firstLine="615"/>
        <w:rPr>
          <w:rFonts w:hint="eastAsia" w:ascii="宋体" w:hAnsi="宋体" w:cs="宋体"/>
          <w:color w:val="000000"/>
          <w:szCs w:val="21"/>
        </w:rPr>
      </w:pPr>
    </w:p>
    <w:p>
      <w:pPr>
        <w:adjustRightInd w:val="0"/>
        <w:snapToGrid w:val="0"/>
        <w:spacing w:line="360" w:lineRule="auto"/>
        <w:ind w:firstLine="615"/>
        <w:rPr>
          <w:rFonts w:hint="eastAsia" w:ascii="仿宋_GB2312" w:eastAsia="仿宋_GB2312"/>
          <w:b/>
          <w:color w:val="000000"/>
          <w:sz w:val="32"/>
          <w:szCs w:val="32"/>
        </w:rPr>
      </w:pPr>
      <w:r>
        <w:rPr>
          <w:rFonts w:hint="eastAsia" w:ascii="宋体" w:hAnsi="宋体" w:cs="宋体"/>
          <w:b/>
          <w:color w:val="000000"/>
          <w:szCs w:val="21"/>
        </w:rPr>
        <w:t>未列出的其他类别严重失信行为，由招标人（代理机构）根据各类别行业主管部门下发的联合惩戒文件进行判断。</w:t>
      </w:r>
    </w:p>
    <w:bookmarkEnd w:id="201"/>
    <w:bookmarkEnd w:id="202"/>
    <w:p>
      <w:pPr>
        <w:rPr>
          <w:rFonts w:hint="eastAsia" w:ascii="宋体" w:hAnsi="宋体" w:cs="宋体"/>
          <w:color w:val="auto"/>
          <w:highlight w:val="none"/>
        </w:rPr>
      </w:pPr>
    </w:p>
    <w:sectPr>
      <w:headerReference r:id="rId7" w:type="default"/>
      <w:footerReference r:id="rId8" w:type="default"/>
      <w:pgSz w:w="11906" w:h="16838"/>
      <w:pgMar w:top="1134" w:right="1417" w:bottom="1134" w:left="1417" w:header="850"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宋体 ! important">
    <w:altName w:val="宋体"/>
    <w:panose1 w:val="00000000000000000000"/>
    <w:charset w:val="00"/>
    <w:family w:val="auto"/>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长城仿宋">
    <w:altName w:val="黑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left" w:pos="3780"/>
      </w:tabs>
      <w:jc w:val="center"/>
      <w:rPr>
        <w:rFonts w:hint="default"/>
        <w:b/>
        <w:bCs/>
        <w:sz w:val="21"/>
        <w:szCs w:val="21"/>
        <w:lang w:val="en-US"/>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20</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posOffset>5699760</wp:posOffset>
              </wp:positionH>
              <wp:positionV relativeFrom="paragraph">
                <wp:posOffset>38100</wp:posOffset>
              </wp:positionV>
              <wp:extent cx="1828800" cy="1828800"/>
              <wp:effectExtent l="0" t="0" r="0" b="0"/>
              <wp:wrapNone/>
              <wp:docPr id="1"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9"/>
                            <w:rPr>
                              <w:rFonts w:hint="eastAsia"/>
                              <w:b/>
                              <w:bCs/>
                              <w:sz w:val="21"/>
                              <w:szCs w:val="21"/>
                            </w:rPr>
                          </w:pPr>
                        </w:p>
                      </w:txbxContent>
                    </wps:txbx>
                    <wps:bodyPr wrap="none" lIns="0" tIns="0" rIns="0" bIns="0" upright="0">
                      <a:spAutoFit/>
                    </wps:bodyPr>
                  </wps:wsp>
                </a:graphicData>
              </a:graphic>
            </wp:anchor>
          </w:drawing>
        </mc:Choice>
        <mc:Fallback>
          <w:pict>
            <v:shape id="文本框 9" o:spid="_x0000_s1026" o:spt="202" type="#_x0000_t202" style="position:absolute;left:0pt;margin-left:448.8pt;margin-top:3pt;height:144pt;width:144pt;mso-position-horizontal-relative:margin;mso-wrap-style:none;z-index:251659264;mso-width-relative:page;mso-height-relative:page;" filled="f" stroked="f" coordsize="21600,21600" o:gfxdata="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FkFgXTZAAAACgEAAA8AAAAAAAAAAQAgAAAA&#10;IgAAAGRycy9kb3ducmV2LnhtbFBLAQIUABQAAAAIAIdO4kAd5nyn0QEAAKMDAAAOAAAAAAAAAAEA&#10;IAAAACgBAABkcnMvZTJvRG9jLnhtbFBLBQYAAAAABgAGAFkBAABrBQAAAAA=&#10;">
              <v:fill on="f" focussize="0,0"/>
              <v:stroke on="f" weight="1.25pt"/>
              <v:imagedata o:title=""/>
              <o:lock v:ext="edit" aspectratio="f"/>
              <v:textbox inset="0mm,0mm,0mm,0mm" style="mso-fit-shape-to-text:t;">
                <w:txbxContent>
                  <w:p>
                    <w:pPr>
                      <w:pStyle w:val="29"/>
                      <w:rPr>
                        <w:rFonts w:hint="eastAsia"/>
                        <w:b/>
                        <w:bCs/>
                        <w:sz w:val="21"/>
                        <w:szCs w:val="21"/>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chineseCountingThousand"/>
      <w:pStyle w:val="311"/>
      <w:suff w:val="space"/>
      <w:lvlText w:val="%1、"/>
      <w:lvlJc w:val="left"/>
      <w:pPr>
        <w:ind w:left="425" w:hanging="425"/>
      </w:pPr>
      <w:rPr>
        <w:rFonts w:hint="eastAsia" w:cs="Times New Roman"/>
      </w:rPr>
    </w:lvl>
    <w:lvl w:ilvl="1" w:tentative="0">
      <w:start w:val="1"/>
      <w:numFmt w:val="decimal"/>
      <w:lvlRestart w:val="0"/>
      <w:suff w:val="space"/>
      <w:lvlText w:val="%2、"/>
      <w:lvlJc w:val="left"/>
      <w:pPr>
        <w:ind w:left="454" w:hanging="454"/>
      </w:pPr>
      <w:rPr>
        <w:rFonts w:hint="eastAsia" w:cs="Times New Roman"/>
      </w:rPr>
    </w:lvl>
    <w:lvl w:ilvl="2" w:tentative="0">
      <w:start w:val="1"/>
      <w:numFmt w:val="decimal"/>
      <w:lvlRestart w:val="0"/>
      <w:suff w:val="space"/>
      <w:lvlText w:val="%2.%3"/>
      <w:lvlJc w:val="left"/>
      <w:pPr>
        <w:ind w:left="454" w:hanging="454"/>
      </w:pPr>
      <w:rPr>
        <w:rFonts w:hint="default" w:ascii="Cambria" w:hAnsi="Cambria" w:cs="Times New Roman"/>
      </w:rPr>
    </w:lvl>
    <w:lvl w:ilvl="3" w:tentative="0">
      <w:start w:val="1"/>
      <w:numFmt w:val="decimal"/>
      <w:lvlText w:val="%2.%3.%4"/>
      <w:lvlJc w:val="left"/>
      <w:pPr>
        <w:ind w:left="454" w:hanging="454"/>
      </w:pPr>
      <w:rPr>
        <w:rFonts w:hint="eastAsia" w:cs="Times New Roman"/>
      </w:rPr>
    </w:lvl>
    <w:lvl w:ilvl="4" w:tentative="0">
      <w:start w:val="1"/>
      <w:numFmt w:val="decimal"/>
      <w:lvlText w:val="%2.%3.%4.%5"/>
      <w:lvlJc w:val="left"/>
      <w:pPr>
        <w:ind w:left="454" w:hanging="454"/>
      </w:pPr>
      <w:rPr>
        <w:rFonts w:hint="eastAsia" w:cs="Times New Roman"/>
      </w:rPr>
    </w:lvl>
    <w:lvl w:ilvl="5" w:tentative="0">
      <w:start w:val="1"/>
      <w:numFmt w:val="decimal"/>
      <w:lvlText w:val="%1.%2.%3.%4.%5.%6"/>
      <w:lvlJc w:val="left"/>
      <w:pPr>
        <w:ind w:left="2550" w:hanging="425"/>
      </w:pPr>
      <w:rPr>
        <w:rFonts w:hint="eastAsia" w:cs="Times New Roman"/>
      </w:rPr>
    </w:lvl>
    <w:lvl w:ilvl="6" w:tentative="0">
      <w:start w:val="1"/>
      <w:numFmt w:val="decimal"/>
      <w:lvlText w:val="%1.%2.%3.%4.%5.%6.%7"/>
      <w:lvlJc w:val="left"/>
      <w:pPr>
        <w:ind w:left="2975" w:hanging="425"/>
      </w:pPr>
      <w:rPr>
        <w:rFonts w:hint="eastAsia" w:cs="Times New Roman"/>
      </w:rPr>
    </w:lvl>
    <w:lvl w:ilvl="7" w:tentative="0">
      <w:start w:val="1"/>
      <w:numFmt w:val="decimal"/>
      <w:lvlText w:val="%1.%2.%3.%4.%5.%6.%7.%8"/>
      <w:lvlJc w:val="left"/>
      <w:pPr>
        <w:ind w:left="3400" w:hanging="425"/>
      </w:pPr>
      <w:rPr>
        <w:rFonts w:hint="eastAsia" w:cs="Times New Roman"/>
      </w:rPr>
    </w:lvl>
    <w:lvl w:ilvl="8" w:tentative="0">
      <w:start w:val="1"/>
      <w:numFmt w:val="decimal"/>
      <w:lvlText w:val="%1.%2.%3.%4.%5.%6.%7.%8.%9"/>
      <w:lvlJc w:val="left"/>
      <w:pPr>
        <w:ind w:left="3825" w:hanging="425"/>
      </w:pPr>
      <w:rPr>
        <w:rFonts w:hint="eastAsia" w:cs="Times New Roman"/>
      </w:rPr>
    </w:lvl>
  </w:abstractNum>
  <w:abstractNum w:abstractNumId="1">
    <w:nsid w:val="0C2634FA"/>
    <w:multiLevelType w:val="multilevel"/>
    <w:tmpl w:val="0C2634FA"/>
    <w:lvl w:ilvl="0" w:tentative="0">
      <w:start w:val="6"/>
      <w:numFmt w:val="decimal"/>
      <w:lvlText w:val="（%1）"/>
      <w:lvlJc w:val="left"/>
      <w:pPr>
        <w:tabs>
          <w:tab w:val="left" w:pos="1500"/>
        </w:tabs>
        <w:ind w:left="1500" w:hanging="1080"/>
      </w:pPr>
      <w:rPr>
        <w:rFonts w:hint="eastAsia"/>
      </w:rPr>
    </w:lvl>
    <w:lvl w:ilvl="1" w:tentative="0">
      <w:start w:val="1"/>
      <w:numFmt w:val="decimal"/>
      <w:pStyle w:val="27"/>
      <w:lvlText w:val="（%2）"/>
      <w:lvlJc w:val="left"/>
      <w:pPr>
        <w:tabs>
          <w:tab w:val="left" w:pos="1920"/>
        </w:tabs>
        <w:ind w:left="1920" w:hanging="1080"/>
      </w:pPr>
      <w:rPr>
        <w:rFonts w:hint="eastAsia"/>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18995355"/>
    <w:multiLevelType w:val="multilevel"/>
    <w:tmpl w:val="18995355"/>
    <w:lvl w:ilvl="0" w:tentative="0">
      <w:start w:val="1"/>
      <w:numFmt w:val="decimal"/>
      <w:pStyle w:val="340"/>
      <w:lvlText w:val="（%1）"/>
      <w:lvlJc w:val="left"/>
      <w:pPr>
        <w:ind w:left="840" w:hanging="420"/>
      </w:pPr>
      <w:rPr>
        <w:rFonts w:hint="eastAsia" w:cs="Times New Roman"/>
      </w:rPr>
    </w:lvl>
    <w:lvl w:ilvl="1" w:tentative="0">
      <w:start w:val="1"/>
      <w:numFmt w:val="lowerLetter"/>
      <w:lvlText w:val="%2)"/>
      <w:lvlJc w:val="left"/>
      <w:pPr>
        <w:ind w:left="1260" w:hanging="420"/>
      </w:pPr>
      <w:rPr>
        <w:rFonts w:cs="Times New Roman"/>
      </w:rPr>
    </w:lvl>
    <w:lvl w:ilvl="2" w:tentative="0">
      <w:start w:val="1"/>
      <w:numFmt w:val="lowerRoman"/>
      <w:lvlText w:val="%3."/>
      <w:lvlJc w:val="right"/>
      <w:pPr>
        <w:ind w:left="1680" w:hanging="420"/>
      </w:pPr>
      <w:rPr>
        <w:rFonts w:cs="Times New Roman"/>
      </w:rPr>
    </w:lvl>
    <w:lvl w:ilvl="3" w:tentative="0">
      <w:start w:val="1"/>
      <w:numFmt w:val="decimal"/>
      <w:lvlText w:val="%4."/>
      <w:lvlJc w:val="left"/>
      <w:pPr>
        <w:ind w:left="2100" w:hanging="420"/>
      </w:pPr>
      <w:rPr>
        <w:rFonts w:cs="Times New Roman"/>
      </w:rPr>
    </w:lvl>
    <w:lvl w:ilvl="4" w:tentative="0">
      <w:start w:val="1"/>
      <w:numFmt w:val="lowerLetter"/>
      <w:lvlText w:val="%5)"/>
      <w:lvlJc w:val="left"/>
      <w:pPr>
        <w:ind w:left="2520" w:hanging="420"/>
      </w:pPr>
      <w:rPr>
        <w:rFonts w:cs="Times New Roman"/>
      </w:rPr>
    </w:lvl>
    <w:lvl w:ilvl="5" w:tentative="0">
      <w:start w:val="1"/>
      <w:numFmt w:val="lowerRoman"/>
      <w:lvlText w:val="%6."/>
      <w:lvlJc w:val="right"/>
      <w:pPr>
        <w:ind w:left="2940" w:hanging="420"/>
      </w:pPr>
      <w:rPr>
        <w:rFonts w:cs="Times New Roman"/>
      </w:rPr>
    </w:lvl>
    <w:lvl w:ilvl="6" w:tentative="0">
      <w:start w:val="1"/>
      <w:numFmt w:val="decimal"/>
      <w:lvlText w:val="%7."/>
      <w:lvlJc w:val="left"/>
      <w:pPr>
        <w:ind w:left="3360" w:hanging="420"/>
      </w:pPr>
      <w:rPr>
        <w:rFonts w:cs="Times New Roman"/>
      </w:rPr>
    </w:lvl>
    <w:lvl w:ilvl="7" w:tentative="0">
      <w:start w:val="1"/>
      <w:numFmt w:val="lowerLetter"/>
      <w:lvlText w:val="%8)"/>
      <w:lvlJc w:val="left"/>
      <w:pPr>
        <w:ind w:left="3780" w:hanging="420"/>
      </w:pPr>
      <w:rPr>
        <w:rFonts w:cs="Times New Roman"/>
      </w:rPr>
    </w:lvl>
    <w:lvl w:ilvl="8" w:tentative="0">
      <w:start w:val="1"/>
      <w:numFmt w:val="lowerRoman"/>
      <w:lvlText w:val="%9."/>
      <w:lvlJc w:val="right"/>
      <w:pPr>
        <w:ind w:left="4200" w:hanging="420"/>
      </w:pPr>
      <w:rPr>
        <w:rFonts w:cs="Times New Roman"/>
      </w:rPr>
    </w:lvl>
  </w:abstractNum>
  <w:abstractNum w:abstractNumId="3">
    <w:nsid w:val="26857717"/>
    <w:multiLevelType w:val="multilevel"/>
    <w:tmpl w:val="26857717"/>
    <w:lvl w:ilvl="0" w:tentative="0">
      <w:start w:val="1"/>
      <w:numFmt w:val="chineseCountingThousand"/>
      <w:pStyle w:val="316"/>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4">
    <w:nsid w:val="61D85D54"/>
    <w:multiLevelType w:val="multilevel"/>
    <w:tmpl w:val="61D85D54"/>
    <w:lvl w:ilvl="0" w:tentative="0">
      <w:start w:val="2"/>
      <w:numFmt w:val="japaneseCounting"/>
      <w:lvlText w:val="第%1章"/>
      <w:lvlJc w:val="left"/>
      <w:pPr>
        <w:tabs>
          <w:tab w:val="left" w:pos="1770"/>
        </w:tabs>
        <w:ind w:left="1770" w:hanging="1770"/>
      </w:pPr>
      <w:rPr>
        <w:rFonts w:hint="eastAsia"/>
      </w:rPr>
    </w:lvl>
    <w:lvl w:ilvl="1" w:tentative="0">
      <w:start w:val="1"/>
      <w:numFmt w:val="decimal"/>
      <w:pStyle w:val="7"/>
      <w:lvlText w:val="%2、"/>
      <w:lvlJc w:val="left"/>
      <w:pPr>
        <w:tabs>
          <w:tab w:val="left" w:pos="2847"/>
        </w:tabs>
        <w:ind w:left="2847" w:hanging="720"/>
      </w:pPr>
      <w:rPr>
        <w:rFonts w:ascii="Times New Roman" w:hAnsi="Times New Roman" w:eastAsia="Times New Roman" w:cs="Times New Roman"/>
      </w:rPr>
    </w:lvl>
    <w:lvl w:ilvl="2" w:tentative="0">
      <w:start w:val="1"/>
      <w:numFmt w:val="upperLetter"/>
      <w:lvlText w:val="%3."/>
      <w:lvlJc w:val="left"/>
      <w:pPr>
        <w:tabs>
          <w:tab w:val="left" w:pos="1200"/>
        </w:tabs>
        <w:ind w:left="1200" w:hanging="360"/>
      </w:pPr>
      <w:rPr>
        <w:rFonts w:hint="eastAsia" w:ascii="Arial" w:hAnsi="Arial" w:cs="Arial"/>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CB11212"/>
    <w:multiLevelType w:val="multilevel"/>
    <w:tmpl w:val="6CB11212"/>
    <w:lvl w:ilvl="0" w:tentative="0">
      <w:start w:val="1"/>
      <w:numFmt w:val="decimal"/>
      <w:pStyle w:val="15"/>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6">
    <w:nsid w:val="6F1D7D26"/>
    <w:multiLevelType w:val="multilevel"/>
    <w:tmpl w:val="6F1D7D26"/>
    <w:lvl w:ilvl="0" w:tentative="0">
      <w:start w:val="1"/>
      <w:numFmt w:val="decimal"/>
      <w:pStyle w:val="32"/>
      <w:lvlText w:val="%1."/>
      <w:lvlJc w:val="left"/>
      <w:pPr>
        <w:ind w:left="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22"/>
        <w:szCs w:val="22"/>
        <w:u w:val="none" w:color="000000"/>
        <w:vertAlign w:val="baseline"/>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4"/>
  </w:num>
  <w:num w:numId="2">
    <w:abstractNumId w:val="5"/>
  </w:num>
  <w:num w:numId="3">
    <w:abstractNumId w:val="1"/>
  </w:num>
  <w:num w:numId="4">
    <w:abstractNumId w:val="6"/>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1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E91A81"/>
    <w:rsid w:val="000119BB"/>
    <w:rsid w:val="00020EA7"/>
    <w:rsid w:val="00030B2F"/>
    <w:rsid w:val="00030E49"/>
    <w:rsid w:val="000316BA"/>
    <w:rsid w:val="00031A52"/>
    <w:rsid w:val="00032E36"/>
    <w:rsid w:val="00033DBD"/>
    <w:rsid w:val="00036BDD"/>
    <w:rsid w:val="00044FC2"/>
    <w:rsid w:val="00045B5C"/>
    <w:rsid w:val="00045E43"/>
    <w:rsid w:val="00053A55"/>
    <w:rsid w:val="00054442"/>
    <w:rsid w:val="00055743"/>
    <w:rsid w:val="000557BE"/>
    <w:rsid w:val="00055FC8"/>
    <w:rsid w:val="000574F9"/>
    <w:rsid w:val="000576B0"/>
    <w:rsid w:val="000579C2"/>
    <w:rsid w:val="00061274"/>
    <w:rsid w:val="00064556"/>
    <w:rsid w:val="00064822"/>
    <w:rsid w:val="000652C0"/>
    <w:rsid w:val="00065902"/>
    <w:rsid w:val="00066CDF"/>
    <w:rsid w:val="00071459"/>
    <w:rsid w:val="00072C0B"/>
    <w:rsid w:val="000732DE"/>
    <w:rsid w:val="00073D7A"/>
    <w:rsid w:val="00083BE2"/>
    <w:rsid w:val="000845F9"/>
    <w:rsid w:val="00084F8C"/>
    <w:rsid w:val="000860B8"/>
    <w:rsid w:val="00090FF0"/>
    <w:rsid w:val="00091824"/>
    <w:rsid w:val="00091BD9"/>
    <w:rsid w:val="0009420A"/>
    <w:rsid w:val="00095A35"/>
    <w:rsid w:val="000A0000"/>
    <w:rsid w:val="000A3663"/>
    <w:rsid w:val="000B0C38"/>
    <w:rsid w:val="000B0CDC"/>
    <w:rsid w:val="000B12D1"/>
    <w:rsid w:val="000B276F"/>
    <w:rsid w:val="000B3951"/>
    <w:rsid w:val="000B4439"/>
    <w:rsid w:val="000C012E"/>
    <w:rsid w:val="000C113E"/>
    <w:rsid w:val="000C1236"/>
    <w:rsid w:val="000C5016"/>
    <w:rsid w:val="000C5ACB"/>
    <w:rsid w:val="000D08DA"/>
    <w:rsid w:val="000D0EBA"/>
    <w:rsid w:val="000D1374"/>
    <w:rsid w:val="000D2426"/>
    <w:rsid w:val="000D4705"/>
    <w:rsid w:val="000D49F6"/>
    <w:rsid w:val="000D4A7F"/>
    <w:rsid w:val="000D6A12"/>
    <w:rsid w:val="000D7527"/>
    <w:rsid w:val="000E06DC"/>
    <w:rsid w:val="000E34B1"/>
    <w:rsid w:val="000E5DFA"/>
    <w:rsid w:val="000E643B"/>
    <w:rsid w:val="000E79F7"/>
    <w:rsid w:val="000F0E31"/>
    <w:rsid w:val="000F39CF"/>
    <w:rsid w:val="000F4890"/>
    <w:rsid w:val="000F4D6F"/>
    <w:rsid w:val="000F68F5"/>
    <w:rsid w:val="00101DBB"/>
    <w:rsid w:val="00103F0E"/>
    <w:rsid w:val="00104EA4"/>
    <w:rsid w:val="001069A1"/>
    <w:rsid w:val="00106FAA"/>
    <w:rsid w:val="00112A0A"/>
    <w:rsid w:val="00112B55"/>
    <w:rsid w:val="00113D6F"/>
    <w:rsid w:val="0011598A"/>
    <w:rsid w:val="0011699C"/>
    <w:rsid w:val="0012159D"/>
    <w:rsid w:val="00124C0C"/>
    <w:rsid w:val="00130C63"/>
    <w:rsid w:val="0013114E"/>
    <w:rsid w:val="00132490"/>
    <w:rsid w:val="001336D1"/>
    <w:rsid w:val="00137FD9"/>
    <w:rsid w:val="001411AA"/>
    <w:rsid w:val="00143AEA"/>
    <w:rsid w:val="00143C8B"/>
    <w:rsid w:val="001471D5"/>
    <w:rsid w:val="0015236A"/>
    <w:rsid w:val="00152625"/>
    <w:rsid w:val="001527B5"/>
    <w:rsid w:val="00155918"/>
    <w:rsid w:val="00157455"/>
    <w:rsid w:val="00160AAE"/>
    <w:rsid w:val="00160FAB"/>
    <w:rsid w:val="001619D8"/>
    <w:rsid w:val="001658E5"/>
    <w:rsid w:val="001725E2"/>
    <w:rsid w:val="00172DB4"/>
    <w:rsid w:val="0017301B"/>
    <w:rsid w:val="00173EF4"/>
    <w:rsid w:val="00174746"/>
    <w:rsid w:val="00175BBB"/>
    <w:rsid w:val="00177AC2"/>
    <w:rsid w:val="00182CF7"/>
    <w:rsid w:val="00182D2D"/>
    <w:rsid w:val="001856BD"/>
    <w:rsid w:val="00192163"/>
    <w:rsid w:val="00196A50"/>
    <w:rsid w:val="00197B8E"/>
    <w:rsid w:val="00197D74"/>
    <w:rsid w:val="001A35A4"/>
    <w:rsid w:val="001B27F1"/>
    <w:rsid w:val="001B3396"/>
    <w:rsid w:val="001B3425"/>
    <w:rsid w:val="001B7DEA"/>
    <w:rsid w:val="001C0E48"/>
    <w:rsid w:val="001C17B0"/>
    <w:rsid w:val="001C19D5"/>
    <w:rsid w:val="001C2D74"/>
    <w:rsid w:val="001E11A2"/>
    <w:rsid w:val="001E2909"/>
    <w:rsid w:val="001F5DFA"/>
    <w:rsid w:val="001F724A"/>
    <w:rsid w:val="001F7F93"/>
    <w:rsid w:val="00200B75"/>
    <w:rsid w:val="002049CB"/>
    <w:rsid w:val="002064A5"/>
    <w:rsid w:val="002066F6"/>
    <w:rsid w:val="00211092"/>
    <w:rsid w:val="0021135B"/>
    <w:rsid w:val="00211761"/>
    <w:rsid w:val="0021209C"/>
    <w:rsid w:val="00212841"/>
    <w:rsid w:val="00212B51"/>
    <w:rsid w:val="00216A7A"/>
    <w:rsid w:val="00216D6E"/>
    <w:rsid w:val="002174DD"/>
    <w:rsid w:val="00221D7F"/>
    <w:rsid w:val="002263CF"/>
    <w:rsid w:val="00230883"/>
    <w:rsid w:val="0023344B"/>
    <w:rsid w:val="0023631F"/>
    <w:rsid w:val="00237369"/>
    <w:rsid w:val="002405E4"/>
    <w:rsid w:val="00242094"/>
    <w:rsid w:val="00242385"/>
    <w:rsid w:val="00242451"/>
    <w:rsid w:val="00243994"/>
    <w:rsid w:val="002459EC"/>
    <w:rsid w:val="0024620B"/>
    <w:rsid w:val="002462D5"/>
    <w:rsid w:val="00246A98"/>
    <w:rsid w:val="00253760"/>
    <w:rsid w:val="002541D6"/>
    <w:rsid w:val="002577E9"/>
    <w:rsid w:val="002615F6"/>
    <w:rsid w:val="002654E6"/>
    <w:rsid w:val="002707A3"/>
    <w:rsid w:val="00271754"/>
    <w:rsid w:val="00275177"/>
    <w:rsid w:val="0028052A"/>
    <w:rsid w:val="00280E07"/>
    <w:rsid w:val="00282648"/>
    <w:rsid w:val="002846D9"/>
    <w:rsid w:val="00285A9B"/>
    <w:rsid w:val="002906A7"/>
    <w:rsid w:val="0029144F"/>
    <w:rsid w:val="00291A2C"/>
    <w:rsid w:val="00292A5C"/>
    <w:rsid w:val="00292F69"/>
    <w:rsid w:val="00293584"/>
    <w:rsid w:val="00293915"/>
    <w:rsid w:val="002A00DB"/>
    <w:rsid w:val="002A01DE"/>
    <w:rsid w:val="002A2FBD"/>
    <w:rsid w:val="002A3367"/>
    <w:rsid w:val="002A547A"/>
    <w:rsid w:val="002A7887"/>
    <w:rsid w:val="002B0434"/>
    <w:rsid w:val="002B3A6D"/>
    <w:rsid w:val="002B5562"/>
    <w:rsid w:val="002B5A6B"/>
    <w:rsid w:val="002B5B3A"/>
    <w:rsid w:val="002B7332"/>
    <w:rsid w:val="002C0767"/>
    <w:rsid w:val="002C6528"/>
    <w:rsid w:val="002D1026"/>
    <w:rsid w:val="002E14F9"/>
    <w:rsid w:val="002E1619"/>
    <w:rsid w:val="002E41F2"/>
    <w:rsid w:val="002F4CD2"/>
    <w:rsid w:val="002F708A"/>
    <w:rsid w:val="0030275E"/>
    <w:rsid w:val="0030344E"/>
    <w:rsid w:val="00304EFC"/>
    <w:rsid w:val="003065C9"/>
    <w:rsid w:val="0030760E"/>
    <w:rsid w:val="00310134"/>
    <w:rsid w:val="00312019"/>
    <w:rsid w:val="003157E6"/>
    <w:rsid w:val="0031641F"/>
    <w:rsid w:val="0031660D"/>
    <w:rsid w:val="00316657"/>
    <w:rsid w:val="0032085D"/>
    <w:rsid w:val="00327751"/>
    <w:rsid w:val="00330F2C"/>
    <w:rsid w:val="0033162D"/>
    <w:rsid w:val="003423DB"/>
    <w:rsid w:val="003423FA"/>
    <w:rsid w:val="003462BD"/>
    <w:rsid w:val="00352627"/>
    <w:rsid w:val="00352C45"/>
    <w:rsid w:val="003647B1"/>
    <w:rsid w:val="00364AB4"/>
    <w:rsid w:val="00364D78"/>
    <w:rsid w:val="00372F2D"/>
    <w:rsid w:val="00373801"/>
    <w:rsid w:val="003767CB"/>
    <w:rsid w:val="00380354"/>
    <w:rsid w:val="0038338E"/>
    <w:rsid w:val="00384583"/>
    <w:rsid w:val="00384A89"/>
    <w:rsid w:val="00386E7F"/>
    <w:rsid w:val="00387B2A"/>
    <w:rsid w:val="00387B7A"/>
    <w:rsid w:val="00391408"/>
    <w:rsid w:val="00392901"/>
    <w:rsid w:val="003942B9"/>
    <w:rsid w:val="003A0E7D"/>
    <w:rsid w:val="003A36CC"/>
    <w:rsid w:val="003A55BF"/>
    <w:rsid w:val="003A6026"/>
    <w:rsid w:val="003A658B"/>
    <w:rsid w:val="003B0654"/>
    <w:rsid w:val="003B2CD4"/>
    <w:rsid w:val="003C0CA5"/>
    <w:rsid w:val="003D1A94"/>
    <w:rsid w:val="003D7276"/>
    <w:rsid w:val="003E2301"/>
    <w:rsid w:val="003E32C1"/>
    <w:rsid w:val="003E6572"/>
    <w:rsid w:val="003E6B43"/>
    <w:rsid w:val="003E7291"/>
    <w:rsid w:val="003F67EF"/>
    <w:rsid w:val="0040040E"/>
    <w:rsid w:val="00414D1A"/>
    <w:rsid w:val="00415D31"/>
    <w:rsid w:val="00416BA2"/>
    <w:rsid w:val="00420956"/>
    <w:rsid w:val="00422ACE"/>
    <w:rsid w:val="004237FF"/>
    <w:rsid w:val="0042429D"/>
    <w:rsid w:val="004257AF"/>
    <w:rsid w:val="004268DD"/>
    <w:rsid w:val="0043020F"/>
    <w:rsid w:val="00434CEB"/>
    <w:rsid w:val="0043638C"/>
    <w:rsid w:val="00441330"/>
    <w:rsid w:val="00445D78"/>
    <w:rsid w:val="004473C9"/>
    <w:rsid w:val="00451E22"/>
    <w:rsid w:val="004545A6"/>
    <w:rsid w:val="004565A5"/>
    <w:rsid w:val="00456BAB"/>
    <w:rsid w:val="00456FD9"/>
    <w:rsid w:val="0045799D"/>
    <w:rsid w:val="00457B07"/>
    <w:rsid w:val="0046304D"/>
    <w:rsid w:val="00463A66"/>
    <w:rsid w:val="00471D89"/>
    <w:rsid w:val="00473934"/>
    <w:rsid w:val="00473F53"/>
    <w:rsid w:val="004757AB"/>
    <w:rsid w:val="00476C09"/>
    <w:rsid w:val="00483482"/>
    <w:rsid w:val="00483F07"/>
    <w:rsid w:val="004920F9"/>
    <w:rsid w:val="004922B2"/>
    <w:rsid w:val="00494785"/>
    <w:rsid w:val="00494C7F"/>
    <w:rsid w:val="004963EA"/>
    <w:rsid w:val="00496A5F"/>
    <w:rsid w:val="004A4D3B"/>
    <w:rsid w:val="004B052A"/>
    <w:rsid w:val="004B1557"/>
    <w:rsid w:val="004B1E56"/>
    <w:rsid w:val="004B4E68"/>
    <w:rsid w:val="004C071F"/>
    <w:rsid w:val="004C59F2"/>
    <w:rsid w:val="004C5CA5"/>
    <w:rsid w:val="004C5E4F"/>
    <w:rsid w:val="004C7A8B"/>
    <w:rsid w:val="004D6431"/>
    <w:rsid w:val="004E574A"/>
    <w:rsid w:val="004E7C34"/>
    <w:rsid w:val="005007EA"/>
    <w:rsid w:val="0050686F"/>
    <w:rsid w:val="00507928"/>
    <w:rsid w:val="005101E8"/>
    <w:rsid w:val="00510570"/>
    <w:rsid w:val="00513514"/>
    <w:rsid w:val="005163CF"/>
    <w:rsid w:val="00530FC0"/>
    <w:rsid w:val="00532FED"/>
    <w:rsid w:val="00533BDA"/>
    <w:rsid w:val="005344D7"/>
    <w:rsid w:val="00536298"/>
    <w:rsid w:val="005373C1"/>
    <w:rsid w:val="00541C46"/>
    <w:rsid w:val="00542259"/>
    <w:rsid w:val="0054340A"/>
    <w:rsid w:val="00544EBB"/>
    <w:rsid w:val="005474CE"/>
    <w:rsid w:val="00547A05"/>
    <w:rsid w:val="0055236A"/>
    <w:rsid w:val="00553374"/>
    <w:rsid w:val="00553FAF"/>
    <w:rsid w:val="005564C5"/>
    <w:rsid w:val="0055746D"/>
    <w:rsid w:val="005623DA"/>
    <w:rsid w:val="00563043"/>
    <w:rsid w:val="005640C5"/>
    <w:rsid w:val="00566EF6"/>
    <w:rsid w:val="00570CC4"/>
    <w:rsid w:val="00573D01"/>
    <w:rsid w:val="00575EC4"/>
    <w:rsid w:val="00576DA9"/>
    <w:rsid w:val="005823A7"/>
    <w:rsid w:val="005866A1"/>
    <w:rsid w:val="005866A3"/>
    <w:rsid w:val="00586893"/>
    <w:rsid w:val="005874CA"/>
    <w:rsid w:val="00587508"/>
    <w:rsid w:val="0059284D"/>
    <w:rsid w:val="00595B9B"/>
    <w:rsid w:val="00596190"/>
    <w:rsid w:val="0059702A"/>
    <w:rsid w:val="005B1B80"/>
    <w:rsid w:val="005B39D5"/>
    <w:rsid w:val="005B67DE"/>
    <w:rsid w:val="005B75E9"/>
    <w:rsid w:val="005C55D0"/>
    <w:rsid w:val="005C6AD1"/>
    <w:rsid w:val="005D00F4"/>
    <w:rsid w:val="005D2F56"/>
    <w:rsid w:val="005D67C0"/>
    <w:rsid w:val="005E0957"/>
    <w:rsid w:val="005E0A7D"/>
    <w:rsid w:val="005E6225"/>
    <w:rsid w:val="005E7E83"/>
    <w:rsid w:val="005F07F4"/>
    <w:rsid w:val="005F48D1"/>
    <w:rsid w:val="005F5326"/>
    <w:rsid w:val="005F568C"/>
    <w:rsid w:val="005F7991"/>
    <w:rsid w:val="00601B54"/>
    <w:rsid w:val="006030BC"/>
    <w:rsid w:val="00603161"/>
    <w:rsid w:val="00603D76"/>
    <w:rsid w:val="00614EB9"/>
    <w:rsid w:val="00617F6C"/>
    <w:rsid w:val="00622B9A"/>
    <w:rsid w:val="00625FC6"/>
    <w:rsid w:val="006261B1"/>
    <w:rsid w:val="006273E9"/>
    <w:rsid w:val="00631835"/>
    <w:rsid w:val="006373CA"/>
    <w:rsid w:val="00640E46"/>
    <w:rsid w:val="0064513C"/>
    <w:rsid w:val="00645875"/>
    <w:rsid w:val="006476B8"/>
    <w:rsid w:val="006478A2"/>
    <w:rsid w:val="00651EBA"/>
    <w:rsid w:val="0065350C"/>
    <w:rsid w:val="00655875"/>
    <w:rsid w:val="00656209"/>
    <w:rsid w:val="006570A6"/>
    <w:rsid w:val="00665E70"/>
    <w:rsid w:val="00671AEF"/>
    <w:rsid w:val="0067322D"/>
    <w:rsid w:val="0067475C"/>
    <w:rsid w:val="00680A43"/>
    <w:rsid w:val="0068382D"/>
    <w:rsid w:val="006844B5"/>
    <w:rsid w:val="006858D5"/>
    <w:rsid w:val="006879DF"/>
    <w:rsid w:val="00691B00"/>
    <w:rsid w:val="0069559D"/>
    <w:rsid w:val="00696AC9"/>
    <w:rsid w:val="00696E7D"/>
    <w:rsid w:val="0069741A"/>
    <w:rsid w:val="006A1AF7"/>
    <w:rsid w:val="006A28C4"/>
    <w:rsid w:val="006A30E1"/>
    <w:rsid w:val="006A3AB4"/>
    <w:rsid w:val="006A5DE6"/>
    <w:rsid w:val="006A63FF"/>
    <w:rsid w:val="006A6A7F"/>
    <w:rsid w:val="006A79F8"/>
    <w:rsid w:val="006B3365"/>
    <w:rsid w:val="006B3413"/>
    <w:rsid w:val="006B3AA5"/>
    <w:rsid w:val="006B4890"/>
    <w:rsid w:val="006C35C8"/>
    <w:rsid w:val="006C3E55"/>
    <w:rsid w:val="006C483A"/>
    <w:rsid w:val="006C56DB"/>
    <w:rsid w:val="006C65C6"/>
    <w:rsid w:val="006C767B"/>
    <w:rsid w:val="006D23C3"/>
    <w:rsid w:val="006D2612"/>
    <w:rsid w:val="006D49F2"/>
    <w:rsid w:val="006D7D30"/>
    <w:rsid w:val="006E40EA"/>
    <w:rsid w:val="006E74A3"/>
    <w:rsid w:val="006E75E4"/>
    <w:rsid w:val="006F3291"/>
    <w:rsid w:val="00700B08"/>
    <w:rsid w:val="00704547"/>
    <w:rsid w:val="0070770D"/>
    <w:rsid w:val="00712DAF"/>
    <w:rsid w:val="00717567"/>
    <w:rsid w:val="0072011F"/>
    <w:rsid w:val="0072459F"/>
    <w:rsid w:val="00730594"/>
    <w:rsid w:val="00731299"/>
    <w:rsid w:val="0073778D"/>
    <w:rsid w:val="00741A55"/>
    <w:rsid w:val="007420C5"/>
    <w:rsid w:val="0075371C"/>
    <w:rsid w:val="007549C7"/>
    <w:rsid w:val="00757BBC"/>
    <w:rsid w:val="00760A00"/>
    <w:rsid w:val="007627C2"/>
    <w:rsid w:val="00763F7E"/>
    <w:rsid w:val="00766CDB"/>
    <w:rsid w:val="00770D72"/>
    <w:rsid w:val="00771D33"/>
    <w:rsid w:val="00772E23"/>
    <w:rsid w:val="00780666"/>
    <w:rsid w:val="007821C6"/>
    <w:rsid w:val="007857AB"/>
    <w:rsid w:val="007907D7"/>
    <w:rsid w:val="007918A8"/>
    <w:rsid w:val="00792D98"/>
    <w:rsid w:val="007946C3"/>
    <w:rsid w:val="007975B9"/>
    <w:rsid w:val="007A223A"/>
    <w:rsid w:val="007A3009"/>
    <w:rsid w:val="007A318D"/>
    <w:rsid w:val="007B2AE2"/>
    <w:rsid w:val="007B34B8"/>
    <w:rsid w:val="007B5D77"/>
    <w:rsid w:val="007B606A"/>
    <w:rsid w:val="007C0CCE"/>
    <w:rsid w:val="007C1533"/>
    <w:rsid w:val="007C2ADC"/>
    <w:rsid w:val="007C3F73"/>
    <w:rsid w:val="007C69CC"/>
    <w:rsid w:val="007C6A5D"/>
    <w:rsid w:val="007D0BBE"/>
    <w:rsid w:val="007D25D8"/>
    <w:rsid w:val="007D3C43"/>
    <w:rsid w:val="007D455B"/>
    <w:rsid w:val="007D6D20"/>
    <w:rsid w:val="007D716D"/>
    <w:rsid w:val="007D7E88"/>
    <w:rsid w:val="007E3303"/>
    <w:rsid w:val="007E7326"/>
    <w:rsid w:val="007E7757"/>
    <w:rsid w:val="007F1E66"/>
    <w:rsid w:val="007F4095"/>
    <w:rsid w:val="007F5733"/>
    <w:rsid w:val="00800382"/>
    <w:rsid w:val="00805065"/>
    <w:rsid w:val="00807CF7"/>
    <w:rsid w:val="0081008F"/>
    <w:rsid w:val="00811F58"/>
    <w:rsid w:val="008138DB"/>
    <w:rsid w:val="008218D9"/>
    <w:rsid w:val="00823EF9"/>
    <w:rsid w:val="008250E0"/>
    <w:rsid w:val="0082589C"/>
    <w:rsid w:val="00826853"/>
    <w:rsid w:val="00827669"/>
    <w:rsid w:val="00830413"/>
    <w:rsid w:val="0083222A"/>
    <w:rsid w:val="00841B94"/>
    <w:rsid w:val="00846962"/>
    <w:rsid w:val="00852305"/>
    <w:rsid w:val="00855618"/>
    <w:rsid w:val="00855894"/>
    <w:rsid w:val="0086097B"/>
    <w:rsid w:val="00860F11"/>
    <w:rsid w:val="00864862"/>
    <w:rsid w:val="00865973"/>
    <w:rsid w:val="0086790F"/>
    <w:rsid w:val="008729B3"/>
    <w:rsid w:val="008738EE"/>
    <w:rsid w:val="00874043"/>
    <w:rsid w:val="0087581A"/>
    <w:rsid w:val="0088327C"/>
    <w:rsid w:val="00886781"/>
    <w:rsid w:val="00897714"/>
    <w:rsid w:val="008A15AE"/>
    <w:rsid w:val="008A16E0"/>
    <w:rsid w:val="008A42DD"/>
    <w:rsid w:val="008A5C52"/>
    <w:rsid w:val="008B6A8A"/>
    <w:rsid w:val="008C0EF7"/>
    <w:rsid w:val="008C4C41"/>
    <w:rsid w:val="008C6A02"/>
    <w:rsid w:val="008C700F"/>
    <w:rsid w:val="008D0BD4"/>
    <w:rsid w:val="008D273A"/>
    <w:rsid w:val="008D7BA7"/>
    <w:rsid w:val="008E09C4"/>
    <w:rsid w:val="008E24C2"/>
    <w:rsid w:val="008E6840"/>
    <w:rsid w:val="008F17EE"/>
    <w:rsid w:val="008F30A7"/>
    <w:rsid w:val="008F4D06"/>
    <w:rsid w:val="008F5AB0"/>
    <w:rsid w:val="008F7701"/>
    <w:rsid w:val="008F784B"/>
    <w:rsid w:val="00900170"/>
    <w:rsid w:val="0090070A"/>
    <w:rsid w:val="00900CCE"/>
    <w:rsid w:val="009043F4"/>
    <w:rsid w:val="00904AE0"/>
    <w:rsid w:val="00906B62"/>
    <w:rsid w:val="00910809"/>
    <w:rsid w:val="009122A9"/>
    <w:rsid w:val="0091305F"/>
    <w:rsid w:val="00914E78"/>
    <w:rsid w:val="00921D47"/>
    <w:rsid w:val="009242D9"/>
    <w:rsid w:val="00931306"/>
    <w:rsid w:val="00933375"/>
    <w:rsid w:val="00940E81"/>
    <w:rsid w:val="00942C86"/>
    <w:rsid w:val="009432E9"/>
    <w:rsid w:val="00951637"/>
    <w:rsid w:val="00953F75"/>
    <w:rsid w:val="00955ABD"/>
    <w:rsid w:val="00956B1B"/>
    <w:rsid w:val="0096208B"/>
    <w:rsid w:val="00962746"/>
    <w:rsid w:val="009627B3"/>
    <w:rsid w:val="00965957"/>
    <w:rsid w:val="009663C6"/>
    <w:rsid w:val="00973E2E"/>
    <w:rsid w:val="00980251"/>
    <w:rsid w:val="00981855"/>
    <w:rsid w:val="00982CF9"/>
    <w:rsid w:val="00987F12"/>
    <w:rsid w:val="00992254"/>
    <w:rsid w:val="009937E8"/>
    <w:rsid w:val="00993CEB"/>
    <w:rsid w:val="0099516A"/>
    <w:rsid w:val="009A1E17"/>
    <w:rsid w:val="009A4416"/>
    <w:rsid w:val="009A4F64"/>
    <w:rsid w:val="009B181A"/>
    <w:rsid w:val="009C0752"/>
    <w:rsid w:val="009C0FA9"/>
    <w:rsid w:val="009C3FD1"/>
    <w:rsid w:val="009D53DB"/>
    <w:rsid w:val="009D62C3"/>
    <w:rsid w:val="009E02D3"/>
    <w:rsid w:val="009E04B5"/>
    <w:rsid w:val="009E2B45"/>
    <w:rsid w:val="009E34DB"/>
    <w:rsid w:val="009E5178"/>
    <w:rsid w:val="009E7661"/>
    <w:rsid w:val="009F00E2"/>
    <w:rsid w:val="009F299C"/>
    <w:rsid w:val="009F62A1"/>
    <w:rsid w:val="009F6BA4"/>
    <w:rsid w:val="009F6D52"/>
    <w:rsid w:val="00A04AD8"/>
    <w:rsid w:val="00A06F14"/>
    <w:rsid w:val="00A10589"/>
    <w:rsid w:val="00A13B6C"/>
    <w:rsid w:val="00A14186"/>
    <w:rsid w:val="00A2468C"/>
    <w:rsid w:val="00A24CF3"/>
    <w:rsid w:val="00A25097"/>
    <w:rsid w:val="00A2611F"/>
    <w:rsid w:val="00A33464"/>
    <w:rsid w:val="00A34C30"/>
    <w:rsid w:val="00A34FEB"/>
    <w:rsid w:val="00A360D3"/>
    <w:rsid w:val="00A36516"/>
    <w:rsid w:val="00A4170F"/>
    <w:rsid w:val="00A4333E"/>
    <w:rsid w:val="00A44B80"/>
    <w:rsid w:val="00A45F21"/>
    <w:rsid w:val="00A5296F"/>
    <w:rsid w:val="00A53B3E"/>
    <w:rsid w:val="00A560AF"/>
    <w:rsid w:val="00A57F2B"/>
    <w:rsid w:val="00A6299A"/>
    <w:rsid w:val="00A65E2E"/>
    <w:rsid w:val="00A711CF"/>
    <w:rsid w:val="00A71D57"/>
    <w:rsid w:val="00A72384"/>
    <w:rsid w:val="00A80835"/>
    <w:rsid w:val="00A84384"/>
    <w:rsid w:val="00A84D4F"/>
    <w:rsid w:val="00A860C2"/>
    <w:rsid w:val="00A8714B"/>
    <w:rsid w:val="00A91C00"/>
    <w:rsid w:val="00A93996"/>
    <w:rsid w:val="00A94354"/>
    <w:rsid w:val="00A95372"/>
    <w:rsid w:val="00A96C69"/>
    <w:rsid w:val="00AA542A"/>
    <w:rsid w:val="00AA6AC7"/>
    <w:rsid w:val="00AB08B0"/>
    <w:rsid w:val="00AB2B22"/>
    <w:rsid w:val="00AB5279"/>
    <w:rsid w:val="00AC00DF"/>
    <w:rsid w:val="00AC0BB2"/>
    <w:rsid w:val="00AC181E"/>
    <w:rsid w:val="00AC25CF"/>
    <w:rsid w:val="00AD14EB"/>
    <w:rsid w:val="00AD7677"/>
    <w:rsid w:val="00AE08CC"/>
    <w:rsid w:val="00AE5B3D"/>
    <w:rsid w:val="00AE6DBA"/>
    <w:rsid w:val="00AE7EB1"/>
    <w:rsid w:val="00AF10BA"/>
    <w:rsid w:val="00AF2D89"/>
    <w:rsid w:val="00AF3A1C"/>
    <w:rsid w:val="00AF6152"/>
    <w:rsid w:val="00B0476F"/>
    <w:rsid w:val="00B04C05"/>
    <w:rsid w:val="00B07A3C"/>
    <w:rsid w:val="00B07EF7"/>
    <w:rsid w:val="00B1262B"/>
    <w:rsid w:val="00B12D26"/>
    <w:rsid w:val="00B15628"/>
    <w:rsid w:val="00B162A6"/>
    <w:rsid w:val="00B22B7E"/>
    <w:rsid w:val="00B236A6"/>
    <w:rsid w:val="00B2395F"/>
    <w:rsid w:val="00B26D5A"/>
    <w:rsid w:val="00B34D63"/>
    <w:rsid w:val="00B3725C"/>
    <w:rsid w:val="00B4617E"/>
    <w:rsid w:val="00B521F5"/>
    <w:rsid w:val="00B562E6"/>
    <w:rsid w:val="00B56F1F"/>
    <w:rsid w:val="00B61CA3"/>
    <w:rsid w:val="00B61CF0"/>
    <w:rsid w:val="00B6360E"/>
    <w:rsid w:val="00B7045C"/>
    <w:rsid w:val="00B7276C"/>
    <w:rsid w:val="00B80044"/>
    <w:rsid w:val="00B81B03"/>
    <w:rsid w:val="00B81BDF"/>
    <w:rsid w:val="00B91E3A"/>
    <w:rsid w:val="00B925FD"/>
    <w:rsid w:val="00B94EF2"/>
    <w:rsid w:val="00B96BF6"/>
    <w:rsid w:val="00BA15AD"/>
    <w:rsid w:val="00BA2CB2"/>
    <w:rsid w:val="00BA42DA"/>
    <w:rsid w:val="00BA48BA"/>
    <w:rsid w:val="00BA7ED7"/>
    <w:rsid w:val="00BB2302"/>
    <w:rsid w:val="00BB359B"/>
    <w:rsid w:val="00BB4DFA"/>
    <w:rsid w:val="00BC2FFE"/>
    <w:rsid w:val="00BC704B"/>
    <w:rsid w:val="00BC74C8"/>
    <w:rsid w:val="00BD0C4E"/>
    <w:rsid w:val="00BD1270"/>
    <w:rsid w:val="00BD2BEE"/>
    <w:rsid w:val="00BD2E70"/>
    <w:rsid w:val="00BD690C"/>
    <w:rsid w:val="00BE06CB"/>
    <w:rsid w:val="00BF2694"/>
    <w:rsid w:val="00BF4B7F"/>
    <w:rsid w:val="00BF7D2C"/>
    <w:rsid w:val="00C02DFD"/>
    <w:rsid w:val="00C02F23"/>
    <w:rsid w:val="00C0469D"/>
    <w:rsid w:val="00C04949"/>
    <w:rsid w:val="00C05347"/>
    <w:rsid w:val="00C0694C"/>
    <w:rsid w:val="00C12CC0"/>
    <w:rsid w:val="00C15D8A"/>
    <w:rsid w:val="00C202BF"/>
    <w:rsid w:val="00C20709"/>
    <w:rsid w:val="00C21CBE"/>
    <w:rsid w:val="00C2454F"/>
    <w:rsid w:val="00C34D8B"/>
    <w:rsid w:val="00C34F20"/>
    <w:rsid w:val="00C41210"/>
    <w:rsid w:val="00C44C56"/>
    <w:rsid w:val="00C44D65"/>
    <w:rsid w:val="00C44DF4"/>
    <w:rsid w:val="00C46F1A"/>
    <w:rsid w:val="00C56266"/>
    <w:rsid w:val="00C610C4"/>
    <w:rsid w:val="00C63B49"/>
    <w:rsid w:val="00C7663D"/>
    <w:rsid w:val="00C77808"/>
    <w:rsid w:val="00C90231"/>
    <w:rsid w:val="00C9387D"/>
    <w:rsid w:val="00C9551C"/>
    <w:rsid w:val="00C967A9"/>
    <w:rsid w:val="00CA0FE7"/>
    <w:rsid w:val="00CA49E3"/>
    <w:rsid w:val="00CA54F0"/>
    <w:rsid w:val="00CB074E"/>
    <w:rsid w:val="00CB0B10"/>
    <w:rsid w:val="00CB0F8B"/>
    <w:rsid w:val="00CB1B15"/>
    <w:rsid w:val="00CB2FEC"/>
    <w:rsid w:val="00CB3760"/>
    <w:rsid w:val="00CC0389"/>
    <w:rsid w:val="00CC3B0D"/>
    <w:rsid w:val="00CC551F"/>
    <w:rsid w:val="00CC60EE"/>
    <w:rsid w:val="00CC6116"/>
    <w:rsid w:val="00CC64A1"/>
    <w:rsid w:val="00CC7615"/>
    <w:rsid w:val="00CD1960"/>
    <w:rsid w:val="00CD2494"/>
    <w:rsid w:val="00CD4B60"/>
    <w:rsid w:val="00CD71D2"/>
    <w:rsid w:val="00CD7CAA"/>
    <w:rsid w:val="00CE247D"/>
    <w:rsid w:val="00CE632B"/>
    <w:rsid w:val="00CF0A7C"/>
    <w:rsid w:val="00CF0B26"/>
    <w:rsid w:val="00CF0F8A"/>
    <w:rsid w:val="00CF1357"/>
    <w:rsid w:val="00CF4AAB"/>
    <w:rsid w:val="00CF74CC"/>
    <w:rsid w:val="00D0026A"/>
    <w:rsid w:val="00D0497C"/>
    <w:rsid w:val="00D04B71"/>
    <w:rsid w:val="00D062FF"/>
    <w:rsid w:val="00D073CF"/>
    <w:rsid w:val="00D120B3"/>
    <w:rsid w:val="00D1423B"/>
    <w:rsid w:val="00D154B4"/>
    <w:rsid w:val="00D1578E"/>
    <w:rsid w:val="00D175B8"/>
    <w:rsid w:val="00D201F6"/>
    <w:rsid w:val="00D21A10"/>
    <w:rsid w:val="00D228E0"/>
    <w:rsid w:val="00D22ED7"/>
    <w:rsid w:val="00D23249"/>
    <w:rsid w:val="00D264D8"/>
    <w:rsid w:val="00D27CDF"/>
    <w:rsid w:val="00D312A7"/>
    <w:rsid w:val="00D32657"/>
    <w:rsid w:val="00D3386F"/>
    <w:rsid w:val="00D340C8"/>
    <w:rsid w:val="00D35691"/>
    <w:rsid w:val="00D41B2A"/>
    <w:rsid w:val="00D50C08"/>
    <w:rsid w:val="00D52B77"/>
    <w:rsid w:val="00D545C3"/>
    <w:rsid w:val="00D54E25"/>
    <w:rsid w:val="00D62536"/>
    <w:rsid w:val="00D63D6E"/>
    <w:rsid w:val="00D72790"/>
    <w:rsid w:val="00D73A14"/>
    <w:rsid w:val="00D73CCC"/>
    <w:rsid w:val="00D769EF"/>
    <w:rsid w:val="00D76E60"/>
    <w:rsid w:val="00D77DCA"/>
    <w:rsid w:val="00D805A3"/>
    <w:rsid w:val="00D81A9C"/>
    <w:rsid w:val="00D855F8"/>
    <w:rsid w:val="00D90FCB"/>
    <w:rsid w:val="00D91177"/>
    <w:rsid w:val="00D91FBD"/>
    <w:rsid w:val="00D937F0"/>
    <w:rsid w:val="00D94609"/>
    <w:rsid w:val="00D9594A"/>
    <w:rsid w:val="00DA11C3"/>
    <w:rsid w:val="00DA309A"/>
    <w:rsid w:val="00DA33E3"/>
    <w:rsid w:val="00DA7D91"/>
    <w:rsid w:val="00DB141F"/>
    <w:rsid w:val="00DB1FFC"/>
    <w:rsid w:val="00DB2632"/>
    <w:rsid w:val="00DB29E9"/>
    <w:rsid w:val="00DB6CAE"/>
    <w:rsid w:val="00DB7B08"/>
    <w:rsid w:val="00DC15FC"/>
    <w:rsid w:val="00DC1BE2"/>
    <w:rsid w:val="00DC2443"/>
    <w:rsid w:val="00DC3CDA"/>
    <w:rsid w:val="00DC495F"/>
    <w:rsid w:val="00DD110B"/>
    <w:rsid w:val="00DD27FD"/>
    <w:rsid w:val="00DE10F8"/>
    <w:rsid w:val="00DE25DE"/>
    <w:rsid w:val="00DE3EC2"/>
    <w:rsid w:val="00DE7DDB"/>
    <w:rsid w:val="00DF0F98"/>
    <w:rsid w:val="00DF18D8"/>
    <w:rsid w:val="00DF2010"/>
    <w:rsid w:val="00E00A2D"/>
    <w:rsid w:val="00E01487"/>
    <w:rsid w:val="00E02E7F"/>
    <w:rsid w:val="00E06721"/>
    <w:rsid w:val="00E079BD"/>
    <w:rsid w:val="00E12924"/>
    <w:rsid w:val="00E14BB1"/>
    <w:rsid w:val="00E3209C"/>
    <w:rsid w:val="00E435B3"/>
    <w:rsid w:val="00E5447B"/>
    <w:rsid w:val="00E5480B"/>
    <w:rsid w:val="00E54B7F"/>
    <w:rsid w:val="00E56BB8"/>
    <w:rsid w:val="00E616BE"/>
    <w:rsid w:val="00E62A7D"/>
    <w:rsid w:val="00E67DFB"/>
    <w:rsid w:val="00E7034E"/>
    <w:rsid w:val="00E71B0A"/>
    <w:rsid w:val="00E72DFA"/>
    <w:rsid w:val="00E737F9"/>
    <w:rsid w:val="00E742F1"/>
    <w:rsid w:val="00E74923"/>
    <w:rsid w:val="00E76940"/>
    <w:rsid w:val="00E81C3D"/>
    <w:rsid w:val="00E857A0"/>
    <w:rsid w:val="00E869BD"/>
    <w:rsid w:val="00E86BC6"/>
    <w:rsid w:val="00E91A81"/>
    <w:rsid w:val="00E91F91"/>
    <w:rsid w:val="00E96BAC"/>
    <w:rsid w:val="00EA2609"/>
    <w:rsid w:val="00EA336A"/>
    <w:rsid w:val="00EA5D6B"/>
    <w:rsid w:val="00EA6A5A"/>
    <w:rsid w:val="00EA7184"/>
    <w:rsid w:val="00EB1CE1"/>
    <w:rsid w:val="00EB7B97"/>
    <w:rsid w:val="00EC0C29"/>
    <w:rsid w:val="00EC3422"/>
    <w:rsid w:val="00EC5F27"/>
    <w:rsid w:val="00ED2727"/>
    <w:rsid w:val="00ED44CC"/>
    <w:rsid w:val="00ED7A6D"/>
    <w:rsid w:val="00EE425E"/>
    <w:rsid w:val="00EE4E3B"/>
    <w:rsid w:val="00EE7040"/>
    <w:rsid w:val="00EF1332"/>
    <w:rsid w:val="00EF2E0C"/>
    <w:rsid w:val="00EF39D0"/>
    <w:rsid w:val="00F00E73"/>
    <w:rsid w:val="00F0131D"/>
    <w:rsid w:val="00F070C3"/>
    <w:rsid w:val="00F1008F"/>
    <w:rsid w:val="00F1458B"/>
    <w:rsid w:val="00F14E92"/>
    <w:rsid w:val="00F15C15"/>
    <w:rsid w:val="00F16F15"/>
    <w:rsid w:val="00F21C44"/>
    <w:rsid w:val="00F23619"/>
    <w:rsid w:val="00F25640"/>
    <w:rsid w:val="00F26F78"/>
    <w:rsid w:val="00F30D7A"/>
    <w:rsid w:val="00F34391"/>
    <w:rsid w:val="00F37969"/>
    <w:rsid w:val="00F51B5C"/>
    <w:rsid w:val="00F51C3B"/>
    <w:rsid w:val="00F54D0A"/>
    <w:rsid w:val="00F56209"/>
    <w:rsid w:val="00F566B3"/>
    <w:rsid w:val="00F61936"/>
    <w:rsid w:val="00F6348C"/>
    <w:rsid w:val="00F65279"/>
    <w:rsid w:val="00F71345"/>
    <w:rsid w:val="00F715FE"/>
    <w:rsid w:val="00F7197D"/>
    <w:rsid w:val="00F808FC"/>
    <w:rsid w:val="00F81F12"/>
    <w:rsid w:val="00F829CF"/>
    <w:rsid w:val="00F85541"/>
    <w:rsid w:val="00F8564E"/>
    <w:rsid w:val="00F856A2"/>
    <w:rsid w:val="00F941BA"/>
    <w:rsid w:val="00F946FA"/>
    <w:rsid w:val="00F95602"/>
    <w:rsid w:val="00F96254"/>
    <w:rsid w:val="00F96CB0"/>
    <w:rsid w:val="00FA3236"/>
    <w:rsid w:val="00FB65E9"/>
    <w:rsid w:val="00FC4101"/>
    <w:rsid w:val="00FC6A00"/>
    <w:rsid w:val="00FD1588"/>
    <w:rsid w:val="00FD564D"/>
    <w:rsid w:val="00FD5675"/>
    <w:rsid w:val="00FE1A02"/>
    <w:rsid w:val="00FE337B"/>
    <w:rsid w:val="00FE78F0"/>
    <w:rsid w:val="00FF37C5"/>
    <w:rsid w:val="00FF6359"/>
    <w:rsid w:val="01035406"/>
    <w:rsid w:val="010744DC"/>
    <w:rsid w:val="01090737"/>
    <w:rsid w:val="01097ED8"/>
    <w:rsid w:val="0116135E"/>
    <w:rsid w:val="011B5F86"/>
    <w:rsid w:val="011C1A87"/>
    <w:rsid w:val="01222AC3"/>
    <w:rsid w:val="012760CD"/>
    <w:rsid w:val="012C759A"/>
    <w:rsid w:val="01344FE7"/>
    <w:rsid w:val="01393CB9"/>
    <w:rsid w:val="013C4CA6"/>
    <w:rsid w:val="014462C3"/>
    <w:rsid w:val="01466EE0"/>
    <w:rsid w:val="014E596C"/>
    <w:rsid w:val="0158501E"/>
    <w:rsid w:val="015935BE"/>
    <w:rsid w:val="015E43DD"/>
    <w:rsid w:val="01600A98"/>
    <w:rsid w:val="01620811"/>
    <w:rsid w:val="016561C1"/>
    <w:rsid w:val="01673454"/>
    <w:rsid w:val="01673CB0"/>
    <w:rsid w:val="016F0745"/>
    <w:rsid w:val="017870B2"/>
    <w:rsid w:val="017A786F"/>
    <w:rsid w:val="017B710C"/>
    <w:rsid w:val="018032D3"/>
    <w:rsid w:val="01826A42"/>
    <w:rsid w:val="01836A0D"/>
    <w:rsid w:val="01846EC7"/>
    <w:rsid w:val="018555D2"/>
    <w:rsid w:val="01974DAA"/>
    <w:rsid w:val="019A740C"/>
    <w:rsid w:val="019F65D9"/>
    <w:rsid w:val="01A10E21"/>
    <w:rsid w:val="01A11514"/>
    <w:rsid w:val="01A852F6"/>
    <w:rsid w:val="01B31E95"/>
    <w:rsid w:val="01B71A78"/>
    <w:rsid w:val="01B80D5A"/>
    <w:rsid w:val="01BF5475"/>
    <w:rsid w:val="01CF776C"/>
    <w:rsid w:val="01D21734"/>
    <w:rsid w:val="01D3069B"/>
    <w:rsid w:val="01D440A6"/>
    <w:rsid w:val="01D57DD0"/>
    <w:rsid w:val="01E1037D"/>
    <w:rsid w:val="01E13A5C"/>
    <w:rsid w:val="01EF12BD"/>
    <w:rsid w:val="01F863B9"/>
    <w:rsid w:val="01F915D2"/>
    <w:rsid w:val="02007125"/>
    <w:rsid w:val="020666AD"/>
    <w:rsid w:val="02092A0F"/>
    <w:rsid w:val="020A60B7"/>
    <w:rsid w:val="0216066F"/>
    <w:rsid w:val="021903B8"/>
    <w:rsid w:val="021D45FF"/>
    <w:rsid w:val="02202F4D"/>
    <w:rsid w:val="022D4A3F"/>
    <w:rsid w:val="023142DB"/>
    <w:rsid w:val="023242CA"/>
    <w:rsid w:val="02327E9F"/>
    <w:rsid w:val="02333D66"/>
    <w:rsid w:val="02334BD1"/>
    <w:rsid w:val="023B1A4C"/>
    <w:rsid w:val="024413CD"/>
    <w:rsid w:val="02444B41"/>
    <w:rsid w:val="025320AB"/>
    <w:rsid w:val="025A2B34"/>
    <w:rsid w:val="025F1988"/>
    <w:rsid w:val="026B185F"/>
    <w:rsid w:val="026E3F7D"/>
    <w:rsid w:val="02746562"/>
    <w:rsid w:val="027C3E05"/>
    <w:rsid w:val="02824702"/>
    <w:rsid w:val="02825AE1"/>
    <w:rsid w:val="028913C2"/>
    <w:rsid w:val="02892A5E"/>
    <w:rsid w:val="028E23F8"/>
    <w:rsid w:val="02937F69"/>
    <w:rsid w:val="029C5B75"/>
    <w:rsid w:val="029E2410"/>
    <w:rsid w:val="029F2CF0"/>
    <w:rsid w:val="029F49BA"/>
    <w:rsid w:val="02A4154D"/>
    <w:rsid w:val="02A73FCB"/>
    <w:rsid w:val="02A77923"/>
    <w:rsid w:val="02B05C52"/>
    <w:rsid w:val="02B32D35"/>
    <w:rsid w:val="02B34AC9"/>
    <w:rsid w:val="02BB2ADE"/>
    <w:rsid w:val="02BC2767"/>
    <w:rsid w:val="02CD0B23"/>
    <w:rsid w:val="02CD6728"/>
    <w:rsid w:val="02D702F9"/>
    <w:rsid w:val="02DB6EAE"/>
    <w:rsid w:val="02E03FF5"/>
    <w:rsid w:val="02E52255"/>
    <w:rsid w:val="02EE0DD5"/>
    <w:rsid w:val="02EF0740"/>
    <w:rsid w:val="02FB0E07"/>
    <w:rsid w:val="03011413"/>
    <w:rsid w:val="030202C9"/>
    <w:rsid w:val="03045FE9"/>
    <w:rsid w:val="030761C8"/>
    <w:rsid w:val="030A55BB"/>
    <w:rsid w:val="030E10B8"/>
    <w:rsid w:val="03181B1A"/>
    <w:rsid w:val="03183603"/>
    <w:rsid w:val="031D2675"/>
    <w:rsid w:val="032510D3"/>
    <w:rsid w:val="032B5D99"/>
    <w:rsid w:val="033200F4"/>
    <w:rsid w:val="0335531A"/>
    <w:rsid w:val="0339090D"/>
    <w:rsid w:val="033A43A7"/>
    <w:rsid w:val="033B71CA"/>
    <w:rsid w:val="033E7596"/>
    <w:rsid w:val="03415F32"/>
    <w:rsid w:val="03457EC7"/>
    <w:rsid w:val="03485050"/>
    <w:rsid w:val="03494FBB"/>
    <w:rsid w:val="034E03ED"/>
    <w:rsid w:val="034F023B"/>
    <w:rsid w:val="03527A83"/>
    <w:rsid w:val="0353505F"/>
    <w:rsid w:val="035444F5"/>
    <w:rsid w:val="03560EE8"/>
    <w:rsid w:val="035E759D"/>
    <w:rsid w:val="035F5133"/>
    <w:rsid w:val="036B0F30"/>
    <w:rsid w:val="036C5318"/>
    <w:rsid w:val="036F76EA"/>
    <w:rsid w:val="037542C2"/>
    <w:rsid w:val="03760622"/>
    <w:rsid w:val="03766C85"/>
    <w:rsid w:val="037F71BD"/>
    <w:rsid w:val="03835DE4"/>
    <w:rsid w:val="03843E66"/>
    <w:rsid w:val="038B3628"/>
    <w:rsid w:val="03912E5C"/>
    <w:rsid w:val="03965F51"/>
    <w:rsid w:val="039E0E31"/>
    <w:rsid w:val="03AA5D11"/>
    <w:rsid w:val="03AA680D"/>
    <w:rsid w:val="03AB6F32"/>
    <w:rsid w:val="03BB402B"/>
    <w:rsid w:val="03BC23F8"/>
    <w:rsid w:val="03BD6678"/>
    <w:rsid w:val="03BE03F8"/>
    <w:rsid w:val="03C037AF"/>
    <w:rsid w:val="03CB0947"/>
    <w:rsid w:val="03CE1DF1"/>
    <w:rsid w:val="03CF2F2A"/>
    <w:rsid w:val="03D71771"/>
    <w:rsid w:val="03D72ABA"/>
    <w:rsid w:val="03DB1CEA"/>
    <w:rsid w:val="03DC13E8"/>
    <w:rsid w:val="03DF5A1B"/>
    <w:rsid w:val="03E24972"/>
    <w:rsid w:val="03E40851"/>
    <w:rsid w:val="03E8361C"/>
    <w:rsid w:val="03EE35DE"/>
    <w:rsid w:val="03EF0448"/>
    <w:rsid w:val="03F05D94"/>
    <w:rsid w:val="03FB7572"/>
    <w:rsid w:val="04056B3C"/>
    <w:rsid w:val="04062496"/>
    <w:rsid w:val="040C05F1"/>
    <w:rsid w:val="04114E9D"/>
    <w:rsid w:val="04130075"/>
    <w:rsid w:val="041B7A35"/>
    <w:rsid w:val="041D1803"/>
    <w:rsid w:val="042B21EE"/>
    <w:rsid w:val="042B7203"/>
    <w:rsid w:val="04301F7F"/>
    <w:rsid w:val="0431101E"/>
    <w:rsid w:val="04366FAD"/>
    <w:rsid w:val="043C72BF"/>
    <w:rsid w:val="043F26A4"/>
    <w:rsid w:val="04427638"/>
    <w:rsid w:val="044474D8"/>
    <w:rsid w:val="04464921"/>
    <w:rsid w:val="044A7793"/>
    <w:rsid w:val="044B2E5C"/>
    <w:rsid w:val="044B6731"/>
    <w:rsid w:val="044F78B5"/>
    <w:rsid w:val="045707A8"/>
    <w:rsid w:val="045B6D0A"/>
    <w:rsid w:val="045E5C70"/>
    <w:rsid w:val="0469233F"/>
    <w:rsid w:val="046D4733"/>
    <w:rsid w:val="04722412"/>
    <w:rsid w:val="04750C84"/>
    <w:rsid w:val="04770F57"/>
    <w:rsid w:val="04794CB4"/>
    <w:rsid w:val="047E7EBF"/>
    <w:rsid w:val="0480251A"/>
    <w:rsid w:val="048622B0"/>
    <w:rsid w:val="04870179"/>
    <w:rsid w:val="04877C31"/>
    <w:rsid w:val="048923AE"/>
    <w:rsid w:val="04896F24"/>
    <w:rsid w:val="048F7A04"/>
    <w:rsid w:val="04985233"/>
    <w:rsid w:val="049F4055"/>
    <w:rsid w:val="04AA0B75"/>
    <w:rsid w:val="04AD384E"/>
    <w:rsid w:val="04B26EFE"/>
    <w:rsid w:val="04B96C86"/>
    <w:rsid w:val="04BD25E6"/>
    <w:rsid w:val="04BD68A0"/>
    <w:rsid w:val="04C342B9"/>
    <w:rsid w:val="04D26BF8"/>
    <w:rsid w:val="04D46FD3"/>
    <w:rsid w:val="04D47A01"/>
    <w:rsid w:val="04D841B0"/>
    <w:rsid w:val="04DC1188"/>
    <w:rsid w:val="04DD291A"/>
    <w:rsid w:val="04E902FB"/>
    <w:rsid w:val="04EC7FF6"/>
    <w:rsid w:val="04ED46B2"/>
    <w:rsid w:val="04EF6C9D"/>
    <w:rsid w:val="04F32165"/>
    <w:rsid w:val="04F43350"/>
    <w:rsid w:val="04FC15A3"/>
    <w:rsid w:val="05021E8A"/>
    <w:rsid w:val="05023322"/>
    <w:rsid w:val="05051C69"/>
    <w:rsid w:val="050E6BCA"/>
    <w:rsid w:val="050F677E"/>
    <w:rsid w:val="05165347"/>
    <w:rsid w:val="051739E8"/>
    <w:rsid w:val="051D43F3"/>
    <w:rsid w:val="05251570"/>
    <w:rsid w:val="05255755"/>
    <w:rsid w:val="053257CE"/>
    <w:rsid w:val="053822C9"/>
    <w:rsid w:val="05453CAC"/>
    <w:rsid w:val="054B3227"/>
    <w:rsid w:val="054B6FBB"/>
    <w:rsid w:val="054C65F6"/>
    <w:rsid w:val="054F38E2"/>
    <w:rsid w:val="0561004B"/>
    <w:rsid w:val="05635B73"/>
    <w:rsid w:val="056A3344"/>
    <w:rsid w:val="056F0613"/>
    <w:rsid w:val="056F725F"/>
    <w:rsid w:val="05724655"/>
    <w:rsid w:val="05760A01"/>
    <w:rsid w:val="05781035"/>
    <w:rsid w:val="057D5107"/>
    <w:rsid w:val="057F7E22"/>
    <w:rsid w:val="05856E67"/>
    <w:rsid w:val="05872F8E"/>
    <w:rsid w:val="058E77C7"/>
    <w:rsid w:val="05952AD4"/>
    <w:rsid w:val="05963E30"/>
    <w:rsid w:val="059E026A"/>
    <w:rsid w:val="05AD3936"/>
    <w:rsid w:val="05BB47A2"/>
    <w:rsid w:val="05BB5BC1"/>
    <w:rsid w:val="05C05E40"/>
    <w:rsid w:val="05C47336"/>
    <w:rsid w:val="05CB1F6A"/>
    <w:rsid w:val="05CF4586"/>
    <w:rsid w:val="05D41ADA"/>
    <w:rsid w:val="05D4770C"/>
    <w:rsid w:val="05D50ACF"/>
    <w:rsid w:val="05D5689A"/>
    <w:rsid w:val="05DA46A4"/>
    <w:rsid w:val="05E00345"/>
    <w:rsid w:val="05E718EC"/>
    <w:rsid w:val="05EA39A3"/>
    <w:rsid w:val="05ED6FC6"/>
    <w:rsid w:val="05FB5A00"/>
    <w:rsid w:val="05FC3480"/>
    <w:rsid w:val="05FE6A00"/>
    <w:rsid w:val="0602203B"/>
    <w:rsid w:val="06033E0C"/>
    <w:rsid w:val="0608261B"/>
    <w:rsid w:val="060D3C26"/>
    <w:rsid w:val="060F73EC"/>
    <w:rsid w:val="06145AC4"/>
    <w:rsid w:val="06146139"/>
    <w:rsid w:val="061859F5"/>
    <w:rsid w:val="062A08E6"/>
    <w:rsid w:val="06490B80"/>
    <w:rsid w:val="064E2116"/>
    <w:rsid w:val="064F570B"/>
    <w:rsid w:val="06587A95"/>
    <w:rsid w:val="06592E34"/>
    <w:rsid w:val="065B3E4B"/>
    <w:rsid w:val="065C7FED"/>
    <w:rsid w:val="065D7D73"/>
    <w:rsid w:val="06617323"/>
    <w:rsid w:val="0665077B"/>
    <w:rsid w:val="06650FFD"/>
    <w:rsid w:val="0669249C"/>
    <w:rsid w:val="066A4A41"/>
    <w:rsid w:val="0672283C"/>
    <w:rsid w:val="067804C1"/>
    <w:rsid w:val="06782C05"/>
    <w:rsid w:val="06792B9A"/>
    <w:rsid w:val="067D5BB5"/>
    <w:rsid w:val="0689271A"/>
    <w:rsid w:val="068A16EF"/>
    <w:rsid w:val="068F08FD"/>
    <w:rsid w:val="06987036"/>
    <w:rsid w:val="06A03C1D"/>
    <w:rsid w:val="06A13B37"/>
    <w:rsid w:val="06A86423"/>
    <w:rsid w:val="06B52254"/>
    <w:rsid w:val="06B52902"/>
    <w:rsid w:val="06BE53B3"/>
    <w:rsid w:val="06C10099"/>
    <w:rsid w:val="06C12685"/>
    <w:rsid w:val="06C93E51"/>
    <w:rsid w:val="06CB7EA2"/>
    <w:rsid w:val="06CD01BB"/>
    <w:rsid w:val="06CD5483"/>
    <w:rsid w:val="06CE5AD8"/>
    <w:rsid w:val="06D23115"/>
    <w:rsid w:val="06D25114"/>
    <w:rsid w:val="06D40813"/>
    <w:rsid w:val="06D97F73"/>
    <w:rsid w:val="06DB3F30"/>
    <w:rsid w:val="06DE274F"/>
    <w:rsid w:val="06E76568"/>
    <w:rsid w:val="06EB6ACC"/>
    <w:rsid w:val="06F54E3B"/>
    <w:rsid w:val="06FE0CA3"/>
    <w:rsid w:val="07035A21"/>
    <w:rsid w:val="070B1C52"/>
    <w:rsid w:val="070F28E6"/>
    <w:rsid w:val="071100B6"/>
    <w:rsid w:val="071136D0"/>
    <w:rsid w:val="07133755"/>
    <w:rsid w:val="071C46D8"/>
    <w:rsid w:val="0721638A"/>
    <w:rsid w:val="07224CF4"/>
    <w:rsid w:val="0725615E"/>
    <w:rsid w:val="07270D08"/>
    <w:rsid w:val="07273CEC"/>
    <w:rsid w:val="072941E0"/>
    <w:rsid w:val="072F1458"/>
    <w:rsid w:val="07331A3A"/>
    <w:rsid w:val="07392CDA"/>
    <w:rsid w:val="073C374B"/>
    <w:rsid w:val="073F49D0"/>
    <w:rsid w:val="07460050"/>
    <w:rsid w:val="0749194F"/>
    <w:rsid w:val="074F49D6"/>
    <w:rsid w:val="07500595"/>
    <w:rsid w:val="07501BFE"/>
    <w:rsid w:val="07536D82"/>
    <w:rsid w:val="07547D5F"/>
    <w:rsid w:val="075E0B6E"/>
    <w:rsid w:val="07643E04"/>
    <w:rsid w:val="07695B92"/>
    <w:rsid w:val="07733275"/>
    <w:rsid w:val="07766050"/>
    <w:rsid w:val="07772771"/>
    <w:rsid w:val="0778081A"/>
    <w:rsid w:val="077B5FC0"/>
    <w:rsid w:val="07825346"/>
    <w:rsid w:val="078D0BE6"/>
    <w:rsid w:val="078D7EC3"/>
    <w:rsid w:val="07910776"/>
    <w:rsid w:val="07942F3B"/>
    <w:rsid w:val="079E4605"/>
    <w:rsid w:val="07A5392F"/>
    <w:rsid w:val="07A77DA7"/>
    <w:rsid w:val="07AA79F0"/>
    <w:rsid w:val="07AD6EA5"/>
    <w:rsid w:val="07AE0EEE"/>
    <w:rsid w:val="07B431EC"/>
    <w:rsid w:val="07BC47FA"/>
    <w:rsid w:val="07BD40FE"/>
    <w:rsid w:val="07C351A0"/>
    <w:rsid w:val="07CC7F60"/>
    <w:rsid w:val="07CD4A03"/>
    <w:rsid w:val="07D05EDB"/>
    <w:rsid w:val="07D327B2"/>
    <w:rsid w:val="07D37ACE"/>
    <w:rsid w:val="07D40CD2"/>
    <w:rsid w:val="07D5132E"/>
    <w:rsid w:val="07D57E93"/>
    <w:rsid w:val="07D62161"/>
    <w:rsid w:val="07DA1A6F"/>
    <w:rsid w:val="07E009A4"/>
    <w:rsid w:val="07E420BA"/>
    <w:rsid w:val="07E50252"/>
    <w:rsid w:val="07EC696E"/>
    <w:rsid w:val="07EE56BF"/>
    <w:rsid w:val="07EF492A"/>
    <w:rsid w:val="080477CB"/>
    <w:rsid w:val="08085A64"/>
    <w:rsid w:val="081F7136"/>
    <w:rsid w:val="0827291A"/>
    <w:rsid w:val="082B55FD"/>
    <w:rsid w:val="082E49B0"/>
    <w:rsid w:val="083910D7"/>
    <w:rsid w:val="083E0D84"/>
    <w:rsid w:val="08410FDB"/>
    <w:rsid w:val="0843322E"/>
    <w:rsid w:val="084A3B36"/>
    <w:rsid w:val="084A5FC5"/>
    <w:rsid w:val="08532647"/>
    <w:rsid w:val="085477AC"/>
    <w:rsid w:val="085A4CAC"/>
    <w:rsid w:val="08640FFD"/>
    <w:rsid w:val="0864198C"/>
    <w:rsid w:val="086C1FDC"/>
    <w:rsid w:val="086D336E"/>
    <w:rsid w:val="086E530D"/>
    <w:rsid w:val="08772516"/>
    <w:rsid w:val="08792489"/>
    <w:rsid w:val="087D0DCF"/>
    <w:rsid w:val="087D4B04"/>
    <w:rsid w:val="087F3B0C"/>
    <w:rsid w:val="08836BE1"/>
    <w:rsid w:val="088B025E"/>
    <w:rsid w:val="08947646"/>
    <w:rsid w:val="08960A1F"/>
    <w:rsid w:val="08980BFD"/>
    <w:rsid w:val="089A2AD4"/>
    <w:rsid w:val="089B6020"/>
    <w:rsid w:val="089D6EE2"/>
    <w:rsid w:val="08A746F4"/>
    <w:rsid w:val="08A806C1"/>
    <w:rsid w:val="08AA615A"/>
    <w:rsid w:val="08B06099"/>
    <w:rsid w:val="08B33061"/>
    <w:rsid w:val="08B416BE"/>
    <w:rsid w:val="08B66CCD"/>
    <w:rsid w:val="08BB6452"/>
    <w:rsid w:val="08C02292"/>
    <w:rsid w:val="08C318B4"/>
    <w:rsid w:val="08C455AA"/>
    <w:rsid w:val="08C53281"/>
    <w:rsid w:val="08C92D30"/>
    <w:rsid w:val="08C939A7"/>
    <w:rsid w:val="08CB1FE8"/>
    <w:rsid w:val="08CC5B87"/>
    <w:rsid w:val="08D156EC"/>
    <w:rsid w:val="08D472C3"/>
    <w:rsid w:val="08D56DF4"/>
    <w:rsid w:val="08D6761E"/>
    <w:rsid w:val="08D81105"/>
    <w:rsid w:val="08E06EF9"/>
    <w:rsid w:val="08E12481"/>
    <w:rsid w:val="08E23EDE"/>
    <w:rsid w:val="08EA5893"/>
    <w:rsid w:val="08EC3C8C"/>
    <w:rsid w:val="08F46BBA"/>
    <w:rsid w:val="08F92263"/>
    <w:rsid w:val="08FA0621"/>
    <w:rsid w:val="09007917"/>
    <w:rsid w:val="09061486"/>
    <w:rsid w:val="0908166E"/>
    <w:rsid w:val="09087826"/>
    <w:rsid w:val="09091CD1"/>
    <w:rsid w:val="091839F7"/>
    <w:rsid w:val="09196B82"/>
    <w:rsid w:val="09223DDC"/>
    <w:rsid w:val="092268B1"/>
    <w:rsid w:val="09243DDE"/>
    <w:rsid w:val="09253E80"/>
    <w:rsid w:val="092F19E4"/>
    <w:rsid w:val="09312626"/>
    <w:rsid w:val="09335DBD"/>
    <w:rsid w:val="093B3664"/>
    <w:rsid w:val="093E5C11"/>
    <w:rsid w:val="0940408B"/>
    <w:rsid w:val="09466940"/>
    <w:rsid w:val="094F0523"/>
    <w:rsid w:val="094F3C1E"/>
    <w:rsid w:val="095643B6"/>
    <w:rsid w:val="095762AF"/>
    <w:rsid w:val="095A62AB"/>
    <w:rsid w:val="096C6F45"/>
    <w:rsid w:val="09744936"/>
    <w:rsid w:val="0976208A"/>
    <w:rsid w:val="097C2149"/>
    <w:rsid w:val="097C36E2"/>
    <w:rsid w:val="098C18F7"/>
    <w:rsid w:val="0992284D"/>
    <w:rsid w:val="0993011F"/>
    <w:rsid w:val="09A0176A"/>
    <w:rsid w:val="09A101A8"/>
    <w:rsid w:val="09A6140E"/>
    <w:rsid w:val="09A965D9"/>
    <w:rsid w:val="09AA1245"/>
    <w:rsid w:val="09AC74F7"/>
    <w:rsid w:val="09B02641"/>
    <w:rsid w:val="09B72AED"/>
    <w:rsid w:val="09BD70EB"/>
    <w:rsid w:val="09BE4077"/>
    <w:rsid w:val="09BF279A"/>
    <w:rsid w:val="09C1362F"/>
    <w:rsid w:val="09C24419"/>
    <w:rsid w:val="09C910C4"/>
    <w:rsid w:val="09CA3710"/>
    <w:rsid w:val="09D1034F"/>
    <w:rsid w:val="09D67235"/>
    <w:rsid w:val="09DB2FC3"/>
    <w:rsid w:val="09DE6CF0"/>
    <w:rsid w:val="09E324C9"/>
    <w:rsid w:val="09E6475D"/>
    <w:rsid w:val="09E86B6D"/>
    <w:rsid w:val="09EC3365"/>
    <w:rsid w:val="09EE6124"/>
    <w:rsid w:val="09EF3035"/>
    <w:rsid w:val="0A000216"/>
    <w:rsid w:val="0A057F37"/>
    <w:rsid w:val="0A0854A1"/>
    <w:rsid w:val="0A0B42C6"/>
    <w:rsid w:val="0A0D1CB0"/>
    <w:rsid w:val="0A0D4201"/>
    <w:rsid w:val="0A131689"/>
    <w:rsid w:val="0A1421F0"/>
    <w:rsid w:val="0A145A83"/>
    <w:rsid w:val="0A194F22"/>
    <w:rsid w:val="0A1E081D"/>
    <w:rsid w:val="0A3B045B"/>
    <w:rsid w:val="0A400886"/>
    <w:rsid w:val="0A4137B9"/>
    <w:rsid w:val="0A4E0109"/>
    <w:rsid w:val="0A4E4972"/>
    <w:rsid w:val="0A4E5108"/>
    <w:rsid w:val="0A5439A4"/>
    <w:rsid w:val="0A5724CF"/>
    <w:rsid w:val="0A581AE4"/>
    <w:rsid w:val="0A5829E9"/>
    <w:rsid w:val="0A597C13"/>
    <w:rsid w:val="0A5A62E4"/>
    <w:rsid w:val="0A600FC1"/>
    <w:rsid w:val="0A676D93"/>
    <w:rsid w:val="0A714950"/>
    <w:rsid w:val="0A72480A"/>
    <w:rsid w:val="0A737F1B"/>
    <w:rsid w:val="0A752964"/>
    <w:rsid w:val="0A75430D"/>
    <w:rsid w:val="0A7709AD"/>
    <w:rsid w:val="0A8C7C20"/>
    <w:rsid w:val="0A8E2BEF"/>
    <w:rsid w:val="0A92599F"/>
    <w:rsid w:val="0A9478E2"/>
    <w:rsid w:val="0A965A76"/>
    <w:rsid w:val="0A9C31E4"/>
    <w:rsid w:val="0A9C7368"/>
    <w:rsid w:val="0AA029EC"/>
    <w:rsid w:val="0AA22D78"/>
    <w:rsid w:val="0AA515C8"/>
    <w:rsid w:val="0AA71744"/>
    <w:rsid w:val="0AA71AD8"/>
    <w:rsid w:val="0ABD2F34"/>
    <w:rsid w:val="0AC75DD6"/>
    <w:rsid w:val="0ACA294B"/>
    <w:rsid w:val="0ACE6DCF"/>
    <w:rsid w:val="0AD71BF0"/>
    <w:rsid w:val="0ADC23FF"/>
    <w:rsid w:val="0ADF452A"/>
    <w:rsid w:val="0AE0751B"/>
    <w:rsid w:val="0AE133DE"/>
    <w:rsid w:val="0AE16DB0"/>
    <w:rsid w:val="0AE30FF4"/>
    <w:rsid w:val="0AEF2943"/>
    <w:rsid w:val="0B046186"/>
    <w:rsid w:val="0B066357"/>
    <w:rsid w:val="0B066D01"/>
    <w:rsid w:val="0B0730C6"/>
    <w:rsid w:val="0B095416"/>
    <w:rsid w:val="0B0A0FF3"/>
    <w:rsid w:val="0B126CF8"/>
    <w:rsid w:val="0B137F16"/>
    <w:rsid w:val="0B160732"/>
    <w:rsid w:val="0B1700E2"/>
    <w:rsid w:val="0B2419FE"/>
    <w:rsid w:val="0B304CBD"/>
    <w:rsid w:val="0B372C42"/>
    <w:rsid w:val="0B454A4D"/>
    <w:rsid w:val="0B455ED8"/>
    <w:rsid w:val="0B4F61AE"/>
    <w:rsid w:val="0B6B0DD0"/>
    <w:rsid w:val="0B6B6165"/>
    <w:rsid w:val="0B6C20DC"/>
    <w:rsid w:val="0B74333E"/>
    <w:rsid w:val="0B7A2FB2"/>
    <w:rsid w:val="0B7B037A"/>
    <w:rsid w:val="0B7C5661"/>
    <w:rsid w:val="0B7F3E2A"/>
    <w:rsid w:val="0B816E73"/>
    <w:rsid w:val="0B857E16"/>
    <w:rsid w:val="0B893967"/>
    <w:rsid w:val="0B8E2276"/>
    <w:rsid w:val="0B8F6ED1"/>
    <w:rsid w:val="0B940AEC"/>
    <w:rsid w:val="0B940B68"/>
    <w:rsid w:val="0B9913D8"/>
    <w:rsid w:val="0BA1032A"/>
    <w:rsid w:val="0BA31419"/>
    <w:rsid w:val="0BAB3A74"/>
    <w:rsid w:val="0BAC24BE"/>
    <w:rsid w:val="0BB255BC"/>
    <w:rsid w:val="0BB37D3B"/>
    <w:rsid w:val="0BB43BC5"/>
    <w:rsid w:val="0BBA5E35"/>
    <w:rsid w:val="0BBB3316"/>
    <w:rsid w:val="0BBD6409"/>
    <w:rsid w:val="0BC255E2"/>
    <w:rsid w:val="0BC36E2F"/>
    <w:rsid w:val="0BC42982"/>
    <w:rsid w:val="0BC57213"/>
    <w:rsid w:val="0BC65534"/>
    <w:rsid w:val="0BCB2B8F"/>
    <w:rsid w:val="0BD030BA"/>
    <w:rsid w:val="0BE07E28"/>
    <w:rsid w:val="0BEB0919"/>
    <w:rsid w:val="0BEC0382"/>
    <w:rsid w:val="0BEE6566"/>
    <w:rsid w:val="0BF152F8"/>
    <w:rsid w:val="0BF21F97"/>
    <w:rsid w:val="0BF94722"/>
    <w:rsid w:val="0C026D1E"/>
    <w:rsid w:val="0C0D3CC1"/>
    <w:rsid w:val="0C122035"/>
    <w:rsid w:val="0C14746E"/>
    <w:rsid w:val="0C192415"/>
    <w:rsid w:val="0C1A77A8"/>
    <w:rsid w:val="0C1E0484"/>
    <w:rsid w:val="0C1F6C0F"/>
    <w:rsid w:val="0C270E6E"/>
    <w:rsid w:val="0C2E13F9"/>
    <w:rsid w:val="0C335203"/>
    <w:rsid w:val="0C346D95"/>
    <w:rsid w:val="0C3A7B73"/>
    <w:rsid w:val="0C3B0A5B"/>
    <w:rsid w:val="0C3B1A0E"/>
    <w:rsid w:val="0C416822"/>
    <w:rsid w:val="0C4226D2"/>
    <w:rsid w:val="0C4303AD"/>
    <w:rsid w:val="0C4D1BBA"/>
    <w:rsid w:val="0C4E3E83"/>
    <w:rsid w:val="0C513EB6"/>
    <w:rsid w:val="0C5807B0"/>
    <w:rsid w:val="0C5A6F11"/>
    <w:rsid w:val="0C5C13CD"/>
    <w:rsid w:val="0C5D0C4F"/>
    <w:rsid w:val="0C5D0D93"/>
    <w:rsid w:val="0C68648B"/>
    <w:rsid w:val="0C6A2C23"/>
    <w:rsid w:val="0C6B6EC9"/>
    <w:rsid w:val="0C6C1A24"/>
    <w:rsid w:val="0C6D19A0"/>
    <w:rsid w:val="0C7040BE"/>
    <w:rsid w:val="0C730626"/>
    <w:rsid w:val="0C773F04"/>
    <w:rsid w:val="0C7A3B0B"/>
    <w:rsid w:val="0C7E4475"/>
    <w:rsid w:val="0C841DC9"/>
    <w:rsid w:val="0C891082"/>
    <w:rsid w:val="0C8C6FF8"/>
    <w:rsid w:val="0C911193"/>
    <w:rsid w:val="0C925705"/>
    <w:rsid w:val="0C9416E2"/>
    <w:rsid w:val="0C9640BE"/>
    <w:rsid w:val="0C9A6438"/>
    <w:rsid w:val="0CA743E8"/>
    <w:rsid w:val="0CAB5CE6"/>
    <w:rsid w:val="0CAF6D8F"/>
    <w:rsid w:val="0CB00831"/>
    <w:rsid w:val="0CB16B2C"/>
    <w:rsid w:val="0CB8277E"/>
    <w:rsid w:val="0CB9501A"/>
    <w:rsid w:val="0CC62FDA"/>
    <w:rsid w:val="0CC715D3"/>
    <w:rsid w:val="0CCA6EFB"/>
    <w:rsid w:val="0CCC0FF5"/>
    <w:rsid w:val="0CCD6A86"/>
    <w:rsid w:val="0CD919BE"/>
    <w:rsid w:val="0CDF6084"/>
    <w:rsid w:val="0CE037F9"/>
    <w:rsid w:val="0CE2175C"/>
    <w:rsid w:val="0CE74847"/>
    <w:rsid w:val="0CEE38AB"/>
    <w:rsid w:val="0D086B32"/>
    <w:rsid w:val="0D0C58C9"/>
    <w:rsid w:val="0D0D37EA"/>
    <w:rsid w:val="0D0D588D"/>
    <w:rsid w:val="0D1317A7"/>
    <w:rsid w:val="0D152E2A"/>
    <w:rsid w:val="0D172983"/>
    <w:rsid w:val="0D1863E6"/>
    <w:rsid w:val="0D1B7D87"/>
    <w:rsid w:val="0D1C358A"/>
    <w:rsid w:val="0D1E34FB"/>
    <w:rsid w:val="0D231917"/>
    <w:rsid w:val="0D2518CD"/>
    <w:rsid w:val="0D265880"/>
    <w:rsid w:val="0D2C7836"/>
    <w:rsid w:val="0D306114"/>
    <w:rsid w:val="0D426B6C"/>
    <w:rsid w:val="0D4433C0"/>
    <w:rsid w:val="0D4A3163"/>
    <w:rsid w:val="0D4C612B"/>
    <w:rsid w:val="0D5063EA"/>
    <w:rsid w:val="0D5511CC"/>
    <w:rsid w:val="0D6A794F"/>
    <w:rsid w:val="0D74386B"/>
    <w:rsid w:val="0D792567"/>
    <w:rsid w:val="0D7C0634"/>
    <w:rsid w:val="0D7C78D4"/>
    <w:rsid w:val="0D7D0C7C"/>
    <w:rsid w:val="0D821D89"/>
    <w:rsid w:val="0D851B90"/>
    <w:rsid w:val="0D9126EA"/>
    <w:rsid w:val="0D9A0ED8"/>
    <w:rsid w:val="0D9A174F"/>
    <w:rsid w:val="0D9D7FB3"/>
    <w:rsid w:val="0D9E4E25"/>
    <w:rsid w:val="0DA034E6"/>
    <w:rsid w:val="0DA263BE"/>
    <w:rsid w:val="0DA310B6"/>
    <w:rsid w:val="0DA72563"/>
    <w:rsid w:val="0DA9005A"/>
    <w:rsid w:val="0DB1230C"/>
    <w:rsid w:val="0DB94726"/>
    <w:rsid w:val="0DB96191"/>
    <w:rsid w:val="0DBB7E96"/>
    <w:rsid w:val="0DBC1580"/>
    <w:rsid w:val="0DBE5835"/>
    <w:rsid w:val="0DBF0B5F"/>
    <w:rsid w:val="0DC26E85"/>
    <w:rsid w:val="0DCC1B7C"/>
    <w:rsid w:val="0DD7540B"/>
    <w:rsid w:val="0DD857DF"/>
    <w:rsid w:val="0DDA2551"/>
    <w:rsid w:val="0DDD677A"/>
    <w:rsid w:val="0DEF40A2"/>
    <w:rsid w:val="0DF067E4"/>
    <w:rsid w:val="0DF3699D"/>
    <w:rsid w:val="0DF957CD"/>
    <w:rsid w:val="0E027FD1"/>
    <w:rsid w:val="0E030C36"/>
    <w:rsid w:val="0E072674"/>
    <w:rsid w:val="0E0A1B08"/>
    <w:rsid w:val="0E0A2E61"/>
    <w:rsid w:val="0E132377"/>
    <w:rsid w:val="0E160AE4"/>
    <w:rsid w:val="0E190E6E"/>
    <w:rsid w:val="0E1965A0"/>
    <w:rsid w:val="0E216691"/>
    <w:rsid w:val="0E236C9F"/>
    <w:rsid w:val="0E2842B0"/>
    <w:rsid w:val="0E297C76"/>
    <w:rsid w:val="0E2A46B7"/>
    <w:rsid w:val="0E2C1DC2"/>
    <w:rsid w:val="0E38131A"/>
    <w:rsid w:val="0E3C7EE0"/>
    <w:rsid w:val="0E433674"/>
    <w:rsid w:val="0E433FAD"/>
    <w:rsid w:val="0E4D65CE"/>
    <w:rsid w:val="0E4F63C4"/>
    <w:rsid w:val="0E5C66B3"/>
    <w:rsid w:val="0E6463D0"/>
    <w:rsid w:val="0E6C7C3B"/>
    <w:rsid w:val="0E6D60A7"/>
    <w:rsid w:val="0E6F61F8"/>
    <w:rsid w:val="0E700344"/>
    <w:rsid w:val="0E7A4B98"/>
    <w:rsid w:val="0E846E3F"/>
    <w:rsid w:val="0E915180"/>
    <w:rsid w:val="0E93311C"/>
    <w:rsid w:val="0EA03A68"/>
    <w:rsid w:val="0EA46379"/>
    <w:rsid w:val="0EA66E0A"/>
    <w:rsid w:val="0EAC4E62"/>
    <w:rsid w:val="0EAD49A7"/>
    <w:rsid w:val="0EB96584"/>
    <w:rsid w:val="0EC01809"/>
    <w:rsid w:val="0EC12FF2"/>
    <w:rsid w:val="0EC65C24"/>
    <w:rsid w:val="0EC76E6E"/>
    <w:rsid w:val="0EC84092"/>
    <w:rsid w:val="0ED42BED"/>
    <w:rsid w:val="0EDE0894"/>
    <w:rsid w:val="0EE21CCA"/>
    <w:rsid w:val="0EE3357A"/>
    <w:rsid w:val="0EE52B1F"/>
    <w:rsid w:val="0EE740C4"/>
    <w:rsid w:val="0EF37B9C"/>
    <w:rsid w:val="0EFA1A54"/>
    <w:rsid w:val="0EFB4B09"/>
    <w:rsid w:val="0EFC720F"/>
    <w:rsid w:val="0EFE574C"/>
    <w:rsid w:val="0F044C23"/>
    <w:rsid w:val="0F0603A5"/>
    <w:rsid w:val="0F0E308C"/>
    <w:rsid w:val="0F1051D4"/>
    <w:rsid w:val="0F125DE7"/>
    <w:rsid w:val="0F164400"/>
    <w:rsid w:val="0F290AA4"/>
    <w:rsid w:val="0F2F795C"/>
    <w:rsid w:val="0F302D5F"/>
    <w:rsid w:val="0F3809C4"/>
    <w:rsid w:val="0F393E07"/>
    <w:rsid w:val="0F396067"/>
    <w:rsid w:val="0F396EE6"/>
    <w:rsid w:val="0F44629C"/>
    <w:rsid w:val="0F4A6A22"/>
    <w:rsid w:val="0F4B69F6"/>
    <w:rsid w:val="0F4C2931"/>
    <w:rsid w:val="0F4F3574"/>
    <w:rsid w:val="0F567338"/>
    <w:rsid w:val="0F5D478F"/>
    <w:rsid w:val="0F621499"/>
    <w:rsid w:val="0F661507"/>
    <w:rsid w:val="0F692C92"/>
    <w:rsid w:val="0F7C4256"/>
    <w:rsid w:val="0F7C4988"/>
    <w:rsid w:val="0F7D2DB5"/>
    <w:rsid w:val="0F85162A"/>
    <w:rsid w:val="0F856882"/>
    <w:rsid w:val="0F867A8A"/>
    <w:rsid w:val="0F8C1F34"/>
    <w:rsid w:val="0F945879"/>
    <w:rsid w:val="0F9D6036"/>
    <w:rsid w:val="0FA35805"/>
    <w:rsid w:val="0FA560DD"/>
    <w:rsid w:val="0FA676A6"/>
    <w:rsid w:val="0FA701F2"/>
    <w:rsid w:val="0FB12D6D"/>
    <w:rsid w:val="0FB6739F"/>
    <w:rsid w:val="0FB82D55"/>
    <w:rsid w:val="0FB8547D"/>
    <w:rsid w:val="0FBE4420"/>
    <w:rsid w:val="0FBE778E"/>
    <w:rsid w:val="0FC03F18"/>
    <w:rsid w:val="0FC66895"/>
    <w:rsid w:val="0FC87DD0"/>
    <w:rsid w:val="0FC95E73"/>
    <w:rsid w:val="0FD33FE0"/>
    <w:rsid w:val="0FE13F27"/>
    <w:rsid w:val="0FE21D5D"/>
    <w:rsid w:val="0FE2611A"/>
    <w:rsid w:val="0FE447E6"/>
    <w:rsid w:val="0FE7122F"/>
    <w:rsid w:val="0FED0281"/>
    <w:rsid w:val="0FEE2AC6"/>
    <w:rsid w:val="0FF5550A"/>
    <w:rsid w:val="0FF64C37"/>
    <w:rsid w:val="0FF87262"/>
    <w:rsid w:val="0FF9419A"/>
    <w:rsid w:val="0FFD424C"/>
    <w:rsid w:val="0FFF7EEC"/>
    <w:rsid w:val="100044B7"/>
    <w:rsid w:val="10042139"/>
    <w:rsid w:val="100C3239"/>
    <w:rsid w:val="100C60A4"/>
    <w:rsid w:val="1015224F"/>
    <w:rsid w:val="10152F16"/>
    <w:rsid w:val="10155F9F"/>
    <w:rsid w:val="101C5BCE"/>
    <w:rsid w:val="10204B83"/>
    <w:rsid w:val="102D5F22"/>
    <w:rsid w:val="10357582"/>
    <w:rsid w:val="10374738"/>
    <w:rsid w:val="103E75C7"/>
    <w:rsid w:val="1040267F"/>
    <w:rsid w:val="104355C1"/>
    <w:rsid w:val="104710CC"/>
    <w:rsid w:val="10493E80"/>
    <w:rsid w:val="104C306C"/>
    <w:rsid w:val="10563B54"/>
    <w:rsid w:val="10592FD6"/>
    <w:rsid w:val="105954ED"/>
    <w:rsid w:val="105B69D9"/>
    <w:rsid w:val="10616A64"/>
    <w:rsid w:val="106227ED"/>
    <w:rsid w:val="10693422"/>
    <w:rsid w:val="106C4559"/>
    <w:rsid w:val="106E28D9"/>
    <w:rsid w:val="10710F34"/>
    <w:rsid w:val="107844AD"/>
    <w:rsid w:val="1079112C"/>
    <w:rsid w:val="107C001F"/>
    <w:rsid w:val="107C4DA8"/>
    <w:rsid w:val="107D4E44"/>
    <w:rsid w:val="107D7801"/>
    <w:rsid w:val="1082571B"/>
    <w:rsid w:val="108437BA"/>
    <w:rsid w:val="108810F1"/>
    <w:rsid w:val="108A65B5"/>
    <w:rsid w:val="108B7EF4"/>
    <w:rsid w:val="10911D9D"/>
    <w:rsid w:val="10913289"/>
    <w:rsid w:val="10972BEE"/>
    <w:rsid w:val="109851FF"/>
    <w:rsid w:val="109857AF"/>
    <w:rsid w:val="10990AA1"/>
    <w:rsid w:val="109B4D6D"/>
    <w:rsid w:val="10A250A8"/>
    <w:rsid w:val="10A52394"/>
    <w:rsid w:val="10A9029B"/>
    <w:rsid w:val="10B8148B"/>
    <w:rsid w:val="10BE4A03"/>
    <w:rsid w:val="10C27247"/>
    <w:rsid w:val="10CC735C"/>
    <w:rsid w:val="10CF7097"/>
    <w:rsid w:val="10D15282"/>
    <w:rsid w:val="10D63B79"/>
    <w:rsid w:val="10D82F49"/>
    <w:rsid w:val="10DB055A"/>
    <w:rsid w:val="10DC17FB"/>
    <w:rsid w:val="10DF0D5D"/>
    <w:rsid w:val="10E77FFE"/>
    <w:rsid w:val="10EB61D1"/>
    <w:rsid w:val="10F17AFA"/>
    <w:rsid w:val="10F71544"/>
    <w:rsid w:val="10FC0A33"/>
    <w:rsid w:val="11074688"/>
    <w:rsid w:val="110C506A"/>
    <w:rsid w:val="11123071"/>
    <w:rsid w:val="11134EB8"/>
    <w:rsid w:val="11175477"/>
    <w:rsid w:val="111E3EDA"/>
    <w:rsid w:val="112458D7"/>
    <w:rsid w:val="112E665B"/>
    <w:rsid w:val="11361F38"/>
    <w:rsid w:val="11392CE8"/>
    <w:rsid w:val="11394D54"/>
    <w:rsid w:val="113A6F7C"/>
    <w:rsid w:val="113D7EF8"/>
    <w:rsid w:val="113F7B18"/>
    <w:rsid w:val="11402F0D"/>
    <w:rsid w:val="1142780B"/>
    <w:rsid w:val="114A5BDD"/>
    <w:rsid w:val="114B5CA3"/>
    <w:rsid w:val="1168474B"/>
    <w:rsid w:val="116A6372"/>
    <w:rsid w:val="116E1632"/>
    <w:rsid w:val="11727ADA"/>
    <w:rsid w:val="1173618A"/>
    <w:rsid w:val="1173700E"/>
    <w:rsid w:val="11807C25"/>
    <w:rsid w:val="118416B5"/>
    <w:rsid w:val="118743EB"/>
    <w:rsid w:val="119D60DE"/>
    <w:rsid w:val="11A51217"/>
    <w:rsid w:val="11A740BE"/>
    <w:rsid w:val="11AC4F9C"/>
    <w:rsid w:val="11AC7415"/>
    <w:rsid w:val="11B80FB3"/>
    <w:rsid w:val="11BB05C4"/>
    <w:rsid w:val="11BC40F3"/>
    <w:rsid w:val="11C11E07"/>
    <w:rsid w:val="11C23038"/>
    <w:rsid w:val="11C72D74"/>
    <w:rsid w:val="11C92B5D"/>
    <w:rsid w:val="11CA5116"/>
    <w:rsid w:val="11DF5015"/>
    <w:rsid w:val="11E006BC"/>
    <w:rsid w:val="11E42DC5"/>
    <w:rsid w:val="11E43FCF"/>
    <w:rsid w:val="11E96227"/>
    <w:rsid w:val="11F14957"/>
    <w:rsid w:val="11F746A0"/>
    <w:rsid w:val="11FA1A04"/>
    <w:rsid w:val="11FD1EE0"/>
    <w:rsid w:val="12046230"/>
    <w:rsid w:val="120549ED"/>
    <w:rsid w:val="120F0E4E"/>
    <w:rsid w:val="12112B6D"/>
    <w:rsid w:val="121331C2"/>
    <w:rsid w:val="1215072F"/>
    <w:rsid w:val="121D2CF7"/>
    <w:rsid w:val="121E167F"/>
    <w:rsid w:val="12293A83"/>
    <w:rsid w:val="122B4521"/>
    <w:rsid w:val="122F6D47"/>
    <w:rsid w:val="12301CEA"/>
    <w:rsid w:val="123939F5"/>
    <w:rsid w:val="12453654"/>
    <w:rsid w:val="124C5F7B"/>
    <w:rsid w:val="124E7012"/>
    <w:rsid w:val="12543E16"/>
    <w:rsid w:val="12572787"/>
    <w:rsid w:val="12592202"/>
    <w:rsid w:val="125A3B0E"/>
    <w:rsid w:val="125B5823"/>
    <w:rsid w:val="125C09DD"/>
    <w:rsid w:val="126C79DA"/>
    <w:rsid w:val="126E65E4"/>
    <w:rsid w:val="12702D61"/>
    <w:rsid w:val="12735629"/>
    <w:rsid w:val="12750705"/>
    <w:rsid w:val="127F2EC5"/>
    <w:rsid w:val="128150A9"/>
    <w:rsid w:val="12847820"/>
    <w:rsid w:val="128A72A3"/>
    <w:rsid w:val="12901E64"/>
    <w:rsid w:val="12902067"/>
    <w:rsid w:val="12913B30"/>
    <w:rsid w:val="12916DC2"/>
    <w:rsid w:val="12997B1A"/>
    <w:rsid w:val="129E07CF"/>
    <w:rsid w:val="129E1E0A"/>
    <w:rsid w:val="129F706E"/>
    <w:rsid w:val="12A726E8"/>
    <w:rsid w:val="12AE314C"/>
    <w:rsid w:val="12AF0DCB"/>
    <w:rsid w:val="12B21B09"/>
    <w:rsid w:val="12B65FCE"/>
    <w:rsid w:val="12BD4DEF"/>
    <w:rsid w:val="12C00C1B"/>
    <w:rsid w:val="12C42C15"/>
    <w:rsid w:val="12C811D2"/>
    <w:rsid w:val="12C83239"/>
    <w:rsid w:val="12CF24A3"/>
    <w:rsid w:val="12D27EC1"/>
    <w:rsid w:val="12D441B4"/>
    <w:rsid w:val="12D57BFC"/>
    <w:rsid w:val="12D63B41"/>
    <w:rsid w:val="12D64AB4"/>
    <w:rsid w:val="12D73596"/>
    <w:rsid w:val="12E46E36"/>
    <w:rsid w:val="12EA5B7C"/>
    <w:rsid w:val="12EE6E6A"/>
    <w:rsid w:val="12EF670D"/>
    <w:rsid w:val="12F03C02"/>
    <w:rsid w:val="12F36FE5"/>
    <w:rsid w:val="12FE6E84"/>
    <w:rsid w:val="13022AFF"/>
    <w:rsid w:val="131062E3"/>
    <w:rsid w:val="13252DB0"/>
    <w:rsid w:val="132850C5"/>
    <w:rsid w:val="133655DF"/>
    <w:rsid w:val="134413DE"/>
    <w:rsid w:val="134521E4"/>
    <w:rsid w:val="13477DA4"/>
    <w:rsid w:val="134953BE"/>
    <w:rsid w:val="13495B44"/>
    <w:rsid w:val="134B15EA"/>
    <w:rsid w:val="134C6032"/>
    <w:rsid w:val="1351175E"/>
    <w:rsid w:val="1354734F"/>
    <w:rsid w:val="13555D34"/>
    <w:rsid w:val="135C6EF4"/>
    <w:rsid w:val="135E15DA"/>
    <w:rsid w:val="135E626F"/>
    <w:rsid w:val="1362051D"/>
    <w:rsid w:val="136B1938"/>
    <w:rsid w:val="136B213A"/>
    <w:rsid w:val="136C7906"/>
    <w:rsid w:val="136E1B14"/>
    <w:rsid w:val="136E5821"/>
    <w:rsid w:val="1372172B"/>
    <w:rsid w:val="137639A7"/>
    <w:rsid w:val="137811AD"/>
    <w:rsid w:val="137E4014"/>
    <w:rsid w:val="137E6727"/>
    <w:rsid w:val="138412AE"/>
    <w:rsid w:val="13880969"/>
    <w:rsid w:val="138F14ED"/>
    <w:rsid w:val="13907487"/>
    <w:rsid w:val="139451AE"/>
    <w:rsid w:val="13A57204"/>
    <w:rsid w:val="13A658CE"/>
    <w:rsid w:val="13A93F77"/>
    <w:rsid w:val="13B01DB2"/>
    <w:rsid w:val="13B1265A"/>
    <w:rsid w:val="13B43271"/>
    <w:rsid w:val="13B434BB"/>
    <w:rsid w:val="13B561A8"/>
    <w:rsid w:val="13BD508D"/>
    <w:rsid w:val="13BE1278"/>
    <w:rsid w:val="13C160CF"/>
    <w:rsid w:val="13C448F3"/>
    <w:rsid w:val="13C61F3E"/>
    <w:rsid w:val="13CA4038"/>
    <w:rsid w:val="13D7327F"/>
    <w:rsid w:val="13D96C61"/>
    <w:rsid w:val="13DB2648"/>
    <w:rsid w:val="13DE2B5E"/>
    <w:rsid w:val="13E5119D"/>
    <w:rsid w:val="13E81E25"/>
    <w:rsid w:val="13EA4608"/>
    <w:rsid w:val="13EC413E"/>
    <w:rsid w:val="13EF7F67"/>
    <w:rsid w:val="13F10D42"/>
    <w:rsid w:val="13F16B2C"/>
    <w:rsid w:val="13FF6EB0"/>
    <w:rsid w:val="14042D03"/>
    <w:rsid w:val="1406383F"/>
    <w:rsid w:val="141368CD"/>
    <w:rsid w:val="143A4A57"/>
    <w:rsid w:val="143B2508"/>
    <w:rsid w:val="14414607"/>
    <w:rsid w:val="144340C2"/>
    <w:rsid w:val="144D35E7"/>
    <w:rsid w:val="14501EC8"/>
    <w:rsid w:val="14504924"/>
    <w:rsid w:val="14561AB6"/>
    <w:rsid w:val="14572A0B"/>
    <w:rsid w:val="145F5EAA"/>
    <w:rsid w:val="14637970"/>
    <w:rsid w:val="14686127"/>
    <w:rsid w:val="14782E53"/>
    <w:rsid w:val="14837F0D"/>
    <w:rsid w:val="148B0B2E"/>
    <w:rsid w:val="148F44AC"/>
    <w:rsid w:val="14987441"/>
    <w:rsid w:val="149B65EF"/>
    <w:rsid w:val="149D1F01"/>
    <w:rsid w:val="149F21C9"/>
    <w:rsid w:val="14A14F11"/>
    <w:rsid w:val="14A35C4A"/>
    <w:rsid w:val="14A93F2A"/>
    <w:rsid w:val="14AB3BA2"/>
    <w:rsid w:val="14B77DF9"/>
    <w:rsid w:val="14C14677"/>
    <w:rsid w:val="14C165F7"/>
    <w:rsid w:val="14C751CC"/>
    <w:rsid w:val="14C76C35"/>
    <w:rsid w:val="14D15958"/>
    <w:rsid w:val="14D236D1"/>
    <w:rsid w:val="14D313CD"/>
    <w:rsid w:val="14DF5404"/>
    <w:rsid w:val="14DF5A3D"/>
    <w:rsid w:val="14E74A0B"/>
    <w:rsid w:val="14E954AC"/>
    <w:rsid w:val="14EA2680"/>
    <w:rsid w:val="14EB42D0"/>
    <w:rsid w:val="14EC61A5"/>
    <w:rsid w:val="14EE59D8"/>
    <w:rsid w:val="14F37519"/>
    <w:rsid w:val="14F50B48"/>
    <w:rsid w:val="14F64FC2"/>
    <w:rsid w:val="14F749DD"/>
    <w:rsid w:val="14F94011"/>
    <w:rsid w:val="14F95658"/>
    <w:rsid w:val="14FA129D"/>
    <w:rsid w:val="14FC2F9C"/>
    <w:rsid w:val="14FD5BF0"/>
    <w:rsid w:val="15020A5B"/>
    <w:rsid w:val="15092350"/>
    <w:rsid w:val="150E26CF"/>
    <w:rsid w:val="150F3B51"/>
    <w:rsid w:val="151B2FE1"/>
    <w:rsid w:val="151B5FC1"/>
    <w:rsid w:val="1522169B"/>
    <w:rsid w:val="152976D9"/>
    <w:rsid w:val="152E46EC"/>
    <w:rsid w:val="15303CC4"/>
    <w:rsid w:val="15343815"/>
    <w:rsid w:val="153D22FB"/>
    <w:rsid w:val="154017EE"/>
    <w:rsid w:val="15401F66"/>
    <w:rsid w:val="15414819"/>
    <w:rsid w:val="15470732"/>
    <w:rsid w:val="154958DD"/>
    <w:rsid w:val="1549749B"/>
    <w:rsid w:val="15541DC4"/>
    <w:rsid w:val="155540D9"/>
    <w:rsid w:val="155822B5"/>
    <w:rsid w:val="155B5ABE"/>
    <w:rsid w:val="15635CB0"/>
    <w:rsid w:val="15650110"/>
    <w:rsid w:val="15651FAF"/>
    <w:rsid w:val="15674931"/>
    <w:rsid w:val="156C4F80"/>
    <w:rsid w:val="156E2BC6"/>
    <w:rsid w:val="15703B73"/>
    <w:rsid w:val="15725C67"/>
    <w:rsid w:val="15751BD8"/>
    <w:rsid w:val="1576648C"/>
    <w:rsid w:val="15781BB9"/>
    <w:rsid w:val="157D310A"/>
    <w:rsid w:val="15840E9B"/>
    <w:rsid w:val="15877CB1"/>
    <w:rsid w:val="15956119"/>
    <w:rsid w:val="15984B52"/>
    <w:rsid w:val="159B43F8"/>
    <w:rsid w:val="15A03371"/>
    <w:rsid w:val="15A607B3"/>
    <w:rsid w:val="15B025F5"/>
    <w:rsid w:val="15B4322A"/>
    <w:rsid w:val="15B45B7E"/>
    <w:rsid w:val="15BE017E"/>
    <w:rsid w:val="15BE1E92"/>
    <w:rsid w:val="15BE749A"/>
    <w:rsid w:val="15C10F40"/>
    <w:rsid w:val="15C1656B"/>
    <w:rsid w:val="15C3505A"/>
    <w:rsid w:val="15C6785D"/>
    <w:rsid w:val="15C948D1"/>
    <w:rsid w:val="15CC1FAA"/>
    <w:rsid w:val="15D1376B"/>
    <w:rsid w:val="15D41A7F"/>
    <w:rsid w:val="15D85C3F"/>
    <w:rsid w:val="15DA4CEB"/>
    <w:rsid w:val="15DA5F74"/>
    <w:rsid w:val="15DB0905"/>
    <w:rsid w:val="15E4393D"/>
    <w:rsid w:val="15EC0760"/>
    <w:rsid w:val="15EC64AF"/>
    <w:rsid w:val="15EE2E79"/>
    <w:rsid w:val="15F16CB3"/>
    <w:rsid w:val="15F201BA"/>
    <w:rsid w:val="15F84D37"/>
    <w:rsid w:val="15F9016D"/>
    <w:rsid w:val="15FA6A1B"/>
    <w:rsid w:val="16002BBE"/>
    <w:rsid w:val="16054919"/>
    <w:rsid w:val="160972B3"/>
    <w:rsid w:val="160A32D7"/>
    <w:rsid w:val="160D6AE6"/>
    <w:rsid w:val="160E00FF"/>
    <w:rsid w:val="16190893"/>
    <w:rsid w:val="16191B44"/>
    <w:rsid w:val="1619676F"/>
    <w:rsid w:val="161D4CBA"/>
    <w:rsid w:val="16203070"/>
    <w:rsid w:val="16272AB5"/>
    <w:rsid w:val="162B0553"/>
    <w:rsid w:val="162C7CCA"/>
    <w:rsid w:val="16306448"/>
    <w:rsid w:val="16343D9B"/>
    <w:rsid w:val="164442C6"/>
    <w:rsid w:val="16520219"/>
    <w:rsid w:val="16542E73"/>
    <w:rsid w:val="165A55D9"/>
    <w:rsid w:val="165D6E99"/>
    <w:rsid w:val="1661645F"/>
    <w:rsid w:val="1663494A"/>
    <w:rsid w:val="16676976"/>
    <w:rsid w:val="16686F5A"/>
    <w:rsid w:val="1671746E"/>
    <w:rsid w:val="16761367"/>
    <w:rsid w:val="167E4AA6"/>
    <w:rsid w:val="168038D8"/>
    <w:rsid w:val="1684053D"/>
    <w:rsid w:val="168A4068"/>
    <w:rsid w:val="16957084"/>
    <w:rsid w:val="169827A7"/>
    <w:rsid w:val="1699250D"/>
    <w:rsid w:val="169C72A2"/>
    <w:rsid w:val="169E204C"/>
    <w:rsid w:val="16A01C84"/>
    <w:rsid w:val="16A25DAD"/>
    <w:rsid w:val="16AC4891"/>
    <w:rsid w:val="16AF351C"/>
    <w:rsid w:val="16B02D39"/>
    <w:rsid w:val="16B1165D"/>
    <w:rsid w:val="16B12511"/>
    <w:rsid w:val="16B454DE"/>
    <w:rsid w:val="16B85BC2"/>
    <w:rsid w:val="16BA1F3A"/>
    <w:rsid w:val="16BE73CC"/>
    <w:rsid w:val="16C05DCD"/>
    <w:rsid w:val="16C230C3"/>
    <w:rsid w:val="16C53D09"/>
    <w:rsid w:val="16C60AE4"/>
    <w:rsid w:val="16C667EB"/>
    <w:rsid w:val="16C86EFC"/>
    <w:rsid w:val="16CD4493"/>
    <w:rsid w:val="16D5442C"/>
    <w:rsid w:val="16DC129C"/>
    <w:rsid w:val="16DF2B59"/>
    <w:rsid w:val="16E2279C"/>
    <w:rsid w:val="16E27998"/>
    <w:rsid w:val="16E57EB6"/>
    <w:rsid w:val="16F374A3"/>
    <w:rsid w:val="16F57005"/>
    <w:rsid w:val="16FF44BD"/>
    <w:rsid w:val="170C0C78"/>
    <w:rsid w:val="170C24EB"/>
    <w:rsid w:val="1710405E"/>
    <w:rsid w:val="1712334C"/>
    <w:rsid w:val="17137B51"/>
    <w:rsid w:val="171D0C01"/>
    <w:rsid w:val="171D4A11"/>
    <w:rsid w:val="17214B9A"/>
    <w:rsid w:val="172238C3"/>
    <w:rsid w:val="17224404"/>
    <w:rsid w:val="17260C10"/>
    <w:rsid w:val="172D1D14"/>
    <w:rsid w:val="173C1D5F"/>
    <w:rsid w:val="17430975"/>
    <w:rsid w:val="17433A4F"/>
    <w:rsid w:val="174D5371"/>
    <w:rsid w:val="175C1F8A"/>
    <w:rsid w:val="175C6196"/>
    <w:rsid w:val="177E3831"/>
    <w:rsid w:val="17807603"/>
    <w:rsid w:val="178226ED"/>
    <w:rsid w:val="17857FC2"/>
    <w:rsid w:val="178A0FA3"/>
    <w:rsid w:val="1796017D"/>
    <w:rsid w:val="179A6DCC"/>
    <w:rsid w:val="17A24D66"/>
    <w:rsid w:val="17A464ED"/>
    <w:rsid w:val="17A8577E"/>
    <w:rsid w:val="17AE2C7B"/>
    <w:rsid w:val="17B03CEF"/>
    <w:rsid w:val="17B15504"/>
    <w:rsid w:val="17B30D63"/>
    <w:rsid w:val="17B4603B"/>
    <w:rsid w:val="17B70C9F"/>
    <w:rsid w:val="17B905E5"/>
    <w:rsid w:val="17BD1AA4"/>
    <w:rsid w:val="17C2182E"/>
    <w:rsid w:val="17CA4BB8"/>
    <w:rsid w:val="17CC5A90"/>
    <w:rsid w:val="17D65201"/>
    <w:rsid w:val="17DF664B"/>
    <w:rsid w:val="17E0228F"/>
    <w:rsid w:val="17E1064B"/>
    <w:rsid w:val="17E11A44"/>
    <w:rsid w:val="17E35343"/>
    <w:rsid w:val="17E93A4B"/>
    <w:rsid w:val="17EF4380"/>
    <w:rsid w:val="17FA4AA1"/>
    <w:rsid w:val="18023CC8"/>
    <w:rsid w:val="18032937"/>
    <w:rsid w:val="180914D9"/>
    <w:rsid w:val="180E25A4"/>
    <w:rsid w:val="180E6347"/>
    <w:rsid w:val="181115AF"/>
    <w:rsid w:val="18121DAB"/>
    <w:rsid w:val="181639AA"/>
    <w:rsid w:val="182716F8"/>
    <w:rsid w:val="1830369E"/>
    <w:rsid w:val="18537A2E"/>
    <w:rsid w:val="185566D6"/>
    <w:rsid w:val="18585BDA"/>
    <w:rsid w:val="185C7540"/>
    <w:rsid w:val="1862528D"/>
    <w:rsid w:val="1863481B"/>
    <w:rsid w:val="186A25B2"/>
    <w:rsid w:val="186F2F08"/>
    <w:rsid w:val="18725B1A"/>
    <w:rsid w:val="18787364"/>
    <w:rsid w:val="18801D6E"/>
    <w:rsid w:val="18820C52"/>
    <w:rsid w:val="188219C7"/>
    <w:rsid w:val="188713BB"/>
    <w:rsid w:val="188B0713"/>
    <w:rsid w:val="1895379E"/>
    <w:rsid w:val="18994E3C"/>
    <w:rsid w:val="189A376A"/>
    <w:rsid w:val="189A5FAF"/>
    <w:rsid w:val="189D0C64"/>
    <w:rsid w:val="18B239DA"/>
    <w:rsid w:val="18B3303A"/>
    <w:rsid w:val="18B8266F"/>
    <w:rsid w:val="18BB638E"/>
    <w:rsid w:val="18C11500"/>
    <w:rsid w:val="18C92EDB"/>
    <w:rsid w:val="18CA6B45"/>
    <w:rsid w:val="18CE0F1C"/>
    <w:rsid w:val="18E15FE2"/>
    <w:rsid w:val="18E4141F"/>
    <w:rsid w:val="18EA01A2"/>
    <w:rsid w:val="18ED286F"/>
    <w:rsid w:val="18F0155C"/>
    <w:rsid w:val="18F15F40"/>
    <w:rsid w:val="18FB692D"/>
    <w:rsid w:val="19001342"/>
    <w:rsid w:val="19042AA1"/>
    <w:rsid w:val="19045272"/>
    <w:rsid w:val="190D2362"/>
    <w:rsid w:val="190D4965"/>
    <w:rsid w:val="191D26A1"/>
    <w:rsid w:val="191D3C2B"/>
    <w:rsid w:val="19214BAA"/>
    <w:rsid w:val="192849C4"/>
    <w:rsid w:val="192853B2"/>
    <w:rsid w:val="19285706"/>
    <w:rsid w:val="192A3C09"/>
    <w:rsid w:val="192A7A4B"/>
    <w:rsid w:val="192B2539"/>
    <w:rsid w:val="192D2E01"/>
    <w:rsid w:val="192D7DC9"/>
    <w:rsid w:val="192F678F"/>
    <w:rsid w:val="193D1916"/>
    <w:rsid w:val="193F3FD6"/>
    <w:rsid w:val="19433727"/>
    <w:rsid w:val="19495976"/>
    <w:rsid w:val="195B724B"/>
    <w:rsid w:val="195D241C"/>
    <w:rsid w:val="195E2CFE"/>
    <w:rsid w:val="196157AA"/>
    <w:rsid w:val="19622886"/>
    <w:rsid w:val="19660321"/>
    <w:rsid w:val="19670C82"/>
    <w:rsid w:val="196E7BF6"/>
    <w:rsid w:val="1970145D"/>
    <w:rsid w:val="19725674"/>
    <w:rsid w:val="1976064B"/>
    <w:rsid w:val="197A4E87"/>
    <w:rsid w:val="197F2C3D"/>
    <w:rsid w:val="197F6C93"/>
    <w:rsid w:val="19805192"/>
    <w:rsid w:val="19831A9D"/>
    <w:rsid w:val="198B0054"/>
    <w:rsid w:val="198B327D"/>
    <w:rsid w:val="199515AB"/>
    <w:rsid w:val="199750BE"/>
    <w:rsid w:val="199A726B"/>
    <w:rsid w:val="199B6CF0"/>
    <w:rsid w:val="19A145D9"/>
    <w:rsid w:val="19A66B1B"/>
    <w:rsid w:val="19A8018E"/>
    <w:rsid w:val="19A9097A"/>
    <w:rsid w:val="19AF2AD1"/>
    <w:rsid w:val="19B25D96"/>
    <w:rsid w:val="19B26E85"/>
    <w:rsid w:val="19CB02B2"/>
    <w:rsid w:val="19D45462"/>
    <w:rsid w:val="19D561C4"/>
    <w:rsid w:val="19D76DCA"/>
    <w:rsid w:val="19E36FE1"/>
    <w:rsid w:val="19E469BA"/>
    <w:rsid w:val="19E50165"/>
    <w:rsid w:val="19E55041"/>
    <w:rsid w:val="19E70886"/>
    <w:rsid w:val="19E97E69"/>
    <w:rsid w:val="19ED0C22"/>
    <w:rsid w:val="19F236DA"/>
    <w:rsid w:val="19FC2099"/>
    <w:rsid w:val="19FF7B96"/>
    <w:rsid w:val="1A110037"/>
    <w:rsid w:val="1A11021F"/>
    <w:rsid w:val="1A1E66D5"/>
    <w:rsid w:val="1A24159E"/>
    <w:rsid w:val="1A266F44"/>
    <w:rsid w:val="1A2B0D7F"/>
    <w:rsid w:val="1A384988"/>
    <w:rsid w:val="1A41721A"/>
    <w:rsid w:val="1A497DDC"/>
    <w:rsid w:val="1A4B1F2C"/>
    <w:rsid w:val="1A540D02"/>
    <w:rsid w:val="1A540EB8"/>
    <w:rsid w:val="1A56309F"/>
    <w:rsid w:val="1A57272B"/>
    <w:rsid w:val="1A65276A"/>
    <w:rsid w:val="1A6753BE"/>
    <w:rsid w:val="1A6C3C8F"/>
    <w:rsid w:val="1A6D23E2"/>
    <w:rsid w:val="1A803DC0"/>
    <w:rsid w:val="1A8A19E1"/>
    <w:rsid w:val="1A8B60E3"/>
    <w:rsid w:val="1A9006ED"/>
    <w:rsid w:val="1A9138B1"/>
    <w:rsid w:val="1A915894"/>
    <w:rsid w:val="1A9324FB"/>
    <w:rsid w:val="1AAE49F3"/>
    <w:rsid w:val="1AB00580"/>
    <w:rsid w:val="1AB070BE"/>
    <w:rsid w:val="1AB3758A"/>
    <w:rsid w:val="1AB565E9"/>
    <w:rsid w:val="1ABB76D3"/>
    <w:rsid w:val="1ABF7075"/>
    <w:rsid w:val="1AC53BDB"/>
    <w:rsid w:val="1AC76B85"/>
    <w:rsid w:val="1AC83365"/>
    <w:rsid w:val="1ACB1474"/>
    <w:rsid w:val="1AD22D54"/>
    <w:rsid w:val="1AD36AAB"/>
    <w:rsid w:val="1ADE2167"/>
    <w:rsid w:val="1ADF59DD"/>
    <w:rsid w:val="1AE6483D"/>
    <w:rsid w:val="1AEA30A6"/>
    <w:rsid w:val="1AEC27A8"/>
    <w:rsid w:val="1AEC2AB7"/>
    <w:rsid w:val="1AFF7BE8"/>
    <w:rsid w:val="1B024AE8"/>
    <w:rsid w:val="1B032937"/>
    <w:rsid w:val="1B042383"/>
    <w:rsid w:val="1B074C53"/>
    <w:rsid w:val="1B077800"/>
    <w:rsid w:val="1B0A2768"/>
    <w:rsid w:val="1B1A0B8A"/>
    <w:rsid w:val="1B1F0992"/>
    <w:rsid w:val="1B21615F"/>
    <w:rsid w:val="1B225663"/>
    <w:rsid w:val="1B2A42F6"/>
    <w:rsid w:val="1B2C0FB3"/>
    <w:rsid w:val="1B313612"/>
    <w:rsid w:val="1B366D8E"/>
    <w:rsid w:val="1B4F3500"/>
    <w:rsid w:val="1B5A1C25"/>
    <w:rsid w:val="1B5B5902"/>
    <w:rsid w:val="1B612E9C"/>
    <w:rsid w:val="1B6C5CE6"/>
    <w:rsid w:val="1B6E77A6"/>
    <w:rsid w:val="1B6F5807"/>
    <w:rsid w:val="1B7370CE"/>
    <w:rsid w:val="1B76393D"/>
    <w:rsid w:val="1B7B4F20"/>
    <w:rsid w:val="1B7D7803"/>
    <w:rsid w:val="1B862C12"/>
    <w:rsid w:val="1B874086"/>
    <w:rsid w:val="1B87491D"/>
    <w:rsid w:val="1B8804F1"/>
    <w:rsid w:val="1B896565"/>
    <w:rsid w:val="1B8A2EE7"/>
    <w:rsid w:val="1B8A725A"/>
    <w:rsid w:val="1B8B7338"/>
    <w:rsid w:val="1B8C7B14"/>
    <w:rsid w:val="1B8F02B1"/>
    <w:rsid w:val="1B975549"/>
    <w:rsid w:val="1B9E29BA"/>
    <w:rsid w:val="1BAA291A"/>
    <w:rsid w:val="1BAD605E"/>
    <w:rsid w:val="1BB009F8"/>
    <w:rsid w:val="1BC443E3"/>
    <w:rsid w:val="1BCC2EF9"/>
    <w:rsid w:val="1BD84576"/>
    <w:rsid w:val="1BD86D92"/>
    <w:rsid w:val="1BE007B8"/>
    <w:rsid w:val="1BE821B2"/>
    <w:rsid w:val="1BED352A"/>
    <w:rsid w:val="1BF03AF8"/>
    <w:rsid w:val="1BF66410"/>
    <w:rsid w:val="1BF855E0"/>
    <w:rsid w:val="1BFB1B9E"/>
    <w:rsid w:val="1BFF3320"/>
    <w:rsid w:val="1C03046A"/>
    <w:rsid w:val="1C08238C"/>
    <w:rsid w:val="1C0D0264"/>
    <w:rsid w:val="1C0E2AC5"/>
    <w:rsid w:val="1C113F85"/>
    <w:rsid w:val="1C124FA1"/>
    <w:rsid w:val="1C163CB0"/>
    <w:rsid w:val="1C167294"/>
    <w:rsid w:val="1C17601C"/>
    <w:rsid w:val="1C210C04"/>
    <w:rsid w:val="1C225B7D"/>
    <w:rsid w:val="1C23587A"/>
    <w:rsid w:val="1C265E97"/>
    <w:rsid w:val="1C2A5A80"/>
    <w:rsid w:val="1C2A7AEE"/>
    <w:rsid w:val="1C313D21"/>
    <w:rsid w:val="1C335169"/>
    <w:rsid w:val="1C355CB2"/>
    <w:rsid w:val="1C3B074E"/>
    <w:rsid w:val="1C3C14D0"/>
    <w:rsid w:val="1C460D76"/>
    <w:rsid w:val="1C491AC8"/>
    <w:rsid w:val="1C535AC7"/>
    <w:rsid w:val="1C575418"/>
    <w:rsid w:val="1C5870FD"/>
    <w:rsid w:val="1C697D35"/>
    <w:rsid w:val="1C6C15EE"/>
    <w:rsid w:val="1C737AC2"/>
    <w:rsid w:val="1C7906DC"/>
    <w:rsid w:val="1C791682"/>
    <w:rsid w:val="1C804260"/>
    <w:rsid w:val="1C807FAA"/>
    <w:rsid w:val="1C8E40EC"/>
    <w:rsid w:val="1C934C75"/>
    <w:rsid w:val="1C9805B1"/>
    <w:rsid w:val="1CA62574"/>
    <w:rsid w:val="1CAC1837"/>
    <w:rsid w:val="1CB342B5"/>
    <w:rsid w:val="1CB47BB5"/>
    <w:rsid w:val="1CB51A2F"/>
    <w:rsid w:val="1CBC1CF5"/>
    <w:rsid w:val="1CBF0DC0"/>
    <w:rsid w:val="1CBF3899"/>
    <w:rsid w:val="1CBF38DF"/>
    <w:rsid w:val="1CC02F80"/>
    <w:rsid w:val="1CC15065"/>
    <w:rsid w:val="1CC52F88"/>
    <w:rsid w:val="1CCB2FE8"/>
    <w:rsid w:val="1CCD5815"/>
    <w:rsid w:val="1CD161E0"/>
    <w:rsid w:val="1CD30B0D"/>
    <w:rsid w:val="1CD71345"/>
    <w:rsid w:val="1CDA6CBF"/>
    <w:rsid w:val="1CF01D82"/>
    <w:rsid w:val="1CF065D2"/>
    <w:rsid w:val="1CFA0536"/>
    <w:rsid w:val="1CFA2B84"/>
    <w:rsid w:val="1CFC04DC"/>
    <w:rsid w:val="1CFF2578"/>
    <w:rsid w:val="1CFF575D"/>
    <w:rsid w:val="1D023BE8"/>
    <w:rsid w:val="1D0414FE"/>
    <w:rsid w:val="1D0B033C"/>
    <w:rsid w:val="1D0C7697"/>
    <w:rsid w:val="1D0F4A23"/>
    <w:rsid w:val="1D1172D4"/>
    <w:rsid w:val="1D12570D"/>
    <w:rsid w:val="1D174052"/>
    <w:rsid w:val="1D181A1D"/>
    <w:rsid w:val="1D1909D3"/>
    <w:rsid w:val="1D192B87"/>
    <w:rsid w:val="1D195F08"/>
    <w:rsid w:val="1D1F7811"/>
    <w:rsid w:val="1D2225F5"/>
    <w:rsid w:val="1D2662C6"/>
    <w:rsid w:val="1D36444B"/>
    <w:rsid w:val="1D365039"/>
    <w:rsid w:val="1D36562F"/>
    <w:rsid w:val="1D4030B2"/>
    <w:rsid w:val="1D4201E6"/>
    <w:rsid w:val="1D42257B"/>
    <w:rsid w:val="1D423F7C"/>
    <w:rsid w:val="1D483C7A"/>
    <w:rsid w:val="1D4B1372"/>
    <w:rsid w:val="1D544695"/>
    <w:rsid w:val="1D593750"/>
    <w:rsid w:val="1D5C477B"/>
    <w:rsid w:val="1D5D4022"/>
    <w:rsid w:val="1D642921"/>
    <w:rsid w:val="1D6518AB"/>
    <w:rsid w:val="1D6962E9"/>
    <w:rsid w:val="1D6A08BB"/>
    <w:rsid w:val="1D6B26FB"/>
    <w:rsid w:val="1D6D0250"/>
    <w:rsid w:val="1D6E5AA0"/>
    <w:rsid w:val="1D7205EA"/>
    <w:rsid w:val="1D7428D9"/>
    <w:rsid w:val="1D7637CE"/>
    <w:rsid w:val="1D7A79F6"/>
    <w:rsid w:val="1D7C0AD4"/>
    <w:rsid w:val="1D7E122E"/>
    <w:rsid w:val="1D7F334E"/>
    <w:rsid w:val="1D8B323F"/>
    <w:rsid w:val="1D8B391E"/>
    <w:rsid w:val="1D8E3B29"/>
    <w:rsid w:val="1D95278C"/>
    <w:rsid w:val="1D9647A9"/>
    <w:rsid w:val="1D965B7D"/>
    <w:rsid w:val="1D965C81"/>
    <w:rsid w:val="1D9C4057"/>
    <w:rsid w:val="1DA246F9"/>
    <w:rsid w:val="1DA25F66"/>
    <w:rsid w:val="1DAB3BB5"/>
    <w:rsid w:val="1DAB5778"/>
    <w:rsid w:val="1DAB6D61"/>
    <w:rsid w:val="1DB10D43"/>
    <w:rsid w:val="1DB25626"/>
    <w:rsid w:val="1DB6028E"/>
    <w:rsid w:val="1DC02273"/>
    <w:rsid w:val="1DC02D64"/>
    <w:rsid w:val="1DC21ADC"/>
    <w:rsid w:val="1DC35F95"/>
    <w:rsid w:val="1DCB64F3"/>
    <w:rsid w:val="1DCD6E00"/>
    <w:rsid w:val="1DDA29F6"/>
    <w:rsid w:val="1DDF68C7"/>
    <w:rsid w:val="1DE14AF0"/>
    <w:rsid w:val="1DE520A2"/>
    <w:rsid w:val="1DE52570"/>
    <w:rsid w:val="1DE55CC5"/>
    <w:rsid w:val="1DE9634C"/>
    <w:rsid w:val="1DEB4978"/>
    <w:rsid w:val="1DEC53E4"/>
    <w:rsid w:val="1DF45E7E"/>
    <w:rsid w:val="1DFD4CE7"/>
    <w:rsid w:val="1DFF7196"/>
    <w:rsid w:val="1E0D39A9"/>
    <w:rsid w:val="1E0E4427"/>
    <w:rsid w:val="1E0E602C"/>
    <w:rsid w:val="1E153F29"/>
    <w:rsid w:val="1E1A54CA"/>
    <w:rsid w:val="1E24022B"/>
    <w:rsid w:val="1E255631"/>
    <w:rsid w:val="1E264EF9"/>
    <w:rsid w:val="1E320F55"/>
    <w:rsid w:val="1E3648DD"/>
    <w:rsid w:val="1E3D1553"/>
    <w:rsid w:val="1E3D2B9D"/>
    <w:rsid w:val="1E3D7B5F"/>
    <w:rsid w:val="1E433628"/>
    <w:rsid w:val="1E464483"/>
    <w:rsid w:val="1E4931AE"/>
    <w:rsid w:val="1E520444"/>
    <w:rsid w:val="1E543856"/>
    <w:rsid w:val="1E564599"/>
    <w:rsid w:val="1E596251"/>
    <w:rsid w:val="1E596B3B"/>
    <w:rsid w:val="1E5E7D9F"/>
    <w:rsid w:val="1E6804D9"/>
    <w:rsid w:val="1E6C47BD"/>
    <w:rsid w:val="1E725DF9"/>
    <w:rsid w:val="1E73464E"/>
    <w:rsid w:val="1E754307"/>
    <w:rsid w:val="1E7B6C00"/>
    <w:rsid w:val="1E7D3EEC"/>
    <w:rsid w:val="1E81077D"/>
    <w:rsid w:val="1E92677A"/>
    <w:rsid w:val="1E9F21B0"/>
    <w:rsid w:val="1EA23D8A"/>
    <w:rsid w:val="1EAC1322"/>
    <w:rsid w:val="1EAD1E5E"/>
    <w:rsid w:val="1EB46108"/>
    <w:rsid w:val="1EB935CA"/>
    <w:rsid w:val="1EC769F4"/>
    <w:rsid w:val="1EC82B7E"/>
    <w:rsid w:val="1EC83D38"/>
    <w:rsid w:val="1EDB6060"/>
    <w:rsid w:val="1EDB7072"/>
    <w:rsid w:val="1EDC7A23"/>
    <w:rsid w:val="1EDD1149"/>
    <w:rsid w:val="1EDD515F"/>
    <w:rsid w:val="1EDF724B"/>
    <w:rsid w:val="1EE4639C"/>
    <w:rsid w:val="1EE65621"/>
    <w:rsid w:val="1EE75C3D"/>
    <w:rsid w:val="1EEA0131"/>
    <w:rsid w:val="1EF4439D"/>
    <w:rsid w:val="1F08757B"/>
    <w:rsid w:val="1F0B0DD1"/>
    <w:rsid w:val="1F0C3590"/>
    <w:rsid w:val="1F0F570E"/>
    <w:rsid w:val="1F1361AC"/>
    <w:rsid w:val="1F1722C0"/>
    <w:rsid w:val="1F2533DC"/>
    <w:rsid w:val="1F273BD3"/>
    <w:rsid w:val="1F2746AC"/>
    <w:rsid w:val="1F2A16D4"/>
    <w:rsid w:val="1F2B2977"/>
    <w:rsid w:val="1F2F3850"/>
    <w:rsid w:val="1F3E4460"/>
    <w:rsid w:val="1F45673E"/>
    <w:rsid w:val="1F477A26"/>
    <w:rsid w:val="1F48574A"/>
    <w:rsid w:val="1F494AEC"/>
    <w:rsid w:val="1F4C0312"/>
    <w:rsid w:val="1F542829"/>
    <w:rsid w:val="1F547E0A"/>
    <w:rsid w:val="1F5559F0"/>
    <w:rsid w:val="1F560EE2"/>
    <w:rsid w:val="1F5A6ACF"/>
    <w:rsid w:val="1F6000C8"/>
    <w:rsid w:val="1F600657"/>
    <w:rsid w:val="1F622314"/>
    <w:rsid w:val="1F623153"/>
    <w:rsid w:val="1F65559F"/>
    <w:rsid w:val="1F7146EB"/>
    <w:rsid w:val="1F7509DD"/>
    <w:rsid w:val="1F752D80"/>
    <w:rsid w:val="1F756CFB"/>
    <w:rsid w:val="1F764BF4"/>
    <w:rsid w:val="1F7E18DE"/>
    <w:rsid w:val="1F802885"/>
    <w:rsid w:val="1F850131"/>
    <w:rsid w:val="1F864942"/>
    <w:rsid w:val="1F902CCF"/>
    <w:rsid w:val="1F9F0C26"/>
    <w:rsid w:val="1FA14B02"/>
    <w:rsid w:val="1FAC0799"/>
    <w:rsid w:val="1FAC5E64"/>
    <w:rsid w:val="1FB16982"/>
    <w:rsid w:val="1FB621BF"/>
    <w:rsid w:val="1FB637BF"/>
    <w:rsid w:val="1FB83F9B"/>
    <w:rsid w:val="1FB96063"/>
    <w:rsid w:val="1FBB24C9"/>
    <w:rsid w:val="1FBF5A5A"/>
    <w:rsid w:val="1FBF64BA"/>
    <w:rsid w:val="1FC00712"/>
    <w:rsid w:val="1FC43FB2"/>
    <w:rsid w:val="1FCA390D"/>
    <w:rsid w:val="1FD53DF3"/>
    <w:rsid w:val="1FD97022"/>
    <w:rsid w:val="1FE06FA9"/>
    <w:rsid w:val="1FE82186"/>
    <w:rsid w:val="1FF11C5F"/>
    <w:rsid w:val="1FF50E95"/>
    <w:rsid w:val="1FF5306D"/>
    <w:rsid w:val="1FFA34AB"/>
    <w:rsid w:val="1FFD57C3"/>
    <w:rsid w:val="20000899"/>
    <w:rsid w:val="2000638C"/>
    <w:rsid w:val="2003239D"/>
    <w:rsid w:val="2010196D"/>
    <w:rsid w:val="201363C2"/>
    <w:rsid w:val="201E227C"/>
    <w:rsid w:val="20202787"/>
    <w:rsid w:val="20272E52"/>
    <w:rsid w:val="202863AA"/>
    <w:rsid w:val="202B4FC6"/>
    <w:rsid w:val="202D4BE2"/>
    <w:rsid w:val="20316566"/>
    <w:rsid w:val="203775CF"/>
    <w:rsid w:val="203D5D3C"/>
    <w:rsid w:val="203E3454"/>
    <w:rsid w:val="20437C00"/>
    <w:rsid w:val="20490852"/>
    <w:rsid w:val="204A38D8"/>
    <w:rsid w:val="205164A3"/>
    <w:rsid w:val="2058271A"/>
    <w:rsid w:val="205A1D9F"/>
    <w:rsid w:val="20604277"/>
    <w:rsid w:val="206468FD"/>
    <w:rsid w:val="206512CC"/>
    <w:rsid w:val="20761F1A"/>
    <w:rsid w:val="20767223"/>
    <w:rsid w:val="207807DE"/>
    <w:rsid w:val="207C6A40"/>
    <w:rsid w:val="207F7BF3"/>
    <w:rsid w:val="2080774D"/>
    <w:rsid w:val="20847B62"/>
    <w:rsid w:val="208B0701"/>
    <w:rsid w:val="2098732B"/>
    <w:rsid w:val="20AA371D"/>
    <w:rsid w:val="20AA37C8"/>
    <w:rsid w:val="20AB1830"/>
    <w:rsid w:val="20AD1CEE"/>
    <w:rsid w:val="20AD4F99"/>
    <w:rsid w:val="20B03E5F"/>
    <w:rsid w:val="20BA02E6"/>
    <w:rsid w:val="20BE64AB"/>
    <w:rsid w:val="20C964B9"/>
    <w:rsid w:val="20CC30DF"/>
    <w:rsid w:val="20D16EE6"/>
    <w:rsid w:val="20D2605D"/>
    <w:rsid w:val="20D749D3"/>
    <w:rsid w:val="20D8799B"/>
    <w:rsid w:val="20DF03CD"/>
    <w:rsid w:val="20E85CC2"/>
    <w:rsid w:val="20E87977"/>
    <w:rsid w:val="20EC142E"/>
    <w:rsid w:val="20EC5211"/>
    <w:rsid w:val="20EF249E"/>
    <w:rsid w:val="20FA6C30"/>
    <w:rsid w:val="20FA746F"/>
    <w:rsid w:val="20FC12FC"/>
    <w:rsid w:val="210032AA"/>
    <w:rsid w:val="2106497B"/>
    <w:rsid w:val="21087672"/>
    <w:rsid w:val="211967C6"/>
    <w:rsid w:val="211A21AA"/>
    <w:rsid w:val="211A5E8A"/>
    <w:rsid w:val="211C2D39"/>
    <w:rsid w:val="2125514D"/>
    <w:rsid w:val="21266283"/>
    <w:rsid w:val="21287DFE"/>
    <w:rsid w:val="212B0714"/>
    <w:rsid w:val="2131232C"/>
    <w:rsid w:val="21401BF8"/>
    <w:rsid w:val="214C052E"/>
    <w:rsid w:val="214C0DD3"/>
    <w:rsid w:val="214C4AD6"/>
    <w:rsid w:val="214C4E73"/>
    <w:rsid w:val="21526E93"/>
    <w:rsid w:val="215669AD"/>
    <w:rsid w:val="21572D85"/>
    <w:rsid w:val="216430F1"/>
    <w:rsid w:val="21644875"/>
    <w:rsid w:val="21675FC2"/>
    <w:rsid w:val="216D061A"/>
    <w:rsid w:val="21720BB6"/>
    <w:rsid w:val="21730B8C"/>
    <w:rsid w:val="21757B24"/>
    <w:rsid w:val="217E22D6"/>
    <w:rsid w:val="217F03ED"/>
    <w:rsid w:val="218877B6"/>
    <w:rsid w:val="21897718"/>
    <w:rsid w:val="218E752D"/>
    <w:rsid w:val="219007D9"/>
    <w:rsid w:val="21976B92"/>
    <w:rsid w:val="219A6C9D"/>
    <w:rsid w:val="219D69E4"/>
    <w:rsid w:val="21A34A03"/>
    <w:rsid w:val="21A473FF"/>
    <w:rsid w:val="21A635C1"/>
    <w:rsid w:val="21AA43F4"/>
    <w:rsid w:val="21B740AE"/>
    <w:rsid w:val="21C449F7"/>
    <w:rsid w:val="21C478C2"/>
    <w:rsid w:val="21CC60D5"/>
    <w:rsid w:val="21CF24B6"/>
    <w:rsid w:val="21D22680"/>
    <w:rsid w:val="21DE6450"/>
    <w:rsid w:val="21E01EA2"/>
    <w:rsid w:val="21E617EE"/>
    <w:rsid w:val="21E76DC1"/>
    <w:rsid w:val="21E84AEB"/>
    <w:rsid w:val="21EB5905"/>
    <w:rsid w:val="21EE3AEF"/>
    <w:rsid w:val="21EF77D2"/>
    <w:rsid w:val="21F13900"/>
    <w:rsid w:val="21F4407E"/>
    <w:rsid w:val="21F448B4"/>
    <w:rsid w:val="21F76A72"/>
    <w:rsid w:val="22006631"/>
    <w:rsid w:val="2201123B"/>
    <w:rsid w:val="220270B9"/>
    <w:rsid w:val="2203697F"/>
    <w:rsid w:val="220D0117"/>
    <w:rsid w:val="220D084C"/>
    <w:rsid w:val="220E18FA"/>
    <w:rsid w:val="221367BB"/>
    <w:rsid w:val="2216359F"/>
    <w:rsid w:val="22166A25"/>
    <w:rsid w:val="221B06F3"/>
    <w:rsid w:val="221E20AA"/>
    <w:rsid w:val="221E4C63"/>
    <w:rsid w:val="222216D6"/>
    <w:rsid w:val="222B7F1B"/>
    <w:rsid w:val="222C0132"/>
    <w:rsid w:val="223411C8"/>
    <w:rsid w:val="22342FFD"/>
    <w:rsid w:val="223707CE"/>
    <w:rsid w:val="223A34FE"/>
    <w:rsid w:val="223C75A8"/>
    <w:rsid w:val="223E76D4"/>
    <w:rsid w:val="2253269B"/>
    <w:rsid w:val="22585E50"/>
    <w:rsid w:val="22586561"/>
    <w:rsid w:val="225B101E"/>
    <w:rsid w:val="225B14EF"/>
    <w:rsid w:val="225B4FC7"/>
    <w:rsid w:val="2260381E"/>
    <w:rsid w:val="22647D12"/>
    <w:rsid w:val="226733FA"/>
    <w:rsid w:val="2271208A"/>
    <w:rsid w:val="227236D3"/>
    <w:rsid w:val="227F2A8D"/>
    <w:rsid w:val="22836853"/>
    <w:rsid w:val="228B147D"/>
    <w:rsid w:val="229613C5"/>
    <w:rsid w:val="229B47DA"/>
    <w:rsid w:val="22A22A2C"/>
    <w:rsid w:val="22AA2C82"/>
    <w:rsid w:val="22AA36D8"/>
    <w:rsid w:val="22B24E13"/>
    <w:rsid w:val="22B319B1"/>
    <w:rsid w:val="22BD3D66"/>
    <w:rsid w:val="22C407E5"/>
    <w:rsid w:val="22C64E7E"/>
    <w:rsid w:val="22C94681"/>
    <w:rsid w:val="22CC4CFB"/>
    <w:rsid w:val="22D87EDD"/>
    <w:rsid w:val="22E133DD"/>
    <w:rsid w:val="22E50B74"/>
    <w:rsid w:val="22E82A3A"/>
    <w:rsid w:val="22EA2412"/>
    <w:rsid w:val="22EC516B"/>
    <w:rsid w:val="22ED1C28"/>
    <w:rsid w:val="22EF7048"/>
    <w:rsid w:val="22F37B03"/>
    <w:rsid w:val="22FE3C07"/>
    <w:rsid w:val="22FF6450"/>
    <w:rsid w:val="23005FE2"/>
    <w:rsid w:val="230607D3"/>
    <w:rsid w:val="23162129"/>
    <w:rsid w:val="23164B84"/>
    <w:rsid w:val="231E33F1"/>
    <w:rsid w:val="23385753"/>
    <w:rsid w:val="233D74F0"/>
    <w:rsid w:val="233E4D78"/>
    <w:rsid w:val="233E6474"/>
    <w:rsid w:val="233F075E"/>
    <w:rsid w:val="233F7B7F"/>
    <w:rsid w:val="23401532"/>
    <w:rsid w:val="234642A7"/>
    <w:rsid w:val="23493E3F"/>
    <w:rsid w:val="234E136D"/>
    <w:rsid w:val="23533B6F"/>
    <w:rsid w:val="235434A2"/>
    <w:rsid w:val="235465B7"/>
    <w:rsid w:val="236115E0"/>
    <w:rsid w:val="23727A6D"/>
    <w:rsid w:val="237566A3"/>
    <w:rsid w:val="23780C50"/>
    <w:rsid w:val="237975DD"/>
    <w:rsid w:val="238223DD"/>
    <w:rsid w:val="238233F3"/>
    <w:rsid w:val="2385670E"/>
    <w:rsid w:val="23865695"/>
    <w:rsid w:val="23886C92"/>
    <w:rsid w:val="238A2026"/>
    <w:rsid w:val="23902F1F"/>
    <w:rsid w:val="23980CAE"/>
    <w:rsid w:val="23A64000"/>
    <w:rsid w:val="23A666E5"/>
    <w:rsid w:val="23A90060"/>
    <w:rsid w:val="23A97B47"/>
    <w:rsid w:val="23AF3AD5"/>
    <w:rsid w:val="23B203EB"/>
    <w:rsid w:val="23B35302"/>
    <w:rsid w:val="23B56432"/>
    <w:rsid w:val="23B62201"/>
    <w:rsid w:val="23BE2B66"/>
    <w:rsid w:val="23BF768F"/>
    <w:rsid w:val="23C00340"/>
    <w:rsid w:val="23C4027A"/>
    <w:rsid w:val="23D15A79"/>
    <w:rsid w:val="23D20A8A"/>
    <w:rsid w:val="23D359DB"/>
    <w:rsid w:val="23D44365"/>
    <w:rsid w:val="23DA4FE2"/>
    <w:rsid w:val="23DE06B9"/>
    <w:rsid w:val="23DE3E5D"/>
    <w:rsid w:val="23DF1859"/>
    <w:rsid w:val="23E26574"/>
    <w:rsid w:val="23E75B1A"/>
    <w:rsid w:val="23E82697"/>
    <w:rsid w:val="23EC05F8"/>
    <w:rsid w:val="23ED0740"/>
    <w:rsid w:val="23EE1422"/>
    <w:rsid w:val="23F30053"/>
    <w:rsid w:val="23F77382"/>
    <w:rsid w:val="24046D9F"/>
    <w:rsid w:val="24087506"/>
    <w:rsid w:val="240C5AF4"/>
    <w:rsid w:val="24134CCB"/>
    <w:rsid w:val="241774C0"/>
    <w:rsid w:val="241C7607"/>
    <w:rsid w:val="24244A3D"/>
    <w:rsid w:val="2427306B"/>
    <w:rsid w:val="24295358"/>
    <w:rsid w:val="2431530C"/>
    <w:rsid w:val="2432004C"/>
    <w:rsid w:val="24342613"/>
    <w:rsid w:val="243824A6"/>
    <w:rsid w:val="243D54AD"/>
    <w:rsid w:val="24403B50"/>
    <w:rsid w:val="24441AB7"/>
    <w:rsid w:val="24475635"/>
    <w:rsid w:val="2448663C"/>
    <w:rsid w:val="24506B22"/>
    <w:rsid w:val="245A1503"/>
    <w:rsid w:val="245B7F86"/>
    <w:rsid w:val="245C30F4"/>
    <w:rsid w:val="245C4426"/>
    <w:rsid w:val="245F46F0"/>
    <w:rsid w:val="246446D3"/>
    <w:rsid w:val="247E6CAB"/>
    <w:rsid w:val="24830A2E"/>
    <w:rsid w:val="24845FB7"/>
    <w:rsid w:val="24911874"/>
    <w:rsid w:val="249349EA"/>
    <w:rsid w:val="24940567"/>
    <w:rsid w:val="249538D9"/>
    <w:rsid w:val="249828DB"/>
    <w:rsid w:val="249E7E6C"/>
    <w:rsid w:val="24A17610"/>
    <w:rsid w:val="24AA69CB"/>
    <w:rsid w:val="24AA751B"/>
    <w:rsid w:val="24AF158E"/>
    <w:rsid w:val="24B44DF0"/>
    <w:rsid w:val="24B655E2"/>
    <w:rsid w:val="24B75D2B"/>
    <w:rsid w:val="24BA27A6"/>
    <w:rsid w:val="24BC4BE6"/>
    <w:rsid w:val="24BE0D24"/>
    <w:rsid w:val="24CC4006"/>
    <w:rsid w:val="24CD3B23"/>
    <w:rsid w:val="24D714F0"/>
    <w:rsid w:val="24DC5BCF"/>
    <w:rsid w:val="24E0272A"/>
    <w:rsid w:val="24E92F68"/>
    <w:rsid w:val="24EE5812"/>
    <w:rsid w:val="24F5370D"/>
    <w:rsid w:val="24F6023C"/>
    <w:rsid w:val="2506792D"/>
    <w:rsid w:val="250A1E13"/>
    <w:rsid w:val="250A3687"/>
    <w:rsid w:val="250B1175"/>
    <w:rsid w:val="250E17EC"/>
    <w:rsid w:val="25123371"/>
    <w:rsid w:val="251A0D2A"/>
    <w:rsid w:val="251E2393"/>
    <w:rsid w:val="251F2C3B"/>
    <w:rsid w:val="25267038"/>
    <w:rsid w:val="25281645"/>
    <w:rsid w:val="252E2733"/>
    <w:rsid w:val="25306714"/>
    <w:rsid w:val="25340C4B"/>
    <w:rsid w:val="253B6F44"/>
    <w:rsid w:val="253D08B2"/>
    <w:rsid w:val="253D6515"/>
    <w:rsid w:val="253F63C6"/>
    <w:rsid w:val="25441E33"/>
    <w:rsid w:val="25486317"/>
    <w:rsid w:val="254C7B41"/>
    <w:rsid w:val="254E0977"/>
    <w:rsid w:val="2550124F"/>
    <w:rsid w:val="2551523E"/>
    <w:rsid w:val="25577DAD"/>
    <w:rsid w:val="256121A1"/>
    <w:rsid w:val="25615D20"/>
    <w:rsid w:val="25651BB0"/>
    <w:rsid w:val="2568086B"/>
    <w:rsid w:val="256C1BA1"/>
    <w:rsid w:val="257311F7"/>
    <w:rsid w:val="257637A1"/>
    <w:rsid w:val="257D4267"/>
    <w:rsid w:val="258D72B3"/>
    <w:rsid w:val="25902284"/>
    <w:rsid w:val="259205B6"/>
    <w:rsid w:val="259A5FDC"/>
    <w:rsid w:val="259C6C83"/>
    <w:rsid w:val="259D14A6"/>
    <w:rsid w:val="25A0395D"/>
    <w:rsid w:val="25A97F93"/>
    <w:rsid w:val="25AA4721"/>
    <w:rsid w:val="25AB17E9"/>
    <w:rsid w:val="25B40984"/>
    <w:rsid w:val="25B532E4"/>
    <w:rsid w:val="25B64D8D"/>
    <w:rsid w:val="25BC5C9C"/>
    <w:rsid w:val="25C25AD6"/>
    <w:rsid w:val="25C54E6C"/>
    <w:rsid w:val="25CD43A8"/>
    <w:rsid w:val="25D16E52"/>
    <w:rsid w:val="25D719EE"/>
    <w:rsid w:val="25D96B4F"/>
    <w:rsid w:val="25DC0611"/>
    <w:rsid w:val="25F03B77"/>
    <w:rsid w:val="25F5652F"/>
    <w:rsid w:val="25F566CF"/>
    <w:rsid w:val="25F92122"/>
    <w:rsid w:val="25FA3E7A"/>
    <w:rsid w:val="25FB1658"/>
    <w:rsid w:val="25FF1C01"/>
    <w:rsid w:val="26007D4B"/>
    <w:rsid w:val="26084570"/>
    <w:rsid w:val="26124F7F"/>
    <w:rsid w:val="26196ABD"/>
    <w:rsid w:val="261D189B"/>
    <w:rsid w:val="26203CBE"/>
    <w:rsid w:val="26261C84"/>
    <w:rsid w:val="2627682C"/>
    <w:rsid w:val="26294300"/>
    <w:rsid w:val="262951AE"/>
    <w:rsid w:val="262A211B"/>
    <w:rsid w:val="262A5E30"/>
    <w:rsid w:val="263B371A"/>
    <w:rsid w:val="263B371F"/>
    <w:rsid w:val="26415D75"/>
    <w:rsid w:val="264F705A"/>
    <w:rsid w:val="265050FA"/>
    <w:rsid w:val="265B05F3"/>
    <w:rsid w:val="26653BC4"/>
    <w:rsid w:val="2668262E"/>
    <w:rsid w:val="266856C3"/>
    <w:rsid w:val="26691EFB"/>
    <w:rsid w:val="266B65AC"/>
    <w:rsid w:val="26710708"/>
    <w:rsid w:val="267258FA"/>
    <w:rsid w:val="26731DD0"/>
    <w:rsid w:val="26744DA8"/>
    <w:rsid w:val="267C7DCB"/>
    <w:rsid w:val="267E3C0A"/>
    <w:rsid w:val="26834684"/>
    <w:rsid w:val="268619D5"/>
    <w:rsid w:val="26887DD2"/>
    <w:rsid w:val="268A030F"/>
    <w:rsid w:val="268E2917"/>
    <w:rsid w:val="2691335D"/>
    <w:rsid w:val="269A42B8"/>
    <w:rsid w:val="269C0A8A"/>
    <w:rsid w:val="269D3320"/>
    <w:rsid w:val="269D7934"/>
    <w:rsid w:val="26A24E7C"/>
    <w:rsid w:val="26B033D6"/>
    <w:rsid w:val="26B45704"/>
    <w:rsid w:val="26BD353F"/>
    <w:rsid w:val="26C036D3"/>
    <w:rsid w:val="26C17346"/>
    <w:rsid w:val="26CA34CC"/>
    <w:rsid w:val="26D153C0"/>
    <w:rsid w:val="26D24305"/>
    <w:rsid w:val="26DC5DA5"/>
    <w:rsid w:val="26E77AFE"/>
    <w:rsid w:val="26EE74E4"/>
    <w:rsid w:val="26F068BB"/>
    <w:rsid w:val="26F150AB"/>
    <w:rsid w:val="26F9507B"/>
    <w:rsid w:val="27014163"/>
    <w:rsid w:val="2702798B"/>
    <w:rsid w:val="270A5E6C"/>
    <w:rsid w:val="271159BA"/>
    <w:rsid w:val="27126EAE"/>
    <w:rsid w:val="27152E53"/>
    <w:rsid w:val="271C00F2"/>
    <w:rsid w:val="27346CFD"/>
    <w:rsid w:val="273D07F4"/>
    <w:rsid w:val="27476137"/>
    <w:rsid w:val="27490760"/>
    <w:rsid w:val="275C1BA0"/>
    <w:rsid w:val="27620242"/>
    <w:rsid w:val="27645170"/>
    <w:rsid w:val="276A0C14"/>
    <w:rsid w:val="276B2695"/>
    <w:rsid w:val="2771592F"/>
    <w:rsid w:val="277C0BA1"/>
    <w:rsid w:val="27886063"/>
    <w:rsid w:val="27916785"/>
    <w:rsid w:val="27987624"/>
    <w:rsid w:val="279E31AB"/>
    <w:rsid w:val="27A95777"/>
    <w:rsid w:val="27AA0948"/>
    <w:rsid w:val="27AA6835"/>
    <w:rsid w:val="27B01B3C"/>
    <w:rsid w:val="27B241A6"/>
    <w:rsid w:val="27BE78A2"/>
    <w:rsid w:val="27C03412"/>
    <w:rsid w:val="27C2011C"/>
    <w:rsid w:val="27C46FCB"/>
    <w:rsid w:val="27CA6D6E"/>
    <w:rsid w:val="27D60AB8"/>
    <w:rsid w:val="27D96A3C"/>
    <w:rsid w:val="27E034EB"/>
    <w:rsid w:val="27E36040"/>
    <w:rsid w:val="27E811DE"/>
    <w:rsid w:val="27EB43E7"/>
    <w:rsid w:val="27F11E87"/>
    <w:rsid w:val="27F54B94"/>
    <w:rsid w:val="27FA666B"/>
    <w:rsid w:val="27FE6496"/>
    <w:rsid w:val="27FF5824"/>
    <w:rsid w:val="28017CD9"/>
    <w:rsid w:val="28071593"/>
    <w:rsid w:val="28071D0D"/>
    <w:rsid w:val="280E7AEC"/>
    <w:rsid w:val="28185FC2"/>
    <w:rsid w:val="28186A4A"/>
    <w:rsid w:val="28304111"/>
    <w:rsid w:val="28350906"/>
    <w:rsid w:val="28383FF5"/>
    <w:rsid w:val="28391B98"/>
    <w:rsid w:val="283D6877"/>
    <w:rsid w:val="28463FE8"/>
    <w:rsid w:val="28490F79"/>
    <w:rsid w:val="284A277D"/>
    <w:rsid w:val="284D74A9"/>
    <w:rsid w:val="284E2992"/>
    <w:rsid w:val="285A7276"/>
    <w:rsid w:val="28611765"/>
    <w:rsid w:val="28631BCF"/>
    <w:rsid w:val="28641CAB"/>
    <w:rsid w:val="2866085B"/>
    <w:rsid w:val="28751EB4"/>
    <w:rsid w:val="287F1AA1"/>
    <w:rsid w:val="28897B41"/>
    <w:rsid w:val="288A06BA"/>
    <w:rsid w:val="28911D5D"/>
    <w:rsid w:val="2894489B"/>
    <w:rsid w:val="28971932"/>
    <w:rsid w:val="2899616C"/>
    <w:rsid w:val="289A220D"/>
    <w:rsid w:val="289B033F"/>
    <w:rsid w:val="28A10644"/>
    <w:rsid w:val="28A61132"/>
    <w:rsid w:val="28A64395"/>
    <w:rsid w:val="28AC2B02"/>
    <w:rsid w:val="28AF6B15"/>
    <w:rsid w:val="28B52B31"/>
    <w:rsid w:val="28BA0C68"/>
    <w:rsid w:val="28BC10EE"/>
    <w:rsid w:val="28C60C1B"/>
    <w:rsid w:val="28CB32BB"/>
    <w:rsid w:val="28D342CF"/>
    <w:rsid w:val="28D36DEB"/>
    <w:rsid w:val="28D91858"/>
    <w:rsid w:val="28DC3E0B"/>
    <w:rsid w:val="28DE44B6"/>
    <w:rsid w:val="28E14C43"/>
    <w:rsid w:val="28E60935"/>
    <w:rsid w:val="28EB1F33"/>
    <w:rsid w:val="28EE6A8C"/>
    <w:rsid w:val="28F7557C"/>
    <w:rsid w:val="28F873BA"/>
    <w:rsid w:val="28F900DB"/>
    <w:rsid w:val="28FB3DE7"/>
    <w:rsid w:val="28FE2306"/>
    <w:rsid w:val="29017DA6"/>
    <w:rsid w:val="29037BE6"/>
    <w:rsid w:val="290A41CE"/>
    <w:rsid w:val="29141392"/>
    <w:rsid w:val="2916055E"/>
    <w:rsid w:val="29187C1A"/>
    <w:rsid w:val="291C0BFF"/>
    <w:rsid w:val="291D2490"/>
    <w:rsid w:val="29223F14"/>
    <w:rsid w:val="29295ACE"/>
    <w:rsid w:val="292E442C"/>
    <w:rsid w:val="293765EF"/>
    <w:rsid w:val="29380CFE"/>
    <w:rsid w:val="293877CB"/>
    <w:rsid w:val="294E2946"/>
    <w:rsid w:val="294F53A1"/>
    <w:rsid w:val="2951790E"/>
    <w:rsid w:val="295452E2"/>
    <w:rsid w:val="296247C6"/>
    <w:rsid w:val="29636578"/>
    <w:rsid w:val="29654C1B"/>
    <w:rsid w:val="29663CE6"/>
    <w:rsid w:val="29694F6B"/>
    <w:rsid w:val="29727AFC"/>
    <w:rsid w:val="29743C91"/>
    <w:rsid w:val="297655E7"/>
    <w:rsid w:val="297B01FD"/>
    <w:rsid w:val="29811C1C"/>
    <w:rsid w:val="298174C6"/>
    <w:rsid w:val="29822522"/>
    <w:rsid w:val="298955F8"/>
    <w:rsid w:val="2989665D"/>
    <w:rsid w:val="298C2AE0"/>
    <w:rsid w:val="298F1BA2"/>
    <w:rsid w:val="29901721"/>
    <w:rsid w:val="29907760"/>
    <w:rsid w:val="29A50CE8"/>
    <w:rsid w:val="29AA5B20"/>
    <w:rsid w:val="29AB0D75"/>
    <w:rsid w:val="29AC359F"/>
    <w:rsid w:val="29AD7669"/>
    <w:rsid w:val="29B07061"/>
    <w:rsid w:val="29B13D60"/>
    <w:rsid w:val="29B81BD7"/>
    <w:rsid w:val="29C0632F"/>
    <w:rsid w:val="29C2443A"/>
    <w:rsid w:val="29C56579"/>
    <w:rsid w:val="29C76135"/>
    <w:rsid w:val="29C94CE1"/>
    <w:rsid w:val="29D52CC1"/>
    <w:rsid w:val="29D717D1"/>
    <w:rsid w:val="29D87BA4"/>
    <w:rsid w:val="29DE296D"/>
    <w:rsid w:val="29E055DB"/>
    <w:rsid w:val="29EC716F"/>
    <w:rsid w:val="29EF26EC"/>
    <w:rsid w:val="29F00DC4"/>
    <w:rsid w:val="29F0782C"/>
    <w:rsid w:val="29F17400"/>
    <w:rsid w:val="29F233C1"/>
    <w:rsid w:val="29F26D72"/>
    <w:rsid w:val="29F3172B"/>
    <w:rsid w:val="29F4797C"/>
    <w:rsid w:val="29FC32B3"/>
    <w:rsid w:val="29FF7A52"/>
    <w:rsid w:val="2A05170A"/>
    <w:rsid w:val="2A065313"/>
    <w:rsid w:val="2A0765B9"/>
    <w:rsid w:val="2A104310"/>
    <w:rsid w:val="2A250F1D"/>
    <w:rsid w:val="2A255745"/>
    <w:rsid w:val="2A262754"/>
    <w:rsid w:val="2A265670"/>
    <w:rsid w:val="2A2D658F"/>
    <w:rsid w:val="2A2F433C"/>
    <w:rsid w:val="2A320989"/>
    <w:rsid w:val="2A3A568D"/>
    <w:rsid w:val="2A3F4A19"/>
    <w:rsid w:val="2A45007B"/>
    <w:rsid w:val="2A4729D6"/>
    <w:rsid w:val="2A5B68E4"/>
    <w:rsid w:val="2A5F657D"/>
    <w:rsid w:val="2A6222FB"/>
    <w:rsid w:val="2A633FE6"/>
    <w:rsid w:val="2A685560"/>
    <w:rsid w:val="2A6C712F"/>
    <w:rsid w:val="2A6E38AA"/>
    <w:rsid w:val="2A76700E"/>
    <w:rsid w:val="2A775E8C"/>
    <w:rsid w:val="2A7D1BFC"/>
    <w:rsid w:val="2A8615C0"/>
    <w:rsid w:val="2A862225"/>
    <w:rsid w:val="2A8C7CB9"/>
    <w:rsid w:val="2A8E75ED"/>
    <w:rsid w:val="2A9005D7"/>
    <w:rsid w:val="2A903DD8"/>
    <w:rsid w:val="2A904D8F"/>
    <w:rsid w:val="2A910683"/>
    <w:rsid w:val="2A986280"/>
    <w:rsid w:val="2A992800"/>
    <w:rsid w:val="2A9B63A5"/>
    <w:rsid w:val="2AA04183"/>
    <w:rsid w:val="2AA15EEE"/>
    <w:rsid w:val="2AA55C1D"/>
    <w:rsid w:val="2AA9328D"/>
    <w:rsid w:val="2AAF2E0B"/>
    <w:rsid w:val="2AB052EF"/>
    <w:rsid w:val="2AB14AC7"/>
    <w:rsid w:val="2AB640A8"/>
    <w:rsid w:val="2ABD05B8"/>
    <w:rsid w:val="2ABD12E4"/>
    <w:rsid w:val="2ABE4C47"/>
    <w:rsid w:val="2AC33E27"/>
    <w:rsid w:val="2AC54147"/>
    <w:rsid w:val="2AC84CAA"/>
    <w:rsid w:val="2ACB7B51"/>
    <w:rsid w:val="2AD33B5E"/>
    <w:rsid w:val="2AD41776"/>
    <w:rsid w:val="2AD515BD"/>
    <w:rsid w:val="2ADD3AE8"/>
    <w:rsid w:val="2AE665A1"/>
    <w:rsid w:val="2AF461B3"/>
    <w:rsid w:val="2AFE110C"/>
    <w:rsid w:val="2AFF42F6"/>
    <w:rsid w:val="2B017687"/>
    <w:rsid w:val="2B0646FF"/>
    <w:rsid w:val="2B0A1F58"/>
    <w:rsid w:val="2B0D6C27"/>
    <w:rsid w:val="2B1261E4"/>
    <w:rsid w:val="2B2D6800"/>
    <w:rsid w:val="2B347169"/>
    <w:rsid w:val="2B3645B4"/>
    <w:rsid w:val="2B380917"/>
    <w:rsid w:val="2B3E1850"/>
    <w:rsid w:val="2B421457"/>
    <w:rsid w:val="2B422D4E"/>
    <w:rsid w:val="2B4247D5"/>
    <w:rsid w:val="2B43788D"/>
    <w:rsid w:val="2B465520"/>
    <w:rsid w:val="2B474B54"/>
    <w:rsid w:val="2B4844EA"/>
    <w:rsid w:val="2B4D145A"/>
    <w:rsid w:val="2B5C18E1"/>
    <w:rsid w:val="2B5C2122"/>
    <w:rsid w:val="2B5C4BB6"/>
    <w:rsid w:val="2B623F0E"/>
    <w:rsid w:val="2B637625"/>
    <w:rsid w:val="2B6511EA"/>
    <w:rsid w:val="2B686F0F"/>
    <w:rsid w:val="2B6D3CC6"/>
    <w:rsid w:val="2B6E09DF"/>
    <w:rsid w:val="2B766AA9"/>
    <w:rsid w:val="2B7E2898"/>
    <w:rsid w:val="2B7E5BF9"/>
    <w:rsid w:val="2B822B26"/>
    <w:rsid w:val="2B850649"/>
    <w:rsid w:val="2B86599C"/>
    <w:rsid w:val="2B8C5C18"/>
    <w:rsid w:val="2B950F6D"/>
    <w:rsid w:val="2B954871"/>
    <w:rsid w:val="2B9935D0"/>
    <w:rsid w:val="2B9B158D"/>
    <w:rsid w:val="2BA33B6F"/>
    <w:rsid w:val="2BA47A51"/>
    <w:rsid w:val="2BA549E7"/>
    <w:rsid w:val="2BA87BA0"/>
    <w:rsid w:val="2BB41349"/>
    <w:rsid w:val="2BB85CC3"/>
    <w:rsid w:val="2BC52DA4"/>
    <w:rsid w:val="2BC53924"/>
    <w:rsid w:val="2BCE774D"/>
    <w:rsid w:val="2BCF25C7"/>
    <w:rsid w:val="2BD6458D"/>
    <w:rsid w:val="2BD70A8D"/>
    <w:rsid w:val="2BDB4C9F"/>
    <w:rsid w:val="2BE50254"/>
    <w:rsid w:val="2BE70691"/>
    <w:rsid w:val="2BF3185A"/>
    <w:rsid w:val="2BFE2344"/>
    <w:rsid w:val="2C0030DE"/>
    <w:rsid w:val="2C0C3169"/>
    <w:rsid w:val="2C100F04"/>
    <w:rsid w:val="2C105618"/>
    <w:rsid w:val="2C1076E3"/>
    <w:rsid w:val="2C123C25"/>
    <w:rsid w:val="2C1375E4"/>
    <w:rsid w:val="2C161E35"/>
    <w:rsid w:val="2C200411"/>
    <w:rsid w:val="2C21514B"/>
    <w:rsid w:val="2C232762"/>
    <w:rsid w:val="2C246A88"/>
    <w:rsid w:val="2C2C0AC1"/>
    <w:rsid w:val="2C2D5AF8"/>
    <w:rsid w:val="2C3A70E7"/>
    <w:rsid w:val="2C4044EC"/>
    <w:rsid w:val="2C4765DE"/>
    <w:rsid w:val="2C495B74"/>
    <w:rsid w:val="2C4B3B10"/>
    <w:rsid w:val="2C4C7545"/>
    <w:rsid w:val="2C4E653B"/>
    <w:rsid w:val="2C4E6F4A"/>
    <w:rsid w:val="2C5A1916"/>
    <w:rsid w:val="2C5B0164"/>
    <w:rsid w:val="2C6614B9"/>
    <w:rsid w:val="2C6D6F05"/>
    <w:rsid w:val="2C6E49AB"/>
    <w:rsid w:val="2C705BD0"/>
    <w:rsid w:val="2C7415C0"/>
    <w:rsid w:val="2C777C2D"/>
    <w:rsid w:val="2C816D9C"/>
    <w:rsid w:val="2C8178A6"/>
    <w:rsid w:val="2C8739BD"/>
    <w:rsid w:val="2C873FCA"/>
    <w:rsid w:val="2C9137E7"/>
    <w:rsid w:val="2C942734"/>
    <w:rsid w:val="2C991A4F"/>
    <w:rsid w:val="2CA00D64"/>
    <w:rsid w:val="2CA14D6B"/>
    <w:rsid w:val="2CA30168"/>
    <w:rsid w:val="2CA31064"/>
    <w:rsid w:val="2CAA1538"/>
    <w:rsid w:val="2CB25C7B"/>
    <w:rsid w:val="2CB417A1"/>
    <w:rsid w:val="2CB74213"/>
    <w:rsid w:val="2CCC619E"/>
    <w:rsid w:val="2CD913C4"/>
    <w:rsid w:val="2CDD306B"/>
    <w:rsid w:val="2CDD6E05"/>
    <w:rsid w:val="2CDE1E5D"/>
    <w:rsid w:val="2CE52EED"/>
    <w:rsid w:val="2CE652E2"/>
    <w:rsid w:val="2CE74B21"/>
    <w:rsid w:val="2CE84DCF"/>
    <w:rsid w:val="2CEB3BFF"/>
    <w:rsid w:val="2CEF42C0"/>
    <w:rsid w:val="2CF00266"/>
    <w:rsid w:val="2CF82D07"/>
    <w:rsid w:val="2CFA0167"/>
    <w:rsid w:val="2CFB120D"/>
    <w:rsid w:val="2CFC2042"/>
    <w:rsid w:val="2CFC7401"/>
    <w:rsid w:val="2D0848EC"/>
    <w:rsid w:val="2D1018F8"/>
    <w:rsid w:val="2D1054E5"/>
    <w:rsid w:val="2D17713D"/>
    <w:rsid w:val="2D1808B9"/>
    <w:rsid w:val="2D2A2A7C"/>
    <w:rsid w:val="2D31122B"/>
    <w:rsid w:val="2D3C3490"/>
    <w:rsid w:val="2D3C6E70"/>
    <w:rsid w:val="2D3E4E61"/>
    <w:rsid w:val="2D3E573F"/>
    <w:rsid w:val="2D40193C"/>
    <w:rsid w:val="2D414160"/>
    <w:rsid w:val="2D4954F1"/>
    <w:rsid w:val="2D4F78C2"/>
    <w:rsid w:val="2D56235E"/>
    <w:rsid w:val="2D584358"/>
    <w:rsid w:val="2D5E69AC"/>
    <w:rsid w:val="2D6053C3"/>
    <w:rsid w:val="2D6167F1"/>
    <w:rsid w:val="2D6900CC"/>
    <w:rsid w:val="2D6912DD"/>
    <w:rsid w:val="2D6F4479"/>
    <w:rsid w:val="2D6F4E33"/>
    <w:rsid w:val="2D77441C"/>
    <w:rsid w:val="2D7C4F35"/>
    <w:rsid w:val="2D7E5299"/>
    <w:rsid w:val="2D903349"/>
    <w:rsid w:val="2D92403E"/>
    <w:rsid w:val="2D9457ED"/>
    <w:rsid w:val="2DA07799"/>
    <w:rsid w:val="2DA73FA4"/>
    <w:rsid w:val="2DAA4A18"/>
    <w:rsid w:val="2DB57D38"/>
    <w:rsid w:val="2DC33721"/>
    <w:rsid w:val="2DC81EB2"/>
    <w:rsid w:val="2DCC04FD"/>
    <w:rsid w:val="2DCC7CDE"/>
    <w:rsid w:val="2DD26309"/>
    <w:rsid w:val="2DDB73C4"/>
    <w:rsid w:val="2DE976DE"/>
    <w:rsid w:val="2DEC0C55"/>
    <w:rsid w:val="2DEC5B5D"/>
    <w:rsid w:val="2DF253A3"/>
    <w:rsid w:val="2E086028"/>
    <w:rsid w:val="2E1102FB"/>
    <w:rsid w:val="2E164DD2"/>
    <w:rsid w:val="2E180885"/>
    <w:rsid w:val="2E18457F"/>
    <w:rsid w:val="2E1A1FFE"/>
    <w:rsid w:val="2E1C0483"/>
    <w:rsid w:val="2E1C6394"/>
    <w:rsid w:val="2E214CB5"/>
    <w:rsid w:val="2E2515BD"/>
    <w:rsid w:val="2E2C634C"/>
    <w:rsid w:val="2E2F4AC8"/>
    <w:rsid w:val="2E397DBE"/>
    <w:rsid w:val="2E3B7500"/>
    <w:rsid w:val="2E3E28BD"/>
    <w:rsid w:val="2E3E7A39"/>
    <w:rsid w:val="2E3F2443"/>
    <w:rsid w:val="2E4915AA"/>
    <w:rsid w:val="2E5179D4"/>
    <w:rsid w:val="2E553FCB"/>
    <w:rsid w:val="2E5950F9"/>
    <w:rsid w:val="2E5C6683"/>
    <w:rsid w:val="2E5D3CC9"/>
    <w:rsid w:val="2E643AA5"/>
    <w:rsid w:val="2E6745E7"/>
    <w:rsid w:val="2E6F3A24"/>
    <w:rsid w:val="2E701D6F"/>
    <w:rsid w:val="2E7743D1"/>
    <w:rsid w:val="2E7C249B"/>
    <w:rsid w:val="2E871F76"/>
    <w:rsid w:val="2E875073"/>
    <w:rsid w:val="2E891D5D"/>
    <w:rsid w:val="2E8B6C9C"/>
    <w:rsid w:val="2E8C5A0F"/>
    <w:rsid w:val="2E8C7601"/>
    <w:rsid w:val="2E925D1E"/>
    <w:rsid w:val="2E9267EE"/>
    <w:rsid w:val="2E955394"/>
    <w:rsid w:val="2E9E5000"/>
    <w:rsid w:val="2E9E7C5A"/>
    <w:rsid w:val="2EA1351D"/>
    <w:rsid w:val="2EA33928"/>
    <w:rsid w:val="2EA42384"/>
    <w:rsid w:val="2EA55E51"/>
    <w:rsid w:val="2EAA373E"/>
    <w:rsid w:val="2EB82AB3"/>
    <w:rsid w:val="2EC047F4"/>
    <w:rsid w:val="2EC6009B"/>
    <w:rsid w:val="2EC61D7C"/>
    <w:rsid w:val="2ECB7449"/>
    <w:rsid w:val="2ED206C2"/>
    <w:rsid w:val="2ED27558"/>
    <w:rsid w:val="2ED66578"/>
    <w:rsid w:val="2ED713E5"/>
    <w:rsid w:val="2ED71916"/>
    <w:rsid w:val="2ED75D65"/>
    <w:rsid w:val="2EDB6632"/>
    <w:rsid w:val="2EDE515F"/>
    <w:rsid w:val="2EE205D2"/>
    <w:rsid w:val="2EE5418B"/>
    <w:rsid w:val="2EEB1C06"/>
    <w:rsid w:val="2EF303DC"/>
    <w:rsid w:val="2EFA35C8"/>
    <w:rsid w:val="2EFD0D3F"/>
    <w:rsid w:val="2F075165"/>
    <w:rsid w:val="2F0D0402"/>
    <w:rsid w:val="2F0E3B03"/>
    <w:rsid w:val="2F0F457F"/>
    <w:rsid w:val="2F101ED0"/>
    <w:rsid w:val="2F107AFD"/>
    <w:rsid w:val="2F12124D"/>
    <w:rsid w:val="2F146172"/>
    <w:rsid w:val="2F167FD4"/>
    <w:rsid w:val="2F1D6BF6"/>
    <w:rsid w:val="2F1E3197"/>
    <w:rsid w:val="2F284C60"/>
    <w:rsid w:val="2F323A62"/>
    <w:rsid w:val="2F3444A3"/>
    <w:rsid w:val="2F3570B8"/>
    <w:rsid w:val="2F3A137B"/>
    <w:rsid w:val="2F3F42EB"/>
    <w:rsid w:val="2F402016"/>
    <w:rsid w:val="2F424291"/>
    <w:rsid w:val="2F4330FA"/>
    <w:rsid w:val="2F4443E5"/>
    <w:rsid w:val="2F492B69"/>
    <w:rsid w:val="2F4E0055"/>
    <w:rsid w:val="2F537702"/>
    <w:rsid w:val="2F59798B"/>
    <w:rsid w:val="2F607BD9"/>
    <w:rsid w:val="2F66270E"/>
    <w:rsid w:val="2F68773A"/>
    <w:rsid w:val="2F6D2D4B"/>
    <w:rsid w:val="2F705FA4"/>
    <w:rsid w:val="2F721CCB"/>
    <w:rsid w:val="2F7266D9"/>
    <w:rsid w:val="2F77280A"/>
    <w:rsid w:val="2F7B199E"/>
    <w:rsid w:val="2F8A4F66"/>
    <w:rsid w:val="2FA44218"/>
    <w:rsid w:val="2FA704E4"/>
    <w:rsid w:val="2FAC0C05"/>
    <w:rsid w:val="2FC060CB"/>
    <w:rsid w:val="2FC327DC"/>
    <w:rsid w:val="2FC33246"/>
    <w:rsid w:val="2FCA09D5"/>
    <w:rsid w:val="2FCE2CA3"/>
    <w:rsid w:val="2FD16599"/>
    <w:rsid w:val="2FD451BC"/>
    <w:rsid w:val="2FD84699"/>
    <w:rsid w:val="2FE208E8"/>
    <w:rsid w:val="2FEC4696"/>
    <w:rsid w:val="2FEC64CF"/>
    <w:rsid w:val="2FED6EB0"/>
    <w:rsid w:val="2FF37954"/>
    <w:rsid w:val="2FF51098"/>
    <w:rsid w:val="2FF52A38"/>
    <w:rsid w:val="2FF922A4"/>
    <w:rsid w:val="2FFA7F5A"/>
    <w:rsid w:val="2FFE1BC3"/>
    <w:rsid w:val="30016DFC"/>
    <w:rsid w:val="3003672D"/>
    <w:rsid w:val="30095E60"/>
    <w:rsid w:val="301223F4"/>
    <w:rsid w:val="30176B29"/>
    <w:rsid w:val="30180791"/>
    <w:rsid w:val="30223999"/>
    <w:rsid w:val="30244EE3"/>
    <w:rsid w:val="3029684B"/>
    <w:rsid w:val="302C47E7"/>
    <w:rsid w:val="303807A2"/>
    <w:rsid w:val="3038414F"/>
    <w:rsid w:val="3042246D"/>
    <w:rsid w:val="3043127F"/>
    <w:rsid w:val="30473B47"/>
    <w:rsid w:val="30497074"/>
    <w:rsid w:val="304C38F1"/>
    <w:rsid w:val="305165F9"/>
    <w:rsid w:val="30551842"/>
    <w:rsid w:val="3071017B"/>
    <w:rsid w:val="30712AF1"/>
    <w:rsid w:val="30717158"/>
    <w:rsid w:val="3072290D"/>
    <w:rsid w:val="307360BB"/>
    <w:rsid w:val="30766725"/>
    <w:rsid w:val="30794DD3"/>
    <w:rsid w:val="30824E3B"/>
    <w:rsid w:val="308579A6"/>
    <w:rsid w:val="30867723"/>
    <w:rsid w:val="30960EB6"/>
    <w:rsid w:val="30986332"/>
    <w:rsid w:val="30A30E77"/>
    <w:rsid w:val="30A91724"/>
    <w:rsid w:val="30AF7035"/>
    <w:rsid w:val="30B04612"/>
    <w:rsid w:val="30B06EB7"/>
    <w:rsid w:val="30C24171"/>
    <w:rsid w:val="30DA2EE6"/>
    <w:rsid w:val="30DF5B41"/>
    <w:rsid w:val="30E00817"/>
    <w:rsid w:val="30E56989"/>
    <w:rsid w:val="30E66933"/>
    <w:rsid w:val="30EB1C5F"/>
    <w:rsid w:val="30EF1DFE"/>
    <w:rsid w:val="30F21696"/>
    <w:rsid w:val="30FD570B"/>
    <w:rsid w:val="3100179C"/>
    <w:rsid w:val="31003362"/>
    <w:rsid w:val="3101213C"/>
    <w:rsid w:val="31035EDA"/>
    <w:rsid w:val="310621C6"/>
    <w:rsid w:val="3107114C"/>
    <w:rsid w:val="31077878"/>
    <w:rsid w:val="310A5F12"/>
    <w:rsid w:val="310B6133"/>
    <w:rsid w:val="310C0DBB"/>
    <w:rsid w:val="310D4A04"/>
    <w:rsid w:val="3110276F"/>
    <w:rsid w:val="3116678E"/>
    <w:rsid w:val="311A5E63"/>
    <w:rsid w:val="31266461"/>
    <w:rsid w:val="312B5B84"/>
    <w:rsid w:val="31315B4A"/>
    <w:rsid w:val="313335DB"/>
    <w:rsid w:val="31361FDF"/>
    <w:rsid w:val="313C065D"/>
    <w:rsid w:val="31462A6B"/>
    <w:rsid w:val="31471FD5"/>
    <w:rsid w:val="31472681"/>
    <w:rsid w:val="314E65A0"/>
    <w:rsid w:val="314F75E7"/>
    <w:rsid w:val="31507DB0"/>
    <w:rsid w:val="31517DD1"/>
    <w:rsid w:val="315463F3"/>
    <w:rsid w:val="315656B8"/>
    <w:rsid w:val="315A6190"/>
    <w:rsid w:val="31604259"/>
    <w:rsid w:val="316573C7"/>
    <w:rsid w:val="316B231A"/>
    <w:rsid w:val="31756B77"/>
    <w:rsid w:val="31762E27"/>
    <w:rsid w:val="317C09E9"/>
    <w:rsid w:val="317D5E6B"/>
    <w:rsid w:val="317E23B3"/>
    <w:rsid w:val="3182589E"/>
    <w:rsid w:val="318446B3"/>
    <w:rsid w:val="318600C8"/>
    <w:rsid w:val="31865653"/>
    <w:rsid w:val="318F156D"/>
    <w:rsid w:val="318F6163"/>
    <w:rsid w:val="31901DC4"/>
    <w:rsid w:val="31AC71BB"/>
    <w:rsid w:val="31AF78DF"/>
    <w:rsid w:val="31B44D15"/>
    <w:rsid w:val="31C53245"/>
    <w:rsid w:val="31CF0AAA"/>
    <w:rsid w:val="31D20FDC"/>
    <w:rsid w:val="31D22778"/>
    <w:rsid w:val="31D35A23"/>
    <w:rsid w:val="31DB3452"/>
    <w:rsid w:val="31DF4544"/>
    <w:rsid w:val="31E471D6"/>
    <w:rsid w:val="31EE6FF8"/>
    <w:rsid w:val="31F616C4"/>
    <w:rsid w:val="31F80870"/>
    <w:rsid w:val="31F93DF8"/>
    <w:rsid w:val="31FC3CF0"/>
    <w:rsid w:val="31FE4CFB"/>
    <w:rsid w:val="320475F6"/>
    <w:rsid w:val="32097003"/>
    <w:rsid w:val="32136267"/>
    <w:rsid w:val="321B1C2E"/>
    <w:rsid w:val="32200768"/>
    <w:rsid w:val="322238D1"/>
    <w:rsid w:val="3233090D"/>
    <w:rsid w:val="32357257"/>
    <w:rsid w:val="32370769"/>
    <w:rsid w:val="32382D71"/>
    <w:rsid w:val="323A2F7A"/>
    <w:rsid w:val="323F5C9F"/>
    <w:rsid w:val="324A1715"/>
    <w:rsid w:val="32525D5D"/>
    <w:rsid w:val="325F2D5F"/>
    <w:rsid w:val="32601E76"/>
    <w:rsid w:val="32612604"/>
    <w:rsid w:val="326361FE"/>
    <w:rsid w:val="32652399"/>
    <w:rsid w:val="32663DD8"/>
    <w:rsid w:val="3267187F"/>
    <w:rsid w:val="32677581"/>
    <w:rsid w:val="326C27C6"/>
    <w:rsid w:val="32711194"/>
    <w:rsid w:val="32735721"/>
    <w:rsid w:val="3274320D"/>
    <w:rsid w:val="32764A9E"/>
    <w:rsid w:val="32813F39"/>
    <w:rsid w:val="32827056"/>
    <w:rsid w:val="328820AE"/>
    <w:rsid w:val="328F66CD"/>
    <w:rsid w:val="329373CE"/>
    <w:rsid w:val="329961FB"/>
    <w:rsid w:val="329E3AC4"/>
    <w:rsid w:val="32A36C3A"/>
    <w:rsid w:val="32A962F5"/>
    <w:rsid w:val="32AD4C6A"/>
    <w:rsid w:val="32B13A7C"/>
    <w:rsid w:val="32B7431F"/>
    <w:rsid w:val="32BA3D62"/>
    <w:rsid w:val="32BB5ABD"/>
    <w:rsid w:val="32C159FA"/>
    <w:rsid w:val="32C16F2F"/>
    <w:rsid w:val="32C535F6"/>
    <w:rsid w:val="32C90FE7"/>
    <w:rsid w:val="32CD123E"/>
    <w:rsid w:val="32CD7BF5"/>
    <w:rsid w:val="32D33760"/>
    <w:rsid w:val="32D6133E"/>
    <w:rsid w:val="32D97D1F"/>
    <w:rsid w:val="32E1283B"/>
    <w:rsid w:val="32E54A6D"/>
    <w:rsid w:val="32E672C8"/>
    <w:rsid w:val="32F0024B"/>
    <w:rsid w:val="32F601DD"/>
    <w:rsid w:val="32FE4A74"/>
    <w:rsid w:val="33017750"/>
    <w:rsid w:val="33062599"/>
    <w:rsid w:val="330E2379"/>
    <w:rsid w:val="330F0B01"/>
    <w:rsid w:val="330F7517"/>
    <w:rsid w:val="33114A3A"/>
    <w:rsid w:val="33161D36"/>
    <w:rsid w:val="331C3CDA"/>
    <w:rsid w:val="331C54CF"/>
    <w:rsid w:val="33264802"/>
    <w:rsid w:val="332A3DFC"/>
    <w:rsid w:val="332F3B41"/>
    <w:rsid w:val="333142FC"/>
    <w:rsid w:val="33383C74"/>
    <w:rsid w:val="33442103"/>
    <w:rsid w:val="334B516A"/>
    <w:rsid w:val="334D0714"/>
    <w:rsid w:val="335238B0"/>
    <w:rsid w:val="335A0044"/>
    <w:rsid w:val="335A4D69"/>
    <w:rsid w:val="335C2AA0"/>
    <w:rsid w:val="336875A2"/>
    <w:rsid w:val="336B01A1"/>
    <w:rsid w:val="33755CEE"/>
    <w:rsid w:val="3376314A"/>
    <w:rsid w:val="33770AF8"/>
    <w:rsid w:val="337A0497"/>
    <w:rsid w:val="337C451C"/>
    <w:rsid w:val="337F7CD3"/>
    <w:rsid w:val="338C29E4"/>
    <w:rsid w:val="33906192"/>
    <w:rsid w:val="33963D02"/>
    <w:rsid w:val="339E3703"/>
    <w:rsid w:val="33AE3DDD"/>
    <w:rsid w:val="33AE6A65"/>
    <w:rsid w:val="33B31357"/>
    <w:rsid w:val="33BE1A91"/>
    <w:rsid w:val="33C174BA"/>
    <w:rsid w:val="33C22FBB"/>
    <w:rsid w:val="33CA0A92"/>
    <w:rsid w:val="33D05FD1"/>
    <w:rsid w:val="33D5147F"/>
    <w:rsid w:val="33D74CBA"/>
    <w:rsid w:val="33D83B99"/>
    <w:rsid w:val="33DC1AD3"/>
    <w:rsid w:val="33DF5E6F"/>
    <w:rsid w:val="33E14885"/>
    <w:rsid w:val="33E46203"/>
    <w:rsid w:val="33EB7DBC"/>
    <w:rsid w:val="33EF627A"/>
    <w:rsid w:val="33F03B92"/>
    <w:rsid w:val="33F468C8"/>
    <w:rsid w:val="33FC345E"/>
    <w:rsid w:val="33FE31AD"/>
    <w:rsid w:val="33FE4715"/>
    <w:rsid w:val="34067CF3"/>
    <w:rsid w:val="340E52ED"/>
    <w:rsid w:val="34194010"/>
    <w:rsid w:val="341B7DE2"/>
    <w:rsid w:val="3429792D"/>
    <w:rsid w:val="342D56BE"/>
    <w:rsid w:val="34310DDE"/>
    <w:rsid w:val="34326328"/>
    <w:rsid w:val="3436293C"/>
    <w:rsid w:val="3438067C"/>
    <w:rsid w:val="34387F60"/>
    <w:rsid w:val="343B5DA6"/>
    <w:rsid w:val="343C4A44"/>
    <w:rsid w:val="343D47F2"/>
    <w:rsid w:val="344000A1"/>
    <w:rsid w:val="34406294"/>
    <w:rsid w:val="3441755C"/>
    <w:rsid w:val="34520528"/>
    <w:rsid w:val="345B4DE1"/>
    <w:rsid w:val="345B5C1E"/>
    <w:rsid w:val="346200DE"/>
    <w:rsid w:val="34682931"/>
    <w:rsid w:val="347136EF"/>
    <w:rsid w:val="34774048"/>
    <w:rsid w:val="347D7A4C"/>
    <w:rsid w:val="348114B8"/>
    <w:rsid w:val="34826144"/>
    <w:rsid w:val="348C0594"/>
    <w:rsid w:val="34970B15"/>
    <w:rsid w:val="349A68F7"/>
    <w:rsid w:val="349B5A9E"/>
    <w:rsid w:val="34A93DAC"/>
    <w:rsid w:val="34AD2187"/>
    <w:rsid w:val="34AF0C2D"/>
    <w:rsid w:val="34B31516"/>
    <w:rsid w:val="34B634EA"/>
    <w:rsid w:val="34B97CE2"/>
    <w:rsid w:val="34BC2AEC"/>
    <w:rsid w:val="34C42EA2"/>
    <w:rsid w:val="34C8056E"/>
    <w:rsid w:val="34C82D4B"/>
    <w:rsid w:val="34D10236"/>
    <w:rsid w:val="34D766DC"/>
    <w:rsid w:val="34DA1427"/>
    <w:rsid w:val="34DA5AD3"/>
    <w:rsid w:val="34E17D9B"/>
    <w:rsid w:val="34E43DC2"/>
    <w:rsid w:val="34E811D2"/>
    <w:rsid w:val="34E95FA7"/>
    <w:rsid w:val="34F565AE"/>
    <w:rsid w:val="34F97119"/>
    <w:rsid w:val="34FC1740"/>
    <w:rsid w:val="35044EEB"/>
    <w:rsid w:val="350A40E4"/>
    <w:rsid w:val="350D1E18"/>
    <w:rsid w:val="35145D7F"/>
    <w:rsid w:val="35210EBE"/>
    <w:rsid w:val="352B235B"/>
    <w:rsid w:val="352F0A59"/>
    <w:rsid w:val="35374C8F"/>
    <w:rsid w:val="353C3C51"/>
    <w:rsid w:val="353E2540"/>
    <w:rsid w:val="353E6C84"/>
    <w:rsid w:val="354B2505"/>
    <w:rsid w:val="35523602"/>
    <w:rsid w:val="35525EC2"/>
    <w:rsid w:val="35573ED0"/>
    <w:rsid w:val="35590FB6"/>
    <w:rsid w:val="35600B90"/>
    <w:rsid w:val="356217AB"/>
    <w:rsid w:val="356409B7"/>
    <w:rsid w:val="3564279C"/>
    <w:rsid w:val="35700B42"/>
    <w:rsid w:val="35720A8A"/>
    <w:rsid w:val="35727ED5"/>
    <w:rsid w:val="357330B2"/>
    <w:rsid w:val="357A0169"/>
    <w:rsid w:val="357A7469"/>
    <w:rsid w:val="35845A4D"/>
    <w:rsid w:val="35893247"/>
    <w:rsid w:val="35896F48"/>
    <w:rsid w:val="358E65D7"/>
    <w:rsid w:val="359711F5"/>
    <w:rsid w:val="35A05303"/>
    <w:rsid w:val="35A76EE4"/>
    <w:rsid w:val="35AC14D3"/>
    <w:rsid w:val="35B2524B"/>
    <w:rsid w:val="35C456D5"/>
    <w:rsid w:val="35C76B36"/>
    <w:rsid w:val="35D12C14"/>
    <w:rsid w:val="35D326DF"/>
    <w:rsid w:val="35D75DF7"/>
    <w:rsid w:val="35DB608F"/>
    <w:rsid w:val="35E5015E"/>
    <w:rsid w:val="35E56703"/>
    <w:rsid w:val="35E6199B"/>
    <w:rsid w:val="35F0429F"/>
    <w:rsid w:val="35F61C95"/>
    <w:rsid w:val="35FC5E2F"/>
    <w:rsid w:val="36037619"/>
    <w:rsid w:val="36085BC0"/>
    <w:rsid w:val="36110CA8"/>
    <w:rsid w:val="36175837"/>
    <w:rsid w:val="361A3937"/>
    <w:rsid w:val="361A653E"/>
    <w:rsid w:val="361A691B"/>
    <w:rsid w:val="362447C5"/>
    <w:rsid w:val="362632B3"/>
    <w:rsid w:val="36275917"/>
    <w:rsid w:val="36276172"/>
    <w:rsid w:val="362952B5"/>
    <w:rsid w:val="362F70B0"/>
    <w:rsid w:val="36323E6A"/>
    <w:rsid w:val="36336D7A"/>
    <w:rsid w:val="36371006"/>
    <w:rsid w:val="36373A83"/>
    <w:rsid w:val="363B0FEB"/>
    <w:rsid w:val="363B21A6"/>
    <w:rsid w:val="363E1BAA"/>
    <w:rsid w:val="3643670F"/>
    <w:rsid w:val="364A1628"/>
    <w:rsid w:val="365A56A7"/>
    <w:rsid w:val="365E2C71"/>
    <w:rsid w:val="365F3F78"/>
    <w:rsid w:val="365F4EB9"/>
    <w:rsid w:val="36735860"/>
    <w:rsid w:val="36796A1F"/>
    <w:rsid w:val="367C12D4"/>
    <w:rsid w:val="367E0DB2"/>
    <w:rsid w:val="3684227F"/>
    <w:rsid w:val="36855D0A"/>
    <w:rsid w:val="368801F1"/>
    <w:rsid w:val="36886C14"/>
    <w:rsid w:val="368C421A"/>
    <w:rsid w:val="368C729A"/>
    <w:rsid w:val="368D0AF9"/>
    <w:rsid w:val="36967BC0"/>
    <w:rsid w:val="36976414"/>
    <w:rsid w:val="3699008C"/>
    <w:rsid w:val="36A22794"/>
    <w:rsid w:val="36A367FC"/>
    <w:rsid w:val="36A77472"/>
    <w:rsid w:val="36AB7E29"/>
    <w:rsid w:val="36B20032"/>
    <w:rsid w:val="36B21628"/>
    <w:rsid w:val="36C15464"/>
    <w:rsid w:val="36C35021"/>
    <w:rsid w:val="36C366D6"/>
    <w:rsid w:val="36C74489"/>
    <w:rsid w:val="36D02D18"/>
    <w:rsid w:val="36D14399"/>
    <w:rsid w:val="36DB07A1"/>
    <w:rsid w:val="36DF27E2"/>
    <w:rsid w:val="36E175ED"/>
    <w:rsid w:val="36E55EEA"/>
    <w:rsid w:val="36E8784A"/>
    <w:rsid w:val="36ED21B6"/>
    <w:rsid w:val="36FC156D"/>
    <w:rsid w:val="36FF3715"/>
    <w:rsid w:val="36FF5741"/>
    <w:rsid w:val="37062FEB"/>
    <w:rsid w:val="371471A3"/>
    <w:rsid w:val="37167A63"/>
    <w:rsid w:val="371A4B5A"/>
    <w:rsid w:val="371D6532"/>
    <w:rsid w:val="37215E68"/>
    <w:rsid w:val="37245BC5"/>
    <w:rsid w:val="37247AB5"/>
    <w:rsid w:val="372B407C"/>
    <w:rsid w:val="37364436"/>
    <w:rsid w:val="373D5D07"/>
    <w:rsid w:val="374F6529"/>
    <w:rsid w:val="375123BA"/>
    <w:rsid w:val="375527CB"/>
    <w:rsid w:val="375D18BB"/>
    <w:rsid w:val="376167A3"/>
    <w:rsid w:val="37685776"/>
    <w:rsid w:val="37717274"/>
    <w:rsid w:val="37763E63"/>
    <w:rsid w:val="37816353"/>
    <w:rsid w:val="3785202F"/>
    <w:rsid w:val="37857167"/>
    <w:rsid w:val="378749AB"/>
    <w:rsid w:val="378936A2"/>
    <w:rsid w:val="378B2B65"/>
    <w:rsid w:val="37931036"/>
    <w:rsid w:val="37933FFD"/>
    <w:rsid w:val="37986498"/>
    <w:rsid w:val="379D0D50"/>
    <w:rsid w:val="37A304B7"/>
    <w:rsid w:val="37A65B55"/>
    <w:rsid w:val="37A7356A"/>
    <w:rsid w:val="37A9059F"/>
    <w:rsid w:val="37B012DB"/>
    <w:rsid w:val="37B52465"/>
    <w:rsid w:val="37B55BB9"/>
    <w:rsid w:val="37B74646"/>
    <w:rsid w:val="37BC6C00"/>
    <w:rsid w:val="37BD71AC"/>
    <w:rsid w:val="37BE3D20"/>
    <w:rsid w:val="37C02F86"/>
    <w:rsid w:val="37C065C4"/>
    <w:rsid w:val="37C443A3"/>
    <w:rsid w:val="37CD44DD"/>
    <w:rsid w:val="37CF0DFB"/>
    <w:rsid w:val="37D64F4F"/>
    <w:rsid w:val="37D81C57"/>
    <w:rsid w:val="37D84AA9"/>
    <w:rsid w:val="37E37BEA"/>
    <w:rsid w:val="37F053F6"/>
    <w:rsid w:val="37F77FFB"/>
    <w:rsid w:val="37F80A16"/>
    <w:rsid w:val="37FD51B8"/>
    <w:rsid w:val="37FF7CF9"/>
    <w:rsid w:val="3801197A"/>
    <w:rsid w:val="38026082"/>
    <w:rsid w:val="3803385A"/>
    <w:rsid w:val="38091452"/>
    <w:rsid w:val="380A3D47"/>
    <w:rsid w:val="380C4AAC"/>
    <w:rsid w:val="38133072"/>
    <w:rsid w:val="38136C4B"/>
    <w:rsid w:val="381E37CF"/>
    <w:rsid w:val="38294D7C"/>
    <w:rsid w:val="382F1523"/>
    <w:rsid w:val="382F7F79"/>
    <w:rsid w:val="38312785"/>
    <w:rsid w:val="38384568"/>
    <w:rsid w:val="383E7C8A"/>
    <w:rsid w:val="3842790D"/>
    <w:rsid w:val="38446BE2"/>
    <w:rsid w:val="38460BAC"/>
    <w:rsid w:val="38474CD2"/>
    <w:rsid w:val="384A381F"/>
    <w:rsid w:val="384E5B49"/>
    <w:rsid w:val="384E6A4B"/>
    <w:rsid w:val="38545611"/>
    <w:rsid w:val="38574694"/>
    <w:rsid w:val="38580605"/>
    <w:rsid w:val="38590CBE"/>
    <w:rsid w:val="385E14EE"/>
    <w:rsid w:val="385E50BF"/>
    <w:rsid w:val="38610BE3"/>
    <w:rsid w:val="386A7CE3"/>
    <w:rsid w:val="386C1957"/>
    <w:rsid w:val="386F394E"/>
    <w:rsid w:val="3870208B"/>
    <w:rsid w:val="38721CEA"/>
    <w:rsid w:val="387F4697"/>
    <w:rsid w:val="3882002C"/>
    <w:rsid w:val="3893512F"/>
    <w:rsid w:val="389635DA"/>
    <w:rsid w:val="389C0519"/>
    <w:rsid w:val="389F7555"/>
    <w:rsid w:val="38AB5FDB"/>
    <w:rsid w:val="38AC1B25"/>
    <w:rsid w:val="38AE0249"/>
    <w:rsid w:val="38B94BB6"/>
    <w:rsid w:val="38BA1388"/>
    <w:rsid w:val="38C308E4"/>
    <w:rsid w:val="38C95078"/>
    <w:rsid w:val="38D33677"/>
    <w:rsid w:val="38D37B78"/>
    <w:rsid w:val="38D576D2"/>
    <w:rsid w:val="38D74BCD"/>
    <w:rsid w:val="38D96E00"/>
    <w:rsid w:val="38DB54F6"/>
    <w:rsid w:val="38DE7296"/>
    <w:rsid w:val="38E1490E"/>
    <w:rsid w:val="38E16422"/>
    <w:rsid w:val="38E25CC3"/>
    <w:rsid w:val="38E42CE7"/>
    <w:rsid w:val="38E71B02"/>
    <w:rsid w:val="38F20FE2"/>
    <w:rsid w:val="38F5218E"/>
    <w:rsid w:val="38F71F8B"/>
    <w:rsid w:val="39040082"/>
    <w:rsid w:val="3905106F"/>
    <w:rsid w:val="390554C8"/>
    <w:rsid w:val="39071F47"/>
    <w:rsid w:val="39094F76"/>
    <w:rsid w:val="39106924"/>
    <w:rsid w:val="39121841"/>
    <w:rsid w:val="39185107"/>
    <w:rsid w:val="391B15B8"/>
    <w:rsid w:val="39206AD9"/>
    <w:rsid w:val="392E7959"/>
    <w:rsid w:val="3938209C"/>
    <w:rsid w:val="393903DC"/>
    <w:rsid w:val="393B796F"/>
    <w:rsid w:val="39470A4E"/>
    <w:rsid w:val="394800EC"/>
    <w:rsid w:val="3951038B"/>
    <w:rsid w:val="395C6022"/>
    <w:rsid w:val="39602D6E"/>
    <w:rsid w:val="3963478C"/>
    <w:rsid w:val="396B5911"/>
    <w:rsid w:val="396B5C03"/>
    <w:rsid w:val="3977656F"/>
    <w:rsid w:val="397C6930"/>
    <w:rsid w:val="398A443C"/>
    <w:rsid w:val="398B7EEF"/>
    <w:rsid w:val="398E0850"/>
    <w:rsid w:val="3994530D"/>
    <w:rsid w:val="399A22B7"/>
    <w:rsid w:val="399B0063"/>
    <w:rsid w:val="399C347F"/>
    <w:rsid w:val="399E1AA0"/>
    <w:rsid w:val="39A32349"/>
    <w:rsid w:val="39A52F5C"/>
    <w:rsid w:val="39A565F0"/>
    <w:rsid w:val="39A63B9B"/>
    <w:rsid w:val="39AC670A"/>
    <w:rsid w:val="39B6760C"/>
    <w:rsid w:val="39BA3CA7"/>
    <w:rsid w:val="39C0185B"/>
    <w:rsid w:val="39C11088"/>
    <w:rsid w:val="39C16008"/>
    <w:rsid w:val="39CE7EA8"/>
    <w:rsid w:val="39D1084E"/>
    <w:rsid w:val="39D2072E"/>
    <w:rsid w:val="39D2145D"/>
    <w:rsid w:val="39D2681B"/>
    <w:rsid w:val="39D43CCC"/>
    <w:rsid w:val="39E169BE"/>
    <w:rsid w:val="39E17072"/>
    <w:rsid w:val="39FB4C21"/>
    <w:rsid w:val="39FF41F5"/>
    <w:rsid w:val="3A002932"/>
    <w:rsid w:val="3A032913"/>
    <w:rsid w:val="3A03710B"/>
    <w:rsid w:val="3A05001F"/>
    <w:rsid w:val="3A0727E3"/>
    <w:rsid w:val="3A1753CC"/>
    <w:rsid w:val="3A1D2EB3"/>
    <w:rsid w:val="3A1F4454"/>
    <w:rsid w:val="3A2067E4"/>
    <w:rsid w:val="3A213CF6"/>
    <w:rsid w:val="3A230CE3"/>
    <w:rsid w:val="3A2559A8"/>
    <w:rsid w:val="3A281175"/>
    <w:rsid w:val="3A291632"/>
    <w:rsid w:val="3A2A4ADF"/>
    <w:rsid w:val="3A3A02CC"/>
    <w:rsid w:val="3A3A30B5"/>
    <w:rsid w:val="3A3D5D5A"/>
    <w:rsid w:val="3A40676B"/>
    <w:rsid w:val="3A520300"/>
    <w:rsid w:val="3A5822C8"/>
    <w:rsid w:val="3A5E4444"/>
    <w:rsid w:val="3A6229E0"/>
    <w:rsid w:val="3A662E6D"/>
    <w:rsid w:val="3A696383"/>
    <w:rsid w:val="3A7A30B2"/>
    <w:rsid w:val="3A7A7781"/>
    <w:rsid w:val="3A7C3BB4"/>
    <w:rsid w:val="3A845056"/>
    <w:rsid w:val="3A8A0B46"/>
    <w:rsid w:val="3A8B5801"/>
    <w:rsid w:val="3A8C04CD"/>
    <w:rsid w:val="3A950BF2"/>
    <w:rsid w:val="3A9C4B43"/>
    <w:rsid w:val="3A9C6352"/>
    <w:rsid w:val="3A9D6015"/>
    <w:rsid w:val="3AA14B9A"/>
    <w:rsid w:val="3AA35446"/>
    <w:rsid w:val="3AA3751A"/>
    <w:rsid w:val="3AA578B1"/>
    <w:rsid w:val="3AAD1BCD"/>
    <w:rsid w:val="3AB31FAB"/>
    <w:rsid w:val="3ABB5DFC"/>
    <w:rsid w:val="3AC17BA4"/>
    <w:rsid w:val="3AC9258D"/>
    <w:rsid w:val="3AC965DB"/>
    <w:rsid w:val="3ADA3E1A"/>
    <w:rsid w:val="3ADC4BE1"/>
    <w:rsid w:val="3AE075CD"/>
    <w:rsid w:val="3AE45257"/>
    <w:rsid w:val="3AE716B5"/>
    <w:rsid w:val="3AEB2C11"/>
    <w:rsid w:val="3AEB6780"/>
    <w:rsid w:val="3AEC5C4A"/>
    <w:rsid w:val="3AED131A"/>
    <w:rsid w:val="3AFB625D"/>
    <w:rsid w:val="3AFC257C"/>
    <w:rsid w:val="3B015F30"/>
    <w:rsid w:val="3B02735C"/>
    <w:rsid w:val="3B0A0492"/>
    <w:rsid w:val="3B0D50F4"/>
    <w:rsid w:val="3B141786"/>
    <w:rsid w:val="3B165449"/>
    <w:rsid w:val="3B210D40"/>
    <w:rsid w:val="3B2E1B0A"/>
    <w:rsid w:val="3B2F16A0"/>
    <w:rsid w:val="3B3211E4"/>
    <w:rsid w:val="3B350DE1"/>
    <w:rsid w:val="3B352178"/>
    <w:rsid w:val="3B35597A"/>
    <w:rsid w:val="3B356857"/>
    <w:rsid w:val="3B482B95"/>
    <w:rsid w:val="3B4A5CA0"/>
    <w:rsid w:val="3B4D34E2"/>
    <w:rsid w:val="3B5109B7"/>
    <w:rsid w:val="3B57503C"/>
    <w:rsid w:val="3B5949CB"/>
    <w:rsid w:val="3B6215B8"/>
    <w:rsid w:val="3B6B3A3E"/>
    <w:rsid w:val="3B6C35EA"/>
    <w:rsid w:val="3B7478B2"/>
    <w:rsid w:val="3B824C4A"/>
    <w:rsid w:val="3B895DA6"/>
    <w:rsid w:val="3B8E5133"/>
    <w:rsid w:val="3B904FCA"/>
    <w:rsid w:val="3B915AEE"/>
    <w:rsid w:val="3B950DF6"/>
    <w:rsid w:val="3B99766B"/>
    <w:rsid w:val="3B9A5114"/>
    <w:rsid w:val="3B9F511E"/>
    <w:rsid w:val="3BA20EBE"/>
    <w:rsid w:val="3BAB12DC"/>
    <w:rsid w:val="3BB427EA"/>
    <w:rsid w:val="3BB66864"/>
    <w:rsid w:val="3BBA1B46"/>
    <w:rsid w:val="3BC003CB"/>
    <w:rsid w:val="3BCA46BA"/>
    <w:rsid w:val="3BCE3342"/>
    <w:rsid w:val="3BD02216"/>
    <w:rsid w:val="3BD60781"/>
    <w:rsid w:val="3BE60B48"/>
    <w:rsid w:val="3BF013DB"/>
    <w:rsid w:val="3BF051A0"/>
    <w:rsid w:val="3BF252A7"/>
    <w:rsid w:val="3BFA1D76"/>
    <w:rsid w:val="3BFB2EAD"/>
    <w:rsid w:val="3BFD10A3"/>
    <w:rsid w:val="3BFF65BC"/>
    <w:rsid w:val="3C013031"/>
    <w:rsid w:val="3C11527B"/>
    <w:rsid w:val="3C13709E"/>
    <w:rsid w:val="3C172B6A"/>
    <w:rsid w:val="3C173991"/>
    <w:rsid w:val="3C1A34B7"/>
    <w:rsid w:val="3C1A49BD"/>
    <w:rsid w:val="3C1C4D96"/>
    <w:rsid w:val="3C2071B7"/>
    <w:rsid w:val="3C2A5FF7"/>
    <w:rsid w:val="3C2B6B0E"/>
    <w:rsid w:val="3C2F2EEE"/>
    <w:rsid w:val="3C333576"/>
    <w:rsid w:val="3C37717A"/>
    <w:rsid w:val="3C383D4A"/>
    <w:rsid w:val="3C3935ED"/>
    <w:rsid w:val="3C3C5239"/>
    <w:rsid w:val="3C433C5D"/>
    <w:rsid w:val="3C4544BC"/>
    <w:rsid w:val="3C466618"/>
    <w:rsid w:val="3C4A6824"/>
    <w:rsid w:val="3C5243AD"/>
    <w:rsid w:val="3C530A91"/>
    <w:rsid w:val="3C533AED"/>
    <w:rsid w:val="3C597217"/>
    <w:rsid w:val="3C5A62E2"/>
    <w:rsid w:val="3C5B63FD"/>
    <w:rsid w:val="3C5D3FFD"/>
    <w:rsid w:val="3C623280"/>
    <w:rsid w:val="3C626E9B"/>
    <w:rsid w:val="3C703405"/>
    <w:rsid w:val="3C715DF5"/>
    <w:rsid w:val="3C761036"/>
    <w:rsid w:val="3C7F2225"/>
    <w:rsid w:val="3C8A5F2C"/>
    <w:rsid w:val="3C951F7D"/>
    <w:rsid w:val="3C9B1F90"/>
    <w:rsid w:val="3CA05DDA"/>
    <w:rsid w:val="3CA2355C"/>
    <w:rsid w:val="3CA31D3B"/>
    <w:rsid w:val="3CA402C8"/>
    <w:rsid w:val="3CAB2430"/>
    <w:rsid w:val="3CAE115D"/>
    <w:rsid w:val="3CB04BF8"/>
    <w:rsid w:val="3CB6459D"/>
    <w:rsid w:val="3CBC35A6"/>
    <w:rsid w:val="3CC820FB"/>
    <w:rsid w:val="3CCB6D56"/>
    <w:rsid w:val="3CD42B70"/>
    <w:rsid w:val="3CD65421"/>
    <w:rsid w:val="3CD81BFB"/>
    <w:rsid w:val="3CDC1EE6"/>
    <w:rsid w:val="3CDF03C5"/>
    <w:rsid w:val="3CDF7322"/>
    <w:rsid w:val="3CE30214"/>
    <w:rsid w:val="3CE3725E"/>
    <w:rsid w:val="3CE534D1"/>
    <w:rsid w:val="3CE54F10"/>
    <w:rsid w:val="3CEE6837"/>
    <w:rsid w:val="3CFE7938"/>
    <w:rsid w:val="3CFF273A"/>
    <w:rsid w:val="3D004401"/>
    <w:rsid w:val="3D112AD9"/>
    <w:rsid w:val="3D164EC1"/>
    <w:rsid w:val="3D17610F"/>
    <w:rsid w:val="3D176C9E"/>
    <w:rsid w:val="3D1A265E"/>
    <w:rsid w:val="3D1C29C4"/>
    <w:rsid w:val="3D1C3ACD"/>
    <w:rsid w:val="3D1E0402"/>
    <w:rsid w:val="3D207368"/>
    <w:rsid w:val="3D2608E2"/>
    <w:rsid w:val="3D262A70"/>
    <w:rsid w:val="3D273B59"/>
    <w:rsid w:val="3D2B211F"/>
    <w:rsid w:val="3D3E1891"/>
    <w:rsid w:val="3D3E2DA8"/>
    <w:rsid w:val="3D4077B8"/>
    <w:rsid w:val="3D441151"/>
    <w:rsid w:val="3D470917"/>
    <w:rsid w:val="3D4A0973"/>
    <w:rsid w:val="3D521F9B"/>
    <w:rsid w:val="3D533BE6"/>
    <w:rsid w:val="3D552B12"/>
    <w:rsid w:val="3D561BEB"/>
    <w:rsid w:val="3D5B22EA"/>
    <w:rsid w:val="3D617CC4"/>
    <w:rsid w:val="3D662705"/>
    <w:rsid w:val="3D666A9F"/>
    <w:rsid w:val="3D71560D"/>
    <w:rsid w:val="3D7A41F0"/>
    <w:rsid w:val="3D7A7526"/>
    <w:rsid w:val="3D7E4017"/>
    <w:rsid w:val="3D896224"/>
    <w:rsid w:val="3D8D1E5D"/>
    <w:rsid w:val="3D8E329E"/>
    <w:rsid w:val="3D8F2771"/>
    <w:rsid w:val="3D9A4962"/>
    <w:rsid w:val="3DA02032"/>
    <w:rsid w:val="3DB13309"/>
    <w:rsid w:val="3DB14B3A"/>
    <w:rsid w:val="3DB54C9C"/>
    <w:rsid w:val="3DBB7784"/>
    <w:rsid w:val="3DBC509A"/>
    <w:rsid w:val="3DC11890"/>
    <w:rsid w:val="3DC20697"/>
    <w:rsid w:val="3DC93EAB"/>
    <w:rsid w:val="3DC969FF"/>
    <w:rsid w:val="3DCE76A7"/>
    <w:rsid w:val="3DD339EF"/>
    <w:rsid w:val="3DD366D9"/>
    <w:rsid w:val="3DD6749C"/>
    <w:rsid w:val="3DD70E24"/>
    <w:rsid w:val="3DDB3A6F"/>
    <w:rsid w:val="3DDC0122"/>
    <w:rsid w:val="3DDC286E"/>
    <w:rsid w:val="3DDD4AA9"/>
    <w:rsid w:val="3DE00E40"/>
    <w:rsid w:val="3DE0260D"/>
    <w:rsid w:val="3DE87855"/>
    <w:rsid w:val="3DEB5969"/>
    <w:rsid w:val="3DF07E4D"/>
    <w:rsid w:val="3DF5266F"/>
    <w:rsid w:val="3DF60668"/>
    <w:rsid w:val="3DFD4C52"/>
    <w:rsid w:val="3DFF4DC9"/>
    <w:rsid w:val="3E050BC2"/>
    <w:rsid w:val="3E07489F"/>
    <w:rsid w:val="3E0F4F60"/>
    <w:rsid w:val="3E15578F"/>
    <w:rsid w:val="3E1A17EB"/>
    <w:rsid w:val="3E1A3950"/>
    <w:rsid w:val="3E1E535D"/>
    <w:rsid w:val="3E1F5A1F"/>
    <w:rsid w:val="3E272CBE"/>
    <w:rsid w:val="3E280A54"/>
    <w:rsid w:val="3E3272D1"/>
    <w:rsid w:val="3E376FBD"/>
    <w:rsid w:val="3E390E30"/>
    <w:rsid w:val="3E456824"/>
    <w:rsid w:val="3E46044A"/>
    <w:rsid w:val="3E51286F"/>
    <w:rsid w:val="3E523B7E"/>
    <w:rsid w:val="3E580874"/>
    <w:rsid w:val="3E5B14E7"/>
    <w:rsid w:val="3E5D5282"/>
    <w:rsid w:val="3E641E5A"/>
    <w:rsid w:val="3E69009C"/>
    <w:rsid w:val="3E6C3D56"/>
    <w:rsid w:val="3E7002FB"/>
    <w:rsid w:val="3E7621E4"/>
    <w:rsid w:val="3E7701F1"/>
    <w:rsid w:val="3E8269F1"/>
    <w:rsid w:val="3E8E64A6"/>
    <w:rsid w:val="3E937CF5"/>
    <w:rsid w:val="3E9F6BAC"/>
    <w:rsid w:val="3EA21BA2"/>
    <w:rsid w:val="3EA7766D"/>
    <w:rsid w:val="3EAA2A4D"/>
    <w:rsid w:val="3EAB0027"/>
    <w:rsid w:val="3EAC6C7B"/>
    <w:rsid w:val="3EAD334F"/>
    <w:rsid w:val="3EB21F55"/>
    <w:rsid w:val="3EB308F4"/>
    <w:rsid w:val="3EB6052C"/>
    <w:rsid w:val="3EBC72D3"/>
    <w:rsid w:val="3ECB0D09"/>
    <w:rsid w:val="3ECD6424"/>
    <w:rsid w:val="3ECE2602"/>
    <w:rsid w:val="3ED731E6"/>
    <w:rsid w:val="3EDA6BFC"/>
    <w:rsid w:val="3EDA6E70"/>
    <w:rsid w:val="3EEA422F"/>
    <w:rsid w:val="3EED2C15"/>
    <w:rsid w:val="3EF04942"/>
    <w:rsid w:val="3EF2125A"/>
    <w:rsid w:val="3EF3007E"/>
    <w:rsid w:val="3EF34D48"/>
    <w:rsid w:val="3EF52D8C"/>
    <w:rsid w:val="3EF87051"/>
    <w:rsid w:val="3EFE1A0A"/>
    <w:rsid w:val="3EFF4C65"/>
    <w:rsid w:val="3F0960D3"/>
    <w:rsid w:val="3F0B1BC8"/>
    <w:rsid w:val="3F0D27FA"/>
    <w:rsid w:val="3F0E1C67"/>
    <w:rsid w:val="3F166FA3"/>
    <w:rsid w:val="3F303680"/>
    <w:rsid w:val="3F314667"/>
    <w:rsid w:val="3F336CD4"/>
    <w:rsid w:val="3F3671EE"/>
    <w:rsid w:val="3F391C98"/>
    <w:rsid w:val="3F3A1D00"/>
    <w:rsid w:val="3F3F174F"/>
    <w:rsid w:val="3F421C11"/>
    <w:rsid w:val="3F461E07"/>
    <w:rsid w:val="3F496A33"/>
    <w:rsid w:val="3F4B77E3"/>
    <w:rsid w:val="3F4D4ABB"/>
    <w:rsid w:val="3F5014E3"/>
    <w:rsid w:val="3F501667"/>
    <w:rsid w:val="3F504CA0"/>
    <w:rsid w:val="3F5179EF"/>
    <w:rsid w:val="3F5367AC"/>
    <w:rsid w:val="3F573B57"/>
    <w:rsid w:val="3F596432"/>
    <w:rsid w:val="3F5B3B4C"/>
    <w:rsid w:val="3F5C5F96"/>
    <w:rsid w:val="3F663109"/>
    <w:rsid w:val="3F695B0A"/>
    <w:rsid w:val="3F7151FB"/>
    <w:rsid w:val="3F770C5F"/>
    <w:rsid w:val="3F7C4524"/>
    <w:rsid w:val="3F823688"/>
    <w:rsid w:val="3F9E2336"/>
    <w:rsid w:val="3FA1779F"/>
    <w:rsid w:val="3FA36F0E"/>
    <w:rsid w:val="3FA46E39"/>
    <w:rsid w:val="3FA90110"/>
    <w:rsid w:val="3FB11CA5"/>
    <w:rsid w:val="3FB31B33"/>
    <w:rsid w:val="3FBB2655"/>
    <w:rsid w:val="3FCA479B"/>
    <w:rsid w:val="3FD05F68"/>
    <w:rsid w:val="3FDA4337"/>
    <w:rsid w:val="3FDA4469"/>
    <w:rsid w:val="3FE30632"/>
    <w:rsid w:val="3FE3168B"/>
    <w:rsid w:val="3FF14C9B"/>
    <w:rsid w:val="3FF96C7F"/>
    <w:rsid w:val="3FFB58F3"/>
    <w:rsid w:val="3FFE3693"/>
    <w:rsid w:val="40056511"/>
    <w:rsid w:val="400C226E"/>
    <w:rsid w:val="40107822"/>
    <w:rsid w:val="401E56D6"/>
    <w:rsid w:val="40236195"/>
    <w:rsid w:val="40286E90"/>
    <w:rsid w:val="402B1AF6"/>
    <w:rsid w:val="404051AA"/>
    <w:rsid w:val="40417E31"/>
    <w:rsid w:val="404421C8"/>
    <w:rsid w:val="4048272E"/>
    <w:rsid w:val="404A5508"/>
    <w:rsid w:val="404B4D02"/>
    <w:rsid w:val="404D3BB5"/>
    <w:rsid w:val="4058019D"/>
    <w:rsid w:val="405A234B"/>
    <w:rsid w:val="40721810"/>
    <w:rsid w:val="40754682"/>
    <w:rsid w:val="407C5B24"/>
    <w:rsid w:val="4084081D"/>
    <w:rsid w:val="4085556D"/>
    <w:rsid w:val="408C237A"/>
    <w:rsid w:val="409750D7"/>
    <w:rsid w:val="40994EFC"/>
    <w:rsid w:val="40A023E2"/>
    <w:rsid w:val="40A80AA7"/>
    <w:rsid w:val="40A90E60"/>
    <w:rsid w:val="40AE002E"/>
    <w:rsid w:val="40B555FC"/>
    <w:rsid w:val="40BD77D1"/>
    <w:rsid w:val="40BD7E3B"/>
    <w:rsid w:val="40C37D7E"/>
    <w:rsid w:val="40C55976"/>
    <w:rsid w:val="40C63613"/>
    <w:rsid w:val="40D1099A"/>
    <w:rsid w:val="40D55CC6"/>
    <w:rsid w:val="40D81E6D"/>
    <w:rsid w:val="40DB3F29"/>
    <w:rsid w:val="40E50CC3"/>
    <w:rsid w:val="40EC7289"/>
    <w:rsid w:val="40F01D9D"/>
    <w:rsid w:val="40F35F89"/>
    <w:rsid w:val="40FF6AF2"/>
    <w:rsid w:val="410C36B5"/>
    <w:rsid w:val="410F4269"/>
    <w:rsid w:val="41105E1C"/>
    <w:rsid w:val="4111293F"/>
    <w:rsid w:val="41220E85"/>
    <w:rsid w:val="41251BEA"/>
    <w:rsid w:val="41282BA4"/>
    <w:rsid w:val="413343D5"/>
    <w:rsid w:val="4134670C"/>
    <w:rsid w:val="41371E60"/>
    <w:rsid w:val="413C1DDC"/>
    <w:rsid w:val="41442E53"/>
    <w:rsid w:val="41443C63"/>
    <w:rsid w:val="414907BE"/>
    <w:rsid w:val="414A071B"/>
    <w:rsid w:val="414B1CEA"/>
    <w:rsid w:val="414D066D"/>
    <w:rsid w:val="41573CB7"/>
    <w:rsid w:val="41595E6B"/>
    <w:rsid w:val="415B1E82"/>
    <w:rsid w:val="41656CC8"/>
    <w:rsid w:val="416B0AC1"/>
    <w:rsid w:val="416F6E3A"/>
    <w:rsid w:val="41700B48"/>
    <w:rsid w:val="41774032"/>
    <w:rsid w:val="417A5E3C"/>
    <w:rsid w:val="417F77F2"/>
    <w:rsid w:val="4184464B"/>
    <w:rsid w:val="418C27E9"/>
    <w:rsid w:val="41907A79"/>
    <w:rsid w:val="41937446"/>
    <w:rsid w:val="41AA086E"/>
    <w:rsid w:val="41B37C25"/>
    <w:rsid w:val="41B37CDA"/>
    <w:rsid w:val="41B71BE6"/>
    <w:rsid w:val="41B85692"/>
    <w:rsid w:val="41B91111"/>
    <w:rsid w:val="41B96552"/>
    <w:rsid w:val="41BA27A6"/>
    <w:rsid w:val="41C32CBC"/>
    <w:rsid w:val="41C91F23"/>
    <w:rsid w:val="41CE35D7"/>
    <w:rsid w:val="41D0610C"/>
    <w:rsid w:val="41D271E0"/>
    <w:rsid w:val="41D37207"/>
    <w:rsid w:val="41DC65F1"/>
    <w:rsid w:val="41DE664A"/>
    <w:rsid w:val="41E42BA7"/>
    <w:rsid w:val="41E81C7F"/>
    <w:rsid w:val="41F21650"/>
    <w:rsid w:val="420567B2"/>
    <w:rsid w:val="421977C8"/>
    <w:rsid w:val="421C6BC6"/>
    <w:rsid w:val="421E521A"/>
    <w:rsid w:val="421F5DAA"/>
    <w:rsid w:val="4221092F"/>
    <w:rsid w:val="42217553"/>
    <w:rsid w:val="422279DF"/>
    <w:rsid w:val="42272E58"/>
    <w:rsid w:val="42295028"/>
    <w:rsid w:val="422D1B70"/>
    <w:rsid w:val="422D20BE"/>
    <w:rsid w:val="422D3CF6"/>
    <w:rsid w:val="424110BD"/>
    <w:rsid w:val="4242344A"/>
    <w:rsid w:val="42440530"/>
    <w:rsid w:val="42457DB7"/>
    <w:rsid w:val="42470BEE"/>
    <w:rsid w:val="424B280C"/>
    <w:rsid w:val="424D1FF0"/>
    <w:rsid w:val="424F6122"/>
    <w:rsid w:val="4253402B"/>
    <w:rsid w:val="42534974"/>
    <w:rsid w:val="425D09B3"/>
    <w:rsid w:val="426E0975"/>
    <w:rsid w:val="426E6DC4"/>
    <w:rsid w:val="42720D6F"/>
    <w:rsid w:val="427F46D3"/>
    <w:rsid w:val="42831A07"/>
    <w:rsid w:val="428B4D02"/>
    <w:rsid w:val="428C1DC3"/>
    <w:rsid w:val="428D3FDE"/>
    <w:rsid w:val="42904F37"/>
    <w:rsid w:val="429421B6"/>
    <w:rsid w:val="4295751A"/>
    <w:rsid w:val="42960D53"/>
    <w:rsid w:val="42976791"/>
    <w:rsid w:val="429A016C"/>
    <w:rsid w:val="429F1FFD"/>
    <w:rsid w:val="42A37287"/>
    <w:rsid w:val="42B06C7D"/>
    <w:rsid w:val="42BD028E"/>
    <w:rsid w:val="42CB4AE8"/>
    <w:rsid w:val="42CC37AE"/>
    <w:rsid w:val="42CD0EA8"/>
    <w:rsid w:val="42CD7CB2"/>
    <w:rsid w:val="42CE512C"/>
    <w:rsid w:val="42D26E68"/>
    <w:rsid w:val="42DB2F20"/>
    <w:rsid w:val="42DF74EF"/>
    <w:rsid w:val="42E071B9"/>
    <w:rsid w:val="42E45FA1"/>
    <w:rsid w:val="42E978E0"/>
    <w:rsid w:val="42F0774A"/>
    <w:rsid w:val="42F24672"/>
    <w:rsid w:val="430232B2"/>
    <w:rsid w:val="430367FA"/>
    <w:rsid w:val="43042CD7"/>
    <w:rsid w:val="4311463C"/>
    <w:rsid w:val="43127EA7"/>
    <w:rsid w:val="431303FB"/>
    <w:rsid w:val="431F7D7F"/>
    <w:rsid w:val="432E4FDF"/>
    <w:rsid w:val="43313AB0"/>
    <w:rsid w:val="433C2933"/>
    <w:rsid w:val="43440BCD"/>
    <w:rsid w:val="43464EF5"/>
    <w:rsid w:val="43476297"/>
    <w:rsid w:val="434A1719"/>
    <w:rsid w:val="434E5056"/>
    <w:rsid w:val="43664ADC"/>
    <w:rsid w:val="436A1C47"/>
    <w:rsid w:val="436D14B8"/>
    <w:rsid w:val="436F5A8F"/>
    <w:rsid w:val="43756CBE"/>
    <w:rsid w:val="43765269"/>
    <w:rsid w:val="43782636"/>
    <w:rsid w:val="437A3FDC"/>
    <w:rsid w:val="437E10A5"/>
    <w:rsid w:val="438940A1"/>
    <w:rsid w:val="438A03F2"/>
    <w:rsid w:val="439779B8"/>
    <w:rsid w:val="439A5B26"/>
    <w:rsid w:val="43B06189"/>
    <w:rsid w:val="43BE02CB"/>
    <w:rsid w:val="43BF1217"/>
    <w:rsid w:val="43C40215"/>
    <w:rsid w:val="43C46648"/>
    <w:rsid w:val="43C87ECF"/>
    <w:rsid w:val="43D00701"/>
    <w:rsid w:val="43D1334E"/>
    <w:rsid w:val="43D2055F"/>
    <w:rsid w:val="43D56A0F"/>
    <w:rsid w:val="43DF4EE4"/>
    <w:rsid w:val="43E344BD"/>
    <w:rsid w:val="43E82E48"/>
    <w:rsid w:val="43E922CB"/>
    <w:rsid w:val="43ED4ECC"/>
    <w:rsid w:val="43EE0518"/>
    <w:rsid w:val="43F179EC"/>
    <w:rsid w:val="43FC520C"/>
    <w:rsid w:val="44020F69"/>
    <w:rsid w:val="440F280B"/>
    <w:rsid w:val="441031E0"/>
    <w:rsid w:val="4410666C"/>
    <w:rsid w:val="441E03DE"/>
    <w:rsid w:val="442944F4"/>
    <w:rsid w:val="442978BE"/>
    <w:rsid w:val="442D259A"/>
    <w:rsid w:val="442F61AA"/>
    <w:rsid w:val="44311EB3"/>
    <w:rsid w:val="44327AED"/>
    <w:rsid w:val="443542AF"/>
    <w:rsid w:val="44384958"/>
    <w:rsid w:val="444147D0"/>
    <w:rsid w:val="444715DF"/>
    <w:rsid w:val="4452266F"/>
    <w:rsid w:val="44540DEF"/>
    <w:rsid w:val="445757D8"/>
    <w:rsid w:val="445C2448"/>
    <w:rsid w:val="445E2453"/>
    <w:rsid w:val="44635BD4"/>
    <w:rsid w:val="446C50D3"/>
    <w:rsid w:val="44712BC2"/>
    <w:rsid w:val="447314F4"/>
    <w:rsid w:val="44744CA1"/>
    <w:rsid w:val="44762A15"/>
    <w:rsid w:val="447F09DF"/>
    <w:rsid w:val="447F5FA2"/>
    <w:rsid w:val="4481104D"/>
    <w:rsid w:val="4481202D"/>
    <w:rsid w:val="44884EE0"/>
    <w:rsid w:val="448947B4"/>
    <w:rsid w:val="448B55C9"/>
    <w:rsid w:val="448B632F"/>
    <w:rsid w:val="449B3117"/>
    <w:rsid w:val="44A03A05"/>
    <w:rsid w:val="44A23B2D"/>
    <w:rsid w:val="44A702B0"/>
    <w:rsid w:val="44AA2EEC"/>
    <w:rsid w:val="44AD1D7D"/>
    <w:rsid w:val="44B005B5"/>
    <w:rsid w:val="44B30C01"/>
    <w:rsid w:val="44B67195"/>
    <w:rsid w:val="44BE0A66"/>
    <w:rsid w:val="44C05835"/>
    <w:rsid w:val="44C27F2A"/>
    <w:rsid w:val="44C33958"/>
    <w:rsid w:val="44CA23F6"/>
    <w:rsid w:val="44CD6868"/>
    <w:rsid w:val="44CD6B2D"/>
    <w:rsid w:val="44CE645D"/>
    <w:rsid w:val="44CF0E38"/>
    <w:rsid w:val="44D3486A"/>
    <w:rsid w:val="44DA50C0"/>
    <w:rsid w:val="44DF46B1"/>
    <w:rsid w:val="44EC68EE"/>
    <w:rsid w:val="44F21127"/>
    <w:rsid w:val="44F852AB"/>
    <w:rsid w:val="44F85384"/>
    <w:rsid w:val="45040EB7"/>
    <w:rsid w:val="45164463"/>
    <w:rsid w:val="451A21A7"/>
    <w:rsid w:val="45260177"/>
    <w:rsid w:val="452728D9"/>
    <w:rsid w:val="452B020C"/>
    <w:rsid w:val="452D2426"/>
    <w:rsid w:val="452E5BBF"/>
    <w:rsid w:val="452F2E1A"/>
    <w:rsid w:val="45537FC7"/>
    <w:rsid w:val="455B5A42"/>
    <w:rsid w:val="455E7473"/>
    <w:rsid w:val="4577237B"/>
    <w:rsid w:val="45864BC6"/>
    <w:rsid w:val="4586601F"/>
    <w:rsid w:val="45874ECD"/>
    <w:rsid w:val="45877E32"/>
    <w:rsid w:val="45882F77"/>
    <w:rsid w:val="458C770A"/>
    <w:rsid w:val="458F5575"/>
    <w:rsid w:val="45916272"/>
    <w:rsid w:val="45994D6B"/>
    <w:rsid w:val="45A06A86"/>
    <w:rsid w:val="45AA7D3E"/>
    <w:rsid w:val="45AF04D4"/>
    <w:rsid w:val="45B23E75"/>
    <w:rsid w:val="45B77444"/>
    <w:rsid w:val="45BE076F"/>
    <w:rsid w:val="45BE7407"/>
    <w:rsid w:val="45C02631"/>
    <w:rsid w:val="45C06D25"/>
    <w:rsid w:val="45CB3C11"/>
    <w:rsid w:val="45CF66EC"/>
    <w:rsid w:val="45D14198"/>
    <w:rsid w:val="45D31C52"/>
    <w:rsid w:val="45D4761A"/>
    <w:rsid w:val="45E045EE"/>
    <w:rsid w:val="45E50168"/>
    <w:rsid w:val="45E5444B"/>
    <w:rsid w:val="45E558D4"/>
    <w:rsid w:val="45E63551"/>
    <w:rsid w:val="45EE2CA4"/>
    <w:rsid w:val="45EE3C9C"/>
    <w:rsid w:val="45EF22AA"/>
    <w:rsid w:val="45FB10A9"/>
    <w:rsid w:val="460621CE"/>
    <w:rsid w:val="460E1371"/>
    <w:rsid w:val="461B0781"/>
    <w:rsid w:val="4628518F"/>
    <w:rsid w:val="46304DCB"/>
    <w:rsid w:val="46363C13"/>
    <w:rsid w:val="463F20C1"/>
    <w:rsid w:val="46400F91"/>
    <w:rsid w:val="46441D4E"/>
    <w:rsid w:val="46476FB3"/>
    <w:rsid w:val="464E3196"/>
    <w:rsid w:val="464E701A"/>
    <w:rsid w:val="46573D9E"/>
    <w:rsid w:val="465C50A8"/>
    <w:rsid w:val="465F2BE9"/>
    <w:rsid w:val="46603E4E"/>
    <w:rsid w:val="4662239B"/>
    <w:rsid w:val="46684959"/>
    <w:rsid w:val="466C1CE9"/>
    <w:rsid w:val="467115F6"/>
    <w:rsid w:val="467301CD"/>
    <w:rsid w:val="46774AC4"/>
    <w:rsid w:val="46853FC7"/>
    <w:rsid w:val="46897D85"/>
    <w:rsid w:val="468C41BA"/>
    <w:rsid w:val="468D798C"/>
    <w:rsid w:val="46900CCD"/>
    <w:rsid w:val="469730AD"/>
    <w:rsid w:val="46994886"/>
    <w:rsid w:val="46997E75"/>
    <w:rsid w:val="469C4A66"/>
    <w:rsid w:val="46AB460D"/>
    <w:rsid w:val="46B3042F"/>
    <w:rsid w:val="46B369BA"/>
    <w:rsid w:val="46B768A0"/>
    <w:rsid w:val="46BF7A1A"/>
    <w:rsid w:val="46C653BA"/>
    <w:rsid w:val="46CA1580"/>
    <w:rsid w:val="46CD7CAB"/>
    <w:rsid w:val="46D87092"/>
    <w:rsid w:val="46E65ED2"/>
    <w:rsid w:val="46E76629"/>
    <w:rsid w:val="46F2494B"/>
    <w:rsid w:val="46F44AF0"/>
    <w:rsid w:val="46FF37BC"/>
    <w:rsid w:val="4705409C"/>
    <w:rsid w:val="470C1D90"/>
    <w:rsid w:val="4713395F"/>
    <w:rsid w:val="47155998"/>
    <w:rsid w:val="472145FB"/>
    <w:rsid w:val="47242FFA"/>
    <w:rsid w:val="4724784E"/>
    <w:rsid w:val="47260DE9"/>
    <w:rsid w:val="47293F81"/>
    <w:rsid w:val="472E3779"/>
    <w:rsid w:val="473634FE"/>
    <w:rsid w:val="4741688F"/>
    <w:rsid w:val="4742442C"/>
    <w:rsid w:val="474873A0"/>
    <w:rsid w:val="474964CC"/>
    <w:rsid w:val="474C504F"/>
    <w:rsid w:val="474D7330"/>
    <w:rsid w:val="474E31AB"/>
    <w:rsid w:val="47596016"/>
    <w:rsid w:val="475968D2"/>
    <w:rsid w:val="475C0645"/>
    <w:rsid w:val="47645EAE"/>
    <w:rsid w:val="476B11D6"/>
    <w:rsid w:val="476D1D97"/>
    <w:rsid w:val="476E3B4D"/>
    <w:rsid w:val="47746EA5"/>
    <w:rsid w:val="4779703C"/>
    <w:rsid w:val="477E50A4"/>
    <w:rsid w:val="478467E4"/>
    <w:rsid w:val="47852016"/>
    <w:rsid w:val="47880077"/>
    <w:rsid w:val="4798190B"/>
    <w:rsid w:val="479949C3"/>
    <w:rsid w:val="479A4354"/>
    <w:rsid w:val="479B0C39"/>
    <w:rsid w:val="479E498D"/>
    <w:rsid w:val="479F1526"/>
    <w:rsid w:val="47A51E84"/>
    <w:rsid w:val="47A56925"/>
    <w:rsid w:val="47A81E68"/>
    <w:rsid w:val="47AF5F47"/>
    <w:rsid w:val="47B05C51"/>
    <w:rsid w:val="47B624DE"/>
    <w:rsid w:val="47C17EB6"/>
    <w:rsid w:val="47CA76BF"/>
    <w:rsid w:val="47DA6255"/>
    <w:rsid w:val="47DA7C02"/>
    <w:rsid w:val="47DE45EE"/>
    <w:rsid w:val="47E913F9"/>
    <w:rsid w:val="47E93C36"/>
    <w:rsid w:val="47ED2C30"/>
    <w:rsid w:val="47ED61C9"/>
    <w:rsid w:val="47F178FD"/>
    <w:rsid w:val="47F444B0"/>
    <w:rsid w:val="47FD5CCA"/>
    <w:rsid w:val="47FF0A4D"/>
    <w:rsid w:val="481226FF"/>
    <w:rsid w:val="48154659"/>
    <w:rsid w:val="48164E46"/>
    <w:rsid w:val="481A228A"/>
    <w:rsid w:val="48225389"/>
    <w:rsid w:val="48266E2C"/>
    <w:rsid w:val="48276185"/>
    <w:rsid w:val="482B3FC0"/>
    <w:rsid w:val="483252FD"/>
    <w:rsid w:val="48355976"/>
    <w:rsid w:val="48447027"/>
    <w:rsid w:val="484942F3"/>
    <w:rsid w:val="484970F3"/>
    <w:rsid w:val="484E1F9E"/>
    <w:rsid w:val="485713D2"/>
    <w:rsid w:val="48632AE4"/>
    <w:rsid w:val="48641C2A"/>
    <w:rsid w:val="48654153"/>
    <w:rsid w:val="486825BB"/>
    <w:rsid w:val="488028E2"/>
    <w:rsid w:val="488B6C5D"/>
    <w:rsid w:val="489374AF"/>
    <w:rsid w:val="48950002"/>
    <w:rsid w:val="48A1351F"/>
    <w:rsid w:val="48A20DA2"/>
    <w:rsid w:val="48A27944"/>
    <w:rsid w:val="48A44723"/>
    <w:rsid w:val="48B8313D"/>
    <w:rsid w:val="48BA59C9"/>
    <w:rsid w:val="48BE4C35"/>
    <w:rsid w:val="48BF6498"/>
    <w:rsid w:val="48C06E1F"/>
    <w:rsid w:val="48CC5D04"/>
    <w:rsid w:val="48D05094"/>
    <w:rsid w:val="48D659F2"/>
    <w:rsid w:val="48DC4140"/>
    <w:rsid w:val="48DF7E4A"/>
    <w:rsid w:val="48E9180D"/>
    <w:rsid w:val="48EC25F7"/>
    <w:rsid w:val="48EF3335"/>
    <w:rsid w:val="48F243AE"/>
    <w:rsid w:val="48F40343"/>
    <w:rsid w:val="48F45F04"/>
    <w:rsid w:val="48FF7C2A"/>
    <w:rsid w:val="49003AE2"/>
    <w:rsid w:val="491C470C"/>
    <w:rsid w:val="49230DAC"/>
    <w:rsid w:val="492D6424"/>
    <w:rsid w:val="492F01B7"/>
    <w:rsid w:val="492F58C8"/>
    <w:rsid w:val="49342AFD"/>
    <w:rsid w:val="493B0333"/>
    <w:rsid w:val="493B79ED"/>
    <w:rsid w:val="493E29DC"/>
    <w:rsid w:val="493F3D5F"/>
    <w:rsid w:val="49441687"/>
    <w:rsid w:val="49486E90"/>
    <w:rsid w:val="494C3C60"/>
    <w:rsid w:val="4956090E"/>
    <w:rsid w:val="495C67C5"/>
    <w:rsid w:val="496164FA"/>
    <w:rsid w:val="49647721"/>
    <w:rsid w:val="49700E9F"/>
    <w:rsid w:val="49706B2E"/>
    <w:rsid w:val="49717BD0"/>
    <w:rsid w:val="4976320B"/>
    <w:rsid w:val="49780BD1"/>
    <w:rsid w:val="497D4F5C"/>
    <w:rsid w:val="497F0AF0"/>
    <w:rsid w:val="49823DF7"/>
    <w:rsid w:val="499173F4"/>
    <w:rsid w:val="49974283"/>
    <w:rsid w:val="499A6D58"/>
    <w:rsid w:val="499C4AEB"/>
    <w:rsid w:val="49A36784"/>
    <w:rsid w:val="49A72135"/>
    <w:rsid w:val="49B352C2"/>
    <w:rsid w:val="49BB6B64"/>
    <w:rsid w:val="49BF0EA1"/>
    <w:rsid w:val="49C04EBB"/>
    <w:rsid w:val="49C262BC"/>
    <w:rsid w:val="49C43AF8"/>
    <w:rsid w:val="49C60E65"/>
    <w:rsid w:val="49C702EA"/>
    <w:rsid w:val="49C82042"/>
    <w:rsid w:val="49CB26DC"/>
    <w:rsid w:val="49CF138C"/>
    <w:rsid w:val="49D16D9E"/>
    <w:rsid w:val="49D20258"/>
    <w:rsid w:val="49DA3192"/>
    <w:rsid w:val="49DC10B3"/>
    <w:rsid w:val="49DC7EC9"/>
    <w:rsid w:val="49E313E0"/>
    <w:rsid w:val="49EA42D7"/>
    <w:rsid w:val="49EB0ECC"/>
    <w:rsid w:val="49EB2676"/>
    <w:rsid w:val="49EB3FE4"/>
    <w:rsid w:val="49F75123"/>
    <w:rsid w:val="49FF2A93"/>
    <w:rsid w:val="4A034D80"/>
    <w:rsid w:val="4A041D13"/>
    <w:rsid w:val="4A0B118D"/>
    <w:rsid w:val="4A1577A2"/>
    <w:rsid w:val="4A1771BC"/>
    <w:rsid w:val="4A18799B"/>
    <w:rsid w:val="4A19783C"/>
    <w:rsid w:val="4A1A5414"/>
    <w:rsid w:val="4A1A683D"/>
    <w:rsid w:val="4A274347"/>
    <w:rsid w:val="4A284674"/>
    <w:rsid w:val="4A2E12AF"/>
    <w:rsid w:val="4A2F5CD9"/>
    <w:rsid w:val="4A310904"/>
    <w:rsid w:val="4A356D91"/>
    <w:rsid w:val="4A3831EB"/>
    <w:rsid w:val="4A3A0E35"/>
    <w:rsid w:val="4A426210"/>
    <w:rsid w:val="4A447263"/>
    <w:rsid w:val="4A51486E"/>
    <w:rsid w:val="4A5344D6"/>
    <w:rsid w:val="4A56477C"/>
    <w:rsid w:val="4A587175"/>
    <w:rsid w:val="4A683AEB"/>
    <w:rsid w:val="4A6A5C3C"/>
    <w:rsid w:val="4A6F40F1"/>
    <w:rsid w:val="4A725D54"/>
    <w:rsid w:val="4A781E5D"/>
    <w:rsid w:val="4A7A31CF"/>
    <w:rsid w:val="4A7B726A"/>
    <w:rsid w:val="4A7C590C"/>
    <w:rsid w:val="4A8258CE"/>
    <w:rsid w:val="4A8432F9"/>
    <w:rsid w:val="4A847AA4"/>
    <w:rsid w:val="4A8D0980"/>
    <w:rsid w:val="4A8F337A"/>
    <w:rsid w:val="4A967C85"/>
    <w:rsid w:val="4A9C0994"/>
    <w:rsid w:val="4AA13AA1"/>
    <w:rsid w:val="4AA357BC"/>
    <w:rsid w:val="4AB35BC1"/>
    <w:rsid w:val="4AB80DE3"/>
    <w:rsid w:val="4ABD3131"/>
    <w:rsid w:val="4AC970E9"/>
    <w:rsid w:val="4AD31BCB"/>
    <w:rsid w:val="4AD42319"/>
    <w:rsid w:val="4AE7147F"/>
    <w:rsid w:val="4AEA04CF"/>
    <w:rsid w:val="4AED547D"/>
    <w:rsid w:val="4AF249E9"/>
    <w:rsid w:val="4AF55D42"/>
    <w:rsid w:val="4B051ED2"/>
    <w:rsid w:val="4B056CB5"/>
    <w:rsid w:val="4B073190"/>
    <w:rsid w:val="4B0A7D03"/>
    <w:rsid w:val="4B135BF4"/>
    <w:rsid w:val="4B1A072A"/>
    <w:rsid w:val="4B1D1D77"/>
    <w:rsid w:val="4B1F5FF2"/>
    <w:rsid w:val="4B1F70FE"/>
    <w:rsid w:val="4B32538E"/>
    <w:rsid w:val="4B3306F8"/>
    <w:rsid w:val="4B3328E2"/>
    <w:rsid w:val="4B392870"/>
    <w:rsid w:val="4B3A1770"/>
    <w:rsid w:val="4B3A4B86"/>
    <w:rsid w:val="4B3C0630"/>
    <w:rsid w:val="4B423B36"/>
    <w:rsid w:val="4B4271BF"/>
    <w:rsid w:val="4B462759"/>
    <w:rsid w:val="4B4C3DE5"/>
    <w:rsid w:val="4B515E81"/>
    <w:rsid w:val="4B545697"/>
    <w:rsid w:val="4B565816"/>
    <w:rsid w:val="4B595EC5"/>
    <w:rsid w:val="4B5E0F27"/>
    <w:rsid w:val="4B667F0B"/>
    <w:rsid w:val="4B6C374D"/>
    <w:rsid w:val="4B6D04AC"/>
    <w:rsid w:val="4B7563A6"/>
    <w:rsid w:val="4B985B5C"/>
    <w:rsid w:val="4B9F4F4A"/>
    <w:rsid w:val="4B9F7666"/>
    <w:rsid w:val="4BA5722D"/>
    <w:rsid w:val="4BA700D3"/>
    <w:rsid w:val="4BA75B81"/>
    <w:rsid w:val="4BA8003D"/>
    <w:rsid w:val="4BB430E7"/>
    <w:rsid w:val="4BB74DD0"/>
    <w:rsid w:val="4BB83DE7"/>
    <w:rsid w:val="4BBB2CFA"/>
    <w:rsid w:val="4BBD06A9"/>
    <w:rsid w:val="4BBF719E"/>
    <w:rsid w:val="4BC315EF"/>
    <w:rsid w:val="4BC320BD"/>
    <w:rsid w:val="4BDB2081"/>
    <w:rsid w:val="4BDE0B4C"/>
    <w:rsid w:val="4BE47613"/>
    <w:rsid w:val="4BE750F1"/>
    <w:rsid w:val="4BEE6D31"/>
    <w:rsid w:val="4BEF33C5"/>
    <w:rsid w:val="4BEF5697"/>
    <w:rsid w:val="4BFD7185"/>
    <w:rsid w:val="4BFF1AE8"/>
    <w:rsid w:val="4C075C15"/>
    <w:rsid w:val="4C0807DB"/>
    <w:rsid w:val="4C1E4BE6"/>
    <w:rsid w:val="4C1F699D"/>
    <w:rsid w:val="4C202591"/>
    <w:rsid w:val="4C220BC1"/>
    <w:rsid w:val="4C224C47"/>
    <w:rsid w:val="4C266DF8"/>
    <w:rsid w:val="4C28024C"/>
    <w:rsid w:val="4C2A5898"/>
    <w:rsid w:val="4C2C602B"/>
    <w:rsid w:val="4C357C96"/>
    <w:rsid w:val="4C3678A8"/>
    <w:rsid w:val="4C3F3D4E"/>
    <w:rsid w:val="4C423C66"/>
    <w:rsid w:val="4C4261FD"/>
    <w:rsid w:val="4C47595A"/>
    <w:rsid w:val="4C4B6C96"/>
    <w:rsid w:val="4C4D696E"/>
    <w:rsid w:val="4C507EA8"/>
    <w:rsid w:val="4C526BAA"/>
    <w:rsid w:val="4C58468D"/>
    <w:rsid w:val="4C596B54"/>
    <w:rsid w:val="4C5C63C4"/>
    <w:rsid w:val="4C5D2033"/>
    <w:rsid w:val="4C6262C8"/>
    <w:rsid w:val="4C6803A0"/>
    <w:rsid w:val="4C6C3FDA"/>
    <w:rsid w:val="4C70128B"/>
    <w:rsid w:val="4C733453"/>
    <w:rsid w:val="4C7356B1"/>
    <w:rsid w:val="4C7A0652"/>
    <w:rsid w:val="4C7D0016"/>
    <w:rsid w:val="4C825751"/>
    <w:rsid w:val="4C826E5C"/>
    <w:rsid w:val="4C8325C0"/>
    <w:rsid w:val="4C844270"/>
    <w:rsid w:val="4C8B781E"/>
    <w:rsid w:val="4C8C556B"/>
    <w:rsid w:val="4C8F2F68"/>
    <w:rsid w:val="4CAD1F61"/>
    <w:rsid w:val="4CAD515A"/>
    <w:rsid w:val="4CB24BED"/>
    <w:rsid w:val="4CB96244"/>
    <w:rsid w:val="4CBD5D43"/>
    <w:rsid w:val="4CC36A51"/>
    <w:rsid w:val="4CCA1CCE"/>
    <w:rsid w:val="4CDD4C39"/>
    <w:rsid w:val="4CE339AE"/>
    <w:rsid w:val="4CE64DE6"/>
    <w:rsid w:val="4CE91B33"/>
    <w:rsid w:val="4CEA0A3D"/>
    <w:rsid w:val="4CEA1C2E"/>
    <w:rsid w:val="4CF70B9B"/>
    <w:rsid w:val="4CFA26A6"/>
    <w:rsid w:val="4CFD469E"/>
    <w:rsid w:val="4D05445C"/>
    <w:rsid w:val="4D117D66"/>
    <w:rsid w:val="4D190B7D"/>
    <w:rsid w:val="4D207A1A"/>
    <w:rsid w:val="4D304500"/>
    <w:rsid w:val="4D3640E5"/>
    <w:rsid w:val="4D3F0784"/>
    <w:rsid w:val="4D405BBE"/>
    <w:rsid w:val="4D442307"/>
    <w:rsid w:val="4D473B50"/>
    <w:rsid w:val="4D4E5A4C"/>
    <w:rsid w:val="4D4F7E4D"/>
    <w:rsid w:val="4D530EFF"/>
    <w:rsid w:val="4D586BAC"/>
    <w:rsid w:val="4D597FB3"/>
    <w:rsid w:val="4D5A785C"/>
    <w:rsid w:val="4D5B2AFC"/>
    <w:rsid w:val="4D703184"/>
    <w:rsid w:val="4D7100EF"/>
    <w:rsid w:val="4D7175E5"/>
    <w:rsid w:val="4D7814F2"/>
    <w:rsid w:val="4D7C243E"/>
    <w:rsid w:val="4D7E0AA2"/>
    <w:rsid w:val="4D7F2159"/>
    <w:rsid w:val="4D8072BA"/>
    <w:rsid w:val="4D821E7F"/>
    <w:rsid w:val="4D8706BD"/>
    <w:rsid w:val="4D87402D"/>
    <w:rsid w:val="4D8F42AC"/>
    <w:rsid w:val="4D8F7529"/>
    <w:rsid w:val="4D9377A4"/>
    <w:rsid w:val="4D9528C3"/>
    <w:rsid w:val="4D990DC8"/>
    <w:rsid w:val="4D9F313E"/>
    <w:rsid w:val="4DA046C6"/>
    <w:rsid w:val="4DA87DFE"/>
    <w:rsid w:val="4DA959C2"/>
    <w:rsid w:val="4DB01B95"/>
    <w:rsid w:val="4DB6377B"/>
    <w:rsid w:val="4DB84AB2"/>
    <w:rsid w:val="4DBB6398"/>
    <w:rsid w:val="4DBC573F"/>
    <w:rsid w:val="4DC06EE8"/>
    <w:rsid w:val="4DCF419E"/>
    <w:rsid w:val="4DD15B89"/>
    <w:rsid w:val="4DD25CA1"/>
    <w:rsid w:val="4DD46B72"/>
    <w:rsid w:val="4DD713A5"/>
    <w:rsid w:val="4DD77F19"/>
    <w:rsid w:val="4DDB4596"/>
    <w:rsid w:val="4DE31ED5"/>
    <w:rsid w:val="4DE96645"/>
    <w:rsid w:val="4DEB524A"/>
    <w:rsid w:val="4DF50194"/>
    <w:rsid w:val="4DFB6BA7"/>
    <w:rsid w:val="4E0D46E2"/>
    <w:rsid w:val="4E15365F"/>
    <w:rsid w:val="4E1832D7"/>
    <w:rsid w:val="4E215F71"/>
    <w:rsid w:val="4E222BC3"/>
    <w:rsid w:val="4E290CB2"/>
    <w:rsid w:val="4E305185"/>
    <w:rsid w:val="4E452FBE"/>
    <w:rsid w:val="4E482875"/>
    <w:rsid w:val="4E4C758F"/>
    <w:rsid w:val="4E4F7A40"/>
    <w:rsid w:val="4E500577"/>
    <w:rsid w:val="4E5124C1"/>
    <w:rsid w:val="4E5C3939"/>
    <w:rsid w:val="4E622E14"/>
    <w:rsid w:val="4E66176B"/>
    <w:rsid w:val="4E6A6C00"/>
    <w:rsid w:val="4E6B71B1"/>
    <w:rsid w:val="4E6C51A2"/>
    <w:rsid w:val="4E74062D"/>
    <w:rsid w:val="4E780A89"/>
    <w:rsid w:val="4E8008DB"/>
    <w:rsid w:val="4E8D55B9"/>
    <w:rsid w:val="4E90216A"/>
    <w:rsid w:val="4E91143F"/>
    <w:rsid w:val="4E917E02"/>
    <w:rsid w:val="4E927451"/>
    <w:rsid w:val="4E9804F8"/>
    <w:rsid w:val="4E995140"/>
    <w:rsid w:val="4E99629C"/>
    <w:rsid w:val="4E99634D"/>
    <w:rsid w:val="4E9A0501"/>
    <w:rsid w:val="4E9C4CD6"/>
    <w:rsid w:val="4E9F7298"/>
    <w:rsid w:val="4EA52E42"/>
    <w:rsid w:val="4EB509E6"/>
    <w:rsid w:val="4EB511E8"/>
    <w:rsid w:val="4EB63DC3"/>
    <w:rsid w:val="4EB966D8"/>
    <w:rsid w:val="4EBF5CB0"/>
    <w:rsid w:val="4EC049AD"/>
    <w:rsid w:val="4EC26D36"/>
    <w:rsid w:val="4EC76137"/>
    <w:rsid w:val="4EC915C5"/>
    <w:rsid w:val="4ECC6403"/>
    <w:rsid w:val="4ECD0A53"/>
    <w:rsid w:val="4ECD5CA9"/>
    <w:rsid w:val="4ECE0694"/>
    <w:rsid w:val="4ECF767C"/>
    <w:rsid w:val="4EDC654D"/>
    <w:rsid w:val="4EE95B9E"/>
    <w:rsid w:val="4EEA52DF"/>
    <w:rsid w:val="4EEB6571"/>
    <w:rsid w:val="4EEC05F8"/>
    <w:rsid w:val="4EEE7575"/>
    <w:rsid w:val="4EF75FC6"/>
    <w:rsid w:val="4EF857EC"/>
    <w:rsid w:val="4EF85DB1"/>
    <w:rsid w:val="4EFC2BD5"/>
    <w:rsid w:val="4F1B39FD"/>
    <w:rsid w:val="4F1B5734"/>
    <w:rsid w:val="4F2B3E26"/>
    <w:rsid w:val="4F2D4811"/>
    <w:rsid w:val="4F2D53AE"/>
    <w:rsid w:val="4F376B26"/>
    <w:rsid w:val="4F37784C"/>
    <w:rsid w:val="4F396198"/>
    <w:rsid w:val="4F3E095C"/>
    <w:rsid w:val="4F41617F"/>
    <w:rsid w:val="4F462BE0"/>
    <w:rsid w:val="4F50102B"/>
    <w:rsid w:val="4F5372D4"/>
    <w:rsid w:val="4F5F4B6A"/>
    <w:rsid w:val="4F637AA2"/>
    <w:rsid w:val="4F6718B7"/>
    <w:rsid w:val="4F6B0CFC"/>
    <w:rsid w:val="4F6B69EB"/>
    <w:rsid w:val="4F736CA0"/>
    <w:rsid w:val="4F7E65F0"/>
    <w:rsid w:val="4F947B06"/>
    <w:rsid w:val="4F97453D"/>
    <w:rsid w:val="4F996F03"/>
    <w:rsid w:val="4F9E4FC1"/>
    <w:rsid w:val="4FA50AA1"/>
    <w:rsid w:val="4FAE36CE"/>
    <w:rsid w:val="4FB14790"/>
    <w:rsid w:val="4FB17ED7"/>
    <w:rsid w:val="4FB64988"/>
    <w:rsid w:val="4FB67059"/>
    <w:rsid w:val="4FB84208"/>
    <w:rsid w:val="4FBB2869"/>
    <w:rsid w:val="4FBC0E01"/>
    <w:rsid w:val="4FC5717B"/>
    <w:rsid w:val="4FC65692"/>
    <w:rsid w:val="4FD14C99"/>
    <w:rsid w:val="4FDD6D4E"/>
    <w:rsid w:val="4FE0708A"/>
    <w:rsid w:val="4FE2516C"/>
    <w:rsid w:val="4FE4143F"/>
    <w:rsid w:val="4FFA6EF3"/>
    <w:rsid w:val="50080D17"/>
    <w:rsid w:val="500B2C92"/>
    <w:rsid w:val="50127B67"/>
    <w:rsid w:val="50246DBE"/>
    <w:rsid w:val="50282217"/>
    <w:rsid w:val="502A2B6F"/>
    <w:rsid w:val="50363EE4"/>
    <w:rsid w:val="50380578"/>
    <w:rsid w:val="503C6517"/>
    <w:rsid w:val="504777BD"/>
    <w:rsid w:val="504C34A9"/>
    <w:rsid w:val="505650EA"/>
    <w:rsid w:val="50586B39"/>
    <w:rsid w:val="505C47EB"/>
    <w:rsid w:val="50634F5A"/>
    <w:rsid w:val="506415EF"/>
    <w:rsid w:val="50695811"/>
    <w:rsid w:val="506D1582"/>
    <w:rsid w:val="50713152"/>
    <w:rsid w:val="50785B2E"/>
    <w:rsid w:val="507913D5"/>
    <w:rsid w:val="507A69F8"/>
    <w:rsid w:val="507C0899"/>
    <w:rsid w:val="507C0AD9"/>
    <w:rsid w:val="50817DF6"/>
    <w:rsid w:val="508236F4"/>
    <w:rsid w:val="50844599"/>
    <w:rsid w:val="50847FD4"/>
    <w:rsid w:val="508A7322"/>
    <w:rsid w:val="508E00B0"/>
    <w:rsid w:val="508E61A1"/>
    <w:rsid w:val="50971CA7"/>
    <w:rsid w:val="509D36F3"/>
    <w:rsid w:val="50A67171"/>
    <w:rsid w:val="50A67DDB"/>
    <w:rsid w:val="50AA241E"/>
    <w:rsid w:val="50B12344"/>
    <w:rsid w:val="50B575E3"/>
    <w:rsid w:val="50B667FF"/>
    <w:rsid w:val="50BB4726"/>
    <w:rsid w:val="50D01503"/>
    <w:rsid w:val="50D4614E"/>
    <w:rsid w:val="50DF21E8"/>
    <w:rsid w:val="50DF43D5"/>
    <w:rsid w:val="50EA5301"/>
    <w:rsid w:val="50F42671"/>
    <w:rsid w:val="50F74BC6"/>
    <w:rsid w:val="50FB287E"/>
    <w:rsid w:val="51011D0E"/>
    <w:rsid w:val="510740A4"/>
    <w:rsid w:val="510F6871"/>
    <w:rsid w:val="51104633"/>
    <w:rsid w:val="51126C24"/>
    <w:rsid w:val="5113353D"/>
    <w:rsid w:val="51152942"/>
    <w:rsid w:val="511632A0"/>
    <w:rsid w:val="51171E4B"/>
    <w:rsid w:val="5117566E"/>
    <w:rsid w:val="51187EE5"/>
    <w:rsid w:val="511C6942"/>
    <w:rsid w:val="51244C3B"/>
    <w:rsid w:val="512C7862"/>
    <w:rsid w:val="51373F93"/>
    <w:rsid w:val="514122E2"/>
    <w:rsid w:val="51446FC8"/>
    <w:rsid w:val="514A29B8"/>
    <w:rsid w:val="5150700D"/>
    <w:rsid w:val="515268ED"/>
    <w:rsid w:val="515D7291"/>
    <w:rsid w:val="515E410F"/>
    <w:rsid w:val="516D37A4"/>
    <w:rsid w:val="51724A0B"/>
    <w:rsid w:val="51780CDD"/>
    <w:rsid w:val="517A638F"/>
    <w:rsid w:val="517B583B"/>
    <w:rsid w:val="517D4D67"/>
    <w:rsid w:val="517F187B"/>
    <w:rsid w:val="517F7441"/>
    <w:rsid w:val="517F7AD3"/>
    <w:rsid w:val="517F7BD2"/>
    <w:rsid w:val="51836924"/>
    <w:rsid w:val="51837F40"/>
    <w:rsid w:val="51877A18"/>
    <w:rsid w:val="51877CD8"/>
    <w:rsid w:val="51891DDF"/>
    <w:rsid w:val="518B212C"/>
    <w:rsid w:val="518B73AA"/>
    <w:rsid w:val="518E23F2"/>
    <w:rsid w:val="51900A94"/>
    <w:rsid w:val="51991D9C"/>
    <w:rsid w:val="519942F2"/>
    <w:rsid w:val="519A79F7"/>
    <w:rsid w:val="51AB3BD1"/>
    <w:rsid w:val="51B2727E"/>
    <w:rsid w:val="51B75140"/>
    <w:rsid w:val="51BB6E9D"/>
    <w:rsid w:val="51C328C7"/>
    <w:rsid w:val="51CD728E"/>
    <w:rsid w:val="51D264AC"/>
    <w:rsid w:val="51D9780F"/>
    <w:rsid w:val="51DF0C2E"/>
    <w:rsid w:val="51E13A70"/>
    <w:rsid w:val="51E33BDA"/>
    <w:rsid w:val="51E650A5"/>
    <w:rsid w:val="51E94A7E"/>
    <w:rsid w:val="51EE495E"/>
    <w:rsid w:val="51F07373"/>
    <w:rsid w:val="51F124ED"/>
    <w:rsid w:val="51F12530"/>
    <w:rsid w:val="51F23D17"/>
    <w:rsid w:val="51FE1BEB"/>
    <w:rsid w:val="51FF26BE"/>
    <w:rsid w:val="52032169"/>
    <w:rsid w:val="52091770"/>
    <w:rsid w:val="5209391C"/>
    <w:rsid w:val="520E6035"/>
    <w:rsid w:val="52212010"/>
    <w:rsid w:val="52245EDC"/>
    <w:rsid w:val="522C55EA"/>
    <w:rsid w:val="5239022F"/>
    <w:rsid w:val="524554E2"/>
    <w:rsid w:val="5248624D"/>
    <w:rsid w:val="524B6FB5"/>
    <w:rsid w:val="524D00A8"/>
    <w:rsid w:val="5252196B"/>
    <w:rsid w:val="52577ED0"/>
    <w:rsid w:val="525D5F80"/>
    <w:rsid w:val="52602E55"/>
    <w:rsid w:val="52606B12"/>
    <w:rsid w:val="5263731A"/>
    <w:rsid w:val="52684812"/>
    <w:rsid w:val="52697851"/>
    <w:rsid w:val="526B7B9C"/>
    <w:rsid w:val="527863C1"/>
    <w:rsid w:val="527F0061"/>
    <w:rsid w:val="529C63D4"/>
    <w:rsid w:val="52A104C8"/>
    <w:rsid w:val="52A37792"/>
    <w:rsid w:val="52A425BF"/>
    <w:rsid w:val="52AA72E9"/>
    <w:rsid w:val="52B3272C"/>
    <w:rsid w:val="52B4538A"/>
    <w:rsid w:val="52BC7C19"/>
    <w:rsid w:val="52C61DC7"/>
    <w:rsid w:val="52D70C43"/>
    <w:rsid w:val="52D93AD5"/>
    <w:rsid w:val="52DD1DCD"/>
    <w:rsid w:val="52EE78DF"/>
    <w:rsid w:val="52F00A8D"/>
    <w:rsid w:val="52F33DE6"/>
    <w:rsid w:val="52F567EC"/>
    <w:rsid w:val="52F57DFC"/>
    <w:rsid w:val="52FC4B82"/>
    <w:rsid w:val="52FD7D1E"/>
    <w:rsid w:val="530F683D"/>
    <w:rsid w:val="53103110"/>
    <w:rsid w:val="53106F47"/>
    <w:rsid w:val="531345CD"/>
    <w:rsid w:val="53182B20"/>
    <w:rsid w:val="531F3198"/>
    <w:rsid w:val="531F33EF"/>
    <w:rsid w:val="531F4906"/>
    <w:rsid w:val="532117F1"/>
    <w:rsid w:val="532342BC"/>
    <w:rsid w:val="532472BB"/>
    <w:rsid w:val="53365F9D"/>
    <w:rsid w:val="533953FB"/>
    <w:rsid w:val="533D30C4"/>
    <w:rsid w:val="534B79C1"/>
    <w:rsid w:val="53526FB4"/>
    <w:rsid w:val="53596D7E"/>
    <w:rsid w:val="53637831"/>
    <w:rsid w:val="53695C70"/>
    <w:rsid w:val="53744EF5"/>
    <w:rsid w:val="537675BD"/>
    <w:rsid w:val="53792691"/>
    <w:rsid w:val="537A0761"/>
    <w:rsid w:val="538016B4"/>
    <w:rsid w:val="538018DE"/>
    <w:rsid w:val="53833D12"/>
    <w:rsid w:val="538A5AA9"/>
    <w:rsid w:val="53923100"/>
    <w:rsid w:val="53942BAB"/>
    <w:rsid w:val="53946D74"/>
    <w:rsid w:val="5398690D"/>
    <w:rsid w:val="539B62A7"/>
    <w:rsid w:val="539B709D"/>
    <w:rsid w:val="539F7C30"/>
    <w:rsid w:val="53A052B8"/>
    <w:rsid w:val="53A06BA4"/>
    <w:rsid w:val="53A13E0F"/>
    <w:rsid w:val="53AA0D69"/>
    <w:rsid w:val="53AE684E"/>
    <w:rsid w:val="53B064FD"/>
    <w:rsid w:val="53C60DEF"/>
    <w:rsid w:val="53D36EC9"/>
    <w:rsid w:val="53D46172"/>
    <w:rsid w:val="53D62A0C"/>
    <w:rsid w:val="53D92254"/>
    <w:rsid w:val="53DC1AFE"/>
    <w:rsid w:val="53E34F02"/>
    <w:rsid w:val="53E75F16"/>
    <w:rsid w:val="53EB0FF8"/>
    <w:rsid w:val="53EB16A0"/>
    <w:rsid w:val="53EB33C6"/>
    <w:rsid w:val="53EF00E6"/>
    <w:rsid w:val="53FA4073"/>
    <w:rsid w:val="53FD6746"/>
    <w:rsid w:val="53FE2EBC"/>
    <w:rsid w:val="54014553"/>
    <w:rsid w:val="5406124D"/>
    <w:rsid w:val="540C7688"/>
    <w:rsid w:val="540E268E"/>
    <w:rsid w:val="540E3BFF"/>
    <w:rsid w:val="541351A2"/>
    <w:rsid w:val="541A3BF0"/>
    <w:rsid w:val="541D11E9"/>
    <w:rsid w:val="541D1326"/>
    <w:rsid w:val="541E5EF0"/>
    <w:rsid w:val="54226AFD"/>
    <w:rsid w:val="54256E58"/>
    <w:rsid w:val="54271643"/>
    <w:rsid w:val="5432056C"/>
    <w:rsid w:val="54327389"/>
    <w:rsid w:val="543418D9"/>
    <w:rsid w:val="54341E24"/>
    <w:rsid w:val="543B7739"/>
    <w:rsid w:val="543E51FD"/>
    <w:rsid w:val="54501EBF"/>
    <w:rsid w:val="5452268D"/>
    <w:rsid w:val="545E11E5"/>
    <w:rsid w:val="545F500A"/>
    <w:rsid w:val="546B7521"/>
    <w:rsid w:val="54705296"/>
    <w:rsid w:val="54787EA8"/>
    <w:rsid w:val="547F0909"/>
    <w:rsid w:val="548232A2"/>
    <w:rsid w:val="5482546A"/>
    <w:rsid w:val="54835932"/>
    <w:rsid w:val="54895294"/>
    <w:rsid w:val="548970D3"/>
    <w:rsid w:val="548F0149"/>
    <w:rsid w:val="54902FF6"/>
    <w:rsid w:val="54903C5B"/>
    <w:rsid w:val="54A0578F"/>
    <w:rsid w:val="54A326D4"/>
    <w:rsid w:val="54A430DC"/>
    <w:rsid w:val="54AD54DA"/>
    <w:rsid w:val="54AE0323"/>
    <w:rsid w:val="54AF1DCA"/>
    <w:rsid w:val="54AF3D87"/>
    <w:rsid w:val="54B2167C"/>
    <w:rsid w:val="54B24037"/>
    <w:rsid w:val="54B27B02"/>
    <w:rsid w:val="54BB3C28"/>
    <w:rsid w:val="54BF0BCE"/>
    <w:rsid w:val="54BF55D1"/>
    <w:rsid w:val="54BF76C3"/>
    <w:rsid w:val="54C87558"/>
    <w:rsid w:val="54C93969"/>
    <w:rsid w:val="54CD3971"/>
    <w:rsid w:val="54CF27A9"/>
    <w:rsid w:val="54D31D18"/>
    <w:rsid w:val="54D629CF"/>
    <w:rsid w:val="54D75A60"/>
    <w:rsid w:val="54D83E0C"/>
    <w:rsid w:val="54DD3C4A"/>
    <w:rsid w:val="54E04191"/>
    <w:rsid w:val="54E61F88"/>
    <w:rsid w:val="54E66943"/>
    <w:rsid w:val="54E94585"/>
    <w:rsid w:val="54EF2F32"/>
    <w:rsid w:val="54F47C83"/>
    <w:rsid w:val="54F86E02"/>
    <w:rsid w:val="54FA2027"/>
    <w:rsid w:val="54FA6F8B"/>
    <w:rsid w:val="551207F8"/>
    <w:rsid w:val="55136BC7"/>
    <w:rsid w:val="551D1A3E"/>
    <w:rsid w:val="552668CC"/>
    <w:rsid w:val="552F77C2"/>
    <w:rsid w:val="553603BC"/>
    <w:rsid w:val="5537229C"/>
    <w:rsid w:val="55376219"/>
    <w:rsid w:val="553B371E"/>
    <w:rsid w:val="55482DB7"/>
    <w:rsid w:val="55542F0A"/>
    <w:rsid w:val="55587D9A"/>
    <w:rsid w:val="55590F2B"/>
    <w:rsid w:val="555D438D"/>
    <w:rsid w:val="555F1D9C"/>
    <w:rsid w:val="556C648C"/>
    <w:rsid w:val="556E1F35"/>
    <w:rsid w:val="55774E41"/>
    <w:rsid w:val="55780750"/>
    <w:rsid w:val="557F0619"/>
    <w:rsid w:val="55806BD5"/>
    <w:rsid w:val="558D7248"/>
    <w:rsid w:val="55902ADE"/>
    <w:rsid w:val="55916EC4"/>
    <w:rsid w:val="5597619E"/>
    <w:rsid w:val="55A103E3"/>
    <w:rsid w:val="55A25964"/>
    <w:rsid w:val="55A81BF4"/>
    <w:rsid w:val="55AC4B2A"/>
    <w:rsid w:val="55B165ED"/>
    <w:rsid w:val="55BE0CCB"/>
    <w:rsid w:val="55C41D78"/>
    <w:rsid w:val="55C574CB"/>
    <w:rsid w:val="55C676ED"/>
    <w:rsid w:val="55D05F3C"/>
    <w:rsid w:val="55D31350"/>
    <w:rsid w:val="55D40A9C"/>
    <w:rsid w:val="55D61889"/>
    <w:rsid w:val="55E437E9"/>
    <w:rsid w:val="55E55DFD"/>
    <w:rsid w:val="55E6716B"/>
    <w:rsid w:val="55EC036C"/>
    <w:rsid w:val="55F24E97"/>
    <w:rsid w:val="55FB3633"/>
    <w:rsid w:val="56031829"/>
    <w:rsid w:val="56074FF0"/>
    <w:rsid w:val="56087717"/>
    <w:rsid w:val="560C38B1"/>
    <w:rsid w:val="56144496"/>
    <w:rsid w:val="561B0ED2"/>
    <w:rsid w:val="561D4671"/>
    <w:rsid w:val="562003B9"/>
    <w:rsid w:val="562B4840"/>
    <w:rsid w:val="562D2745"/>
    <w:rsid w:val="563C3DB4"/>
    <w:rsid w:val="5645124E"/>
    <w:rsid w:val="564845FE"/>
    <w:rsid w:val="5652696E"/>
    <w:rsid w:val="5654542C"/>
    <w:rsid w:val="56582F1D"/>
    <w:rsid w:val="565852EB"/>
    <w:rsid w:val="565B58C5"/>
    <w:rsid w:val="565F6C0C"/>
    <w:rsid w:val="56681736"/>
    <w:rsid w:val="5669691E"/>
    <w:rsid w:val="566C03A6"/>
    <w:rsid w:val="567216DD"/>
    <w:rsid w:val="56725887"/>
    <w:rsid w:val="567A690C"/>
    <w:rsid w:val="567C5F1D"/>
    <w:rsid w:val="56820D2C"/>
    <w:rsid w:val="568701B0"/>
    <w:rsid w:val="568A5AB2"/>
    <w:rsid w:val="568A7507"/>
    <w:rsid w:val="568C1526"/>
    <w:rsid w:val="568E141A"/>
    <w:rsid w:val="56925381"/>
    <w:rsid w:val="56972A41"/>
    <w:rsid w:val="569E6324"/>
    <w:rsid w:val="56A37BAE"/>
    <w:rsid w:val="56AA379A"/>
    <w:rsid w:val="56AC2653"/>
    <w:rsid w:val="56B72F73"/>
    <w:rsid w:val="56B828B5"/>
    <w:rsid w:val="56BA4C2F"/>
    <w:rsid w:val="56BE2B73"/>
    <w:rsid w:val="56C76BF2"/>
    <w:rsid w:val="56CF6323"/>
    <w:rsid w:val="56D16224"/>
    <w:rsid w:val="56E32E7C"/>
    <w:rsid w:val="56E42975"/>
    <w:rsid w:val="56E53AFF"/>
    <w:rsid w:val="56E8245C"/>
    <w:rsid w:val="56EA1A3D"/>
    <w:rsid w:val="56EC1ACB"/>
    <w:rsid w:val="56EC1B8F"/>
    <w:rsid w:val="56EE18CA"/>
    <w:rsid w:val="56F0619F"/>
    <w:rsid w:val="56F34076"/>
    <w:rsid w:val="56F37F75"/>
    <w:rsid w:val="56F52255"/>
    <w:rsid w:val="56F53DFC"/>
    <w:rsid w:val="56F544E8"/>
    <w:rsid w:val="56F54E6F"/>
    <w:rsid w:val="56FE0A27"/>
    <w:rsid w:val="56FF1087"/>
    <w:rsid w:val="570B4CD6"/>
    <w:rsid w:val="570D0841"/>
    <w:rsid w:val="570D6955"/>
    <w:rsid w:val="570F2C12"/>
    <w:rsid w:val="571131B1"/>
    <w:rsid w:val="571624D0"/>
    <w:rsid w:val="57187E3A"/>
    <w:rsid w:val="572371F0"/>
    <w:rsid w:val="57251249"/>
    <w:rsid w:val="57292EAC"/>
    <w:rsid w:val="572F1C1B"/>
    <w:rsid w:val="5733331D"/>
    <w:rsid w:val="57383AAF"/>
    <w:rsid w:val="5748657C"/>
    <w:rsid w:val="574B6F37"/>
    <w:rsid w:val="5751005A"/>
    <w:rsid w:val="57511083"/>
    <w:rsid w:val="575968F9"/>
    <w:rsid w:val="57613450"/>
    <w:rsid w:val="57633F0A"/>
    <w:rsid w:val="57634240"/>
    <w:rsid w:val="5766610D"/>
    <w:rsid w:val="576A1F9F"/>
    <w:rsid w:val="576C6340"/>
    <w:rsid w:val="576D3D00"/>
    <w:rsid w:val="576E4BAA"/>
    <w:rsid w:val="576F0AEA"/>
    <w:rsid w:val="57787F2B"/>
    <w:rsid w:val="57805563"/>
    <w:rsid w:val="5783001F"/>
    <w:rsid w:val="57890F28"/>
    <w:rsid w:val="579950E6"/>
    <w:rsid w:val="579E7A0D"/>
    <w:rsid w:val="57A12D6E"/>
    <w:rsid w:val="57A84913"/>
    <w:rsid w:val="57AF6D5A"/>
    <w:rsid w:val="57B31578"/>
    <w:rsid w:val="57BA3D45"/>
    <w:rsid w:val="57BC3E05"/>
    <w:rsid w:val="57C27A81"/>
    <w:rsid w:val="57C96483"/>
    <w:rsid w:val="57CF773D"/>
    <w:rsid w:val="57D81739"/>
    <w:rsid w:val="57DF0AF9"/>
    <w:rsid w:val="57E15854"/>
    <w:rsid w:val="57E31C9F"/>
    <w:rsid w:val="57EA27B9"/>
    <w:rsid w:val="57EC266A"/>
    <w:rsid w:val="57EC5C1B"/>
    <w:rsid w:val="57F359EC"/>
    <w:rsid w:val="57FE3057"/>
    <w:rsid w:val="58007024"/>
    <w:rsid w:val="58036B77"/>
    <w:rsid w:val="5808349B"/>
    <w:rsid w:val="580B5CB8"/>
    <w:rsid w:val="580C708F"/>
    <w:rsid w:val="580D35EF"/>
    <w:rsid w:val="58125526"/>
    <w:rsid w:val="581C7865"/>
    <w:rsid w:val="583E7BFB"/>
    <w:rsid w:val="5843755E"/>
    <w:rsid w:val="584A4931"/>
    <w:rsid w:val="584F6A87"/>
    <w:rsid w:val="584F735A"/>
    <w:rsid w:val="58577B77"/>
    <w:rsid w:val="5858117B"/>
    <w:rsid w:val="585A673E"/>
    <w:rsid w:val="585B221C"/>
    <w:rsid w:val="58613B4F"/>
    <w:rsid w:val="58657819"/>
    <w:rsid w:val="58661FE2"/>
    <w:rsid w:val="58675FD0"/>
    <w:rsid w:val="586D1CE4"/>
    <w:rsid w:val="586D2402"/>
    <w:rsid w:val="586E2791"/>
    <w:rsid w:val="587026A2"/>
    <w:rsid w:val="58852958"/>
    <w:rsid w:val="589A0B5C"/>
    <w:rsid w:val="589E32FD"/>
    <w:rsid w:val="58A06C6D"/>
    <w:rsid w:val="58A272D4"/>
    <w:rsid w:val="58A42FAF"/>
    <w:rsid w:val="58A806F9"/>
    <w:rsid w:val="58A93C79"/>
    <w:rsid w:val="58AC0377"/>
    <w:rsid w:val="58AE5912"/>
    <w:rsid w:val="58AF5680"/>
    <w:rsid w:val="58B73CE0"/>
    <w:rsid w:val="58BF4AF4"/>
    <w:rsid w:val="58C573A9"/>
    <w:rsid w:val="58CA7CD3"/>
    <w:rsid w:val="58CD38C7"/>
    <w:rsid w:val="58D848B3"/>
    <w:rsid w:val="58DA62F7"/>
    <w:rsid w:val="58DB4DC1"/>
    <w:rsid w:val="58DB4FED"/>
    <w:rsid w:val="58E2207D"/>
    <w:rsid w:val="58F24E63"/>
    <w:rsid w:val="58F70677"/>
    <w:rsid w:val="58F94FA3"/>
    <w:rsid w:val="58FB0CDD"/>
    <w:rsid w:val="58FE0953"/>
    <w:rsid w:val="590F70AC"/>
    <w:rsid w:val="591253B7"/>
    <w:rsid w:val="59183A98"/>
    <w:rsid w:val="591935BF"/>
    <w:rsid w:val="59222CDF"/>
    <w:rsid w:val="59294CE9"/>
    <w:rsid w:val="592B00FB"/>
    <w:rsid w:val="593473CD"/>
    <w:rsid w:val="593673C2"/>
    <w:rsid w:val="594059E9"/>
    <w:rsid w:val="59427F82"/>
    <w:rsid w:val="594A777A"/>
    <w:rsid w:val="594A7EB2"/>
    <w:rsid w:val="5951471A"/>
    <w:rsid w:val="5955247A"/>
    <w:rsid w:val="59596B59"/>
    <w:rsid w:val="595A1888"/>
    <w:rsid w:val="596143C5"/>
    <w:rsid w:val="59695388"/>
    <w:rsid w:val="596F273B"/>
    <w:rsid w:val="59721D53"/>
    <w:rsid w:val="5974707D"/>
    <w:rsid w:val="597F68A0"/>
    <w:rsid w:val="59825D17"/>
    <w:rsid w:val="59834F0A"/>
    <w:rsid w:val="59872FEE"/>
    <w:rsid w:val="598B0C98"/>
    <w:rsid w:val="598F4748"/>
    <w:rsid w:val="59900C1B"/>
    <w:rsid w:val="59977DE7"/>
    <w:rsid w:val="599A5045"/>
    <w:rsid w:val="59A07FBA"/>
    <w:rsid w:val="59A319B9"/>
    <w:rsid w:val="59A94C93"/>
    <w:rsid w:val="59AC1CC4"/>
    <w:rsid w:val="59AF378C"/>
    <w:rsid w:val="59B57019"/>
    <w:rsid w:val="59C254E4"/>
    <w:rsid w:val="59D73B20"/>
    <w:rsid w:val="59D9419E"/>
    <w:rsid w:val="59E51E58"/>
    <w:rsid w:val="59E64EA0"/>
    <w:rsid w:val="59E84E2D"/>
    <w:rsid w:val="59EA5D1C"/>
    <w:rsid w:val="59EC2844"/>
    <w:rsid w:val="59ED6D12"/>
    <w:rsid w:val="59EE4F36"/>
    <w:rsid w:val="59F437B9"/>
    <w:rsid w:val="59F8641C"/>
    <w:rsid w:val="59F869E4"/>
    <w:rsid w:val="59FD65CB"/>
    <w:rsid w:val="5A0058FD"/>
    <w:rsid w:val="5A0725EA"/>
    <w:rsid w:val="5A0777BA"/>
    <w:rsid w:val="5A1034A5"/>
    <w:rsid w:val="5A1342CA"/>
    <w:rsid w:val="5A196561"/>
    <w:rsid w:val="5A1A1AF5"/>
    <w:rsid w:val="5A1B2ED2"/>
    <w:rsid w:val="5A1D684D"/>
    <w:rsid w:val="5A2A0FEF"/>
    <w:rsid w:val="5A2D4220"/>
    <w:rsid w:val="5A2F2870"/>
    <w:rsid w:val="5A314A60"/>
    <w:rsid w:val="5A3265B1"/>
    <w:rsid w:val="5A3544ED"/>
    <w:rsid w:val="5A4073C4"/>
    <w:rsid w:val="5A4770F1"/>
    <w:rsid w:val="5A480A6E"/>
    <w:rsid w:val="5A4C738D"/>
    <w:rsid w:val="5A540213"/>
    <w:rsid w:val="5A56089F"/>
    <w:rsid w:val="5A582108"/>
    <w:rsid w:val="5A586458"/>
    <w:rsid w:val="5A641EEA"/>
    <w:rsid w:val="5A6822C0"/>
    <w:rsid w:val="5A6C6D79"/>
    <w:rsid w:val="5A6D1D95"/>
    <w:rsid w:val="5A6D2179"/>
    <w:rsid w:val="5A6E5F3A"/>
    <w:rsid w:val="5A721BAF"/>
    <w:rsid w:val="5A77689A"/>
    <w:rsid w:val="5A7B3E2D"/>
    <w:rsid w:val="5A8022BB"/>
    <w:rsid w:val="5A8144E0"/>
    <w:rsid w:val="5A872280"/>
    <w:rsid w:val="5A8742C1"/>
    <w:rsid w:val="5A92255B"/>
    <w:rsid w:val="5A936E00"/>
    <w:rsid w:val="5A942CE5"/>
    <w:rsid w:val="5A973803"/>
    <w:rsid w:val="5A986047"/>
    <w:rsid w:val="5A9B2395"/>
    <w:rsid w:val="5A9E53E6"/>
    <w:rsid w:val="5AA03F23"/>
    <w:rsid w:val="5AA13084"/>
    <w:rsid w:val="5AA637DC"/>
    <w:rsid w:val="5AA72BBB"/>
    <w:rsid w:val="5AA953AA"/>
    <w:rsid w:val="5AAF08B3"/>
    <w:rsid w:val="5AB24646"/>
    <w:rsid w:val="5AB60E21"/>
    <w:rsid w:val="5AB72BBB"/>
    <w:rsid w:val="5AB94207"/>
    <w:rsid w:val="5AC23509"/>
    <w:rsid w:val="5AC461F6"/>
    <w:rsid w:val="5AC74589"/>
    <w:rsid w:val="5AC756F9"/>
    <w:rsid w:val="5AC87B7B"/>
    <w:rsid w:val="5AC94269"/>
    <w:rsid w:val="5AC9502C"/>
    <w:rsid w:val="5ACC33CE"/>
    <w:rsid w:val="5ACF54BF"/>
    <w:rsid w:val="5AE55C92"/>
    <w:rsid w:val="5AE6122C"/>
    <w:rsid w:val="5AE811BC"/>
    <w:rsid w:val="5AED38AC"/>
    <w:rsid w:val="5AF82E8D"/>
    <w:rsid w:val="5AFA5402"/>
    <w:rsid w:val="5AFA55D2"/>
    <w:rsid w:val="5AFB6566"/>
    <w:rsid w:val="5B02473A"/>
    <w:rsid w:val="5B040066"/>
    <w:rsid w:val="5B09356B"/>
    <w:rsid w:val="5B0F3011"/>
    <w:rsid w:val="5B191542"/>
    <w:rsid w:val="5B1B163C"/>
    <w:rsid w:val="5B1C2A31"/>
    <w:rsid w:val="5B210CB0"/>
    <w:rsid w:val="5B24087D"/>
    <w:rsid w:val="5B2A030C"/>
    <w:rsid w:val="5B2E3457"/>
    <w:rsid w:val="5B33102F"/>
    <w:rsid w:val="5B376D96"/>
    <w:rsid w:val="5B42147C"/>
    <w:rsid w:val="5B4366AE"/>
    <w:rsid w:val="5B4530DA"/>
    <w:rsid w:val="5B484D00"/>
    <w:rsid w:val="5B4D4360"/>
    <w:rsid w:val="5B5E62B3"/>
    <w:rsid w:val="5B5F6B00"/>
    <w:rsid w:val="5B611116"/>
    <w:rsid w:val="5B671DBE"/>
    <w:rsid w:val="5B6B5FE6"/>
    <w:rsid w:val="5B6D05D8"/>
    <w:rsid w:val="5B6E1D0F"/>
    <w:rsid w:val="5B736C81"/>
    <w:rsid w:val="5B750264"/>
    <w:rsid w:val="5B776779"/>
    <w:rsid w:val="5B786493"/>
    <w:rsid w:val="5B7C25C4"/>
    <w:rsid w:val="5B7F1DA3"/>
    <w:rsid w:val="5B820976"/>
    <w:rsid w:val="5B844325"/>
    <w:rsid w:val="5B872D9A"/>
    <w:rsid w:val="5BA01810"/>
    <w:rsid w:val="5BA22335"/>
    <w:rsid w:val="5BA3035C"/>
    <w:rsid w:val="5BA43858"/>
    <w:rsid w:val="5BA8754A"/>
    <w:rsid w:val="5BA96D5C"/>
    <w:rsid w:val="5BAF28FE"/>
    <w:rsid w:val="5BB5726C"/>
    <w:rsid w:val="5BC213C0"/>
    <w:rsid w:val="5BCA7BAB"/>
    <w:rsid w:val="5BCB44FD"/>
    <w:rsid w:val="5BD02648"/>
    <w:rsid w:val="5BD96A80"/>
    <w:rsid w:val="5BDC7C70"/>
    <w:rsid w:val="5BE76F87"/>
    <w:rsid w:val="5BE976C0"/>
    <w:rsid w:val="5BEE06F7"/>
    <w:rsid w:val="5BF24257"/>
    <w:rsid w:val="5BF5164A"/>
    <w:rsid w:val="5BF5233D"/>
    <w:rsid w:val="5BF8231C"/>
    <w:rsid w:val="5BF9068D"/>
    <w:rsid w:val="5BF979AC"/>
    <w:rsid w:val="5BFC4D83"/>
    <w:rsid w:val="5BFC7BEE"/>
    <w:rsid w:val="5BFD34B9"/>
    <w:rsid w:val="5C026BB3"/>
    <w:rsid w:val="5C1844B8"/>
    <w:rsid w:val="5C1F58A6"/>
    <w:rsid w:val="5C206F14"/>
    <w:rsid w:val="5C2A3723"/>
    <w:rsid w:val="5C2B047B"/>
    <w:rsid w:val="5C2D0303"/>
    <w:rsid w:val="5C2F6D0D"/>
    <w:rsid w:val="5C306CF4"/>
    <w:rsid w:val="5C35650D"/>
    <w:rsid w:val="5C3C08E3"/>
    <w:rsid w:val="5C3F718C"/>
    <w:rsid w:val="5C400E75"/>
    <w:rsid w:val="5C401E43"/>
    <w:rsid w:val="5C477306"/>
    <w:rsid w:val="5C4B4858"/>
    <w:rsid w:val="5C524684"/>
    <w:rsid w:val="5C553AAD"/>
    <w:rsid w:val="5C564391"/>
    <w:rsid w:val="5C594B2F"/>
    <w:rsid w:val="5C5A38B4"/>
    <w:rsid w:val="5C5D42E7"/>
    <w:rsid w:val="5C612948"/>
    <w:rsid w:val="5C770E91"/>
    <w:rsid w:val="5C823CD0"/>
    <w:rsid w:val="5C8429FF"/>
    <w:rsid w:val="5C942534"/>
    <w:rsid w:val="5C9565E3"/>
    <w:rsid w:val="5C976416"/>
    <w:rsid w:val="5C9F6045"/>
    <w:rsid w:val="5CA27E68"/>
    <w:rsid w:val="5CA346A4"/>
    <w:rsid w:val="5CA80E6F"/>
    <w:rsid w:val="5CA82AA8"/>
    <w:rsid w:val="5CAB2FDF"/>
    <w:rsid w:val="5CAD49E9"/>
    <w:rsid w:val="5CB8094C"/>
    <w:rsid w:val="5CBC05DB"/>
    <w:rsid w:val="5CBC6858"/>
    <w:rsid w:val="5CBF5378"/>
    <w:rsid w:val="5CC4702A"/>
    <w:rsid w:val="5CC51E73"/>
    <w:rsid w:val="5CCA3027"/>
    <w:rsid w:val="5CCA498F"/>
    <w:rsid w:val="5CCB39BE"/>
    <w:rsid w:val="5CCC26A3"/>
    <w:rsid w:val="5CD16F34"/>
    <w:rsid w:val="5CD31DC1"/>
    <w:rsid w:val="5CD362BD"/>
    <w:rsid w:val="5CE64989"/>
    <w:rsid w:val="5CEB5FFC"/>
    <w:rsid w:val="5CEE5A05"/>
    <w:rsid w:val="5CF657A3"/>
    <w:rsid w:val="5CFA02C7"/>
    <w:rsid w:val="5CFA58B3"/>
    <w:rsid w:val="5CFD2997"/>
    <w:rsid w:val="5CFD5BAB"/>
    <w:rsid w:val="5CFE166B"/>
    <w:rsid w:val="5CFE566F"/>
    <w:rsid w:val="5D015E8C"/>
    <w:rsid w:val="5D09235E"/>
    <w:rsid w:val="5D0E28DE"/>
    <w:rsid w:val="5D1206AF"/>
    <w:rsid w:val="5D132E43"/>
    <w:rsid w:val="5D1A4518"/>
    <w:rsid w:val="5D1B0903"/>
    <w:rsid w:val="5D1C7A02"/>
    <w:rsid w:val="5D235BBC"/>
    <w:rsid w:val="5D236C38"/>
    <w:rsid w:val="5D2C60FF"/>
    <w:rsid w:val="5D360383"/>
    <w:rsid w:val="5D394B0E"/>
    <w:rsid w:val="5D3B0E20"/>
    <w:rsid w:val="5D3C6663"/>
    <w:rsid w:val="5D3E6807"/>
    <w:rsid w:val="5D454E5F"/>
    <w:rsid w:val="5D465B41"/>
    <w:rsid w:val="5D4F3451"/>
    <w:rsid w:val="5D567FF2"/>
    <w:rsid w:val="5D5944EA"/>
    <w:rsid w:val="5D5A30F0"/>
    <w:rsid w:val="5D66638F"/>
    <w:rsid w:val="5D711775"/>
    <w:rsid w:val="5D7B11FB"/>
    <w:rsid w:val="5D7B298D"/>
    <w:rsid w:val="5D7E329D"/>
    <w:rsid w:val="5D8352DB"/>
    <w:rsid w:val="5D8539FE"/>
    <w:rsid w:val="5D866194"/>
    <w:rsid w:val="5D8A51EC"/>
    <w:rsid w:val="5D8C5A51"/>
    <w:rsid w:val="5D935445"/>
    <w:rsid w:val="5D997A66"/>
    <w:rsid w:val="5D9A5D43"/>
    <w:rsid w:val="5D9B02A1"/>
    <w:rsid w:val="5DA64A3B"/>
    <w:rsid w:val="5DAD1EB0"/>
    <w:rsid w:val="5DAF0EBF"/>
    <w:rsid w:val="5DAF1E6A"/>
    <w:rsid w:val="5DAF7123"/>
    <w:rsid w:val="5DBB48D0"/>
    <w:rsid w:val="5DBC6D07"/>
    <w:rsid w:val="5DC71578"/>
    <w:rsid w:val="5DC735D7"/>
    <w:rsid w:val="5DCC664D"/>
    <w:rsid w:val="5DD66DF4"/>
    <w:rsid w:val="5DDA43F0"/>
    <w:rsid w:val="5DDD0303"/>
    <w:rsid w:val="5DDE7148"/>
    <w:rsid w:val="5DE72D28"/>
    <w:rsid w:val="5DE87BB0"/>
    <w:rsid w:val="5E035BBE"/>
    <w:rsid w:val="5E0E190E"/>
    <w:rsid w:val="5E10083C"/>
    <w:rsid w:val="5E125077"/>
    <w:rsid w:val="5E135ADB"/>
    <w:rsid w:val="5E143C53"/>
    <w:rsid w:val="5E193A2D"/>
    <w:rsid w:val="5E1953B9"/>
    <w:rsid w:val="5E1B496B"/>
    <w:rsid w:val="5E234404"/>
    <w:rsid w:val="5E264A08"/>
    <w:rsid w:val="5E2A4877"/>
    <w:rsid w:val="5E3131BA"/>
    <w:rsid w:val="5E3600D4"/>
    <w:rsid w:val="5E3A583E"/>
    <w:rsid w:val="5E3A5EC9"/>
    <w:rsid w:val="5E3C3DB3"/>
    <w:rsid w:val="5E492D76"/>
    <w:rsid w:val="5E4F2932"/>
    <w:rsid w:val="5E502102"/>
    <w:rsid w:val="5E540BF0"/>
    <w:rsid w:val="5E5D603E"/>
    <w:rsid w:val="5E626196"/>
    <w:rsid w:val="5E674C0C"/>
    <w:rsid w:val="5E677EF5"/>
    <w:rsid w:val="5E6931D6"/>
    <w:rsid w:val="5E6C77C4"/>
    <w:rsid w:val="5E6E0E08"/>
    <w:rsid w:val="5E6E60BC"/>
    <w:rsid w:val="5E6E6C51"/>
    <w:rsid w:val="5E7165EA"/>
    <w:rsid w:val="5E7A4D2D"/>
    <w:rsid w:val="5E7C30A2"/>
    <w:rsid w:val="5E7E02F1"/>
    <w:rsid w:val="5E895599"/>
    <w:rsid w:val="5E931EF5"/>
    <w:rsid w:val="5E9A5609"/>
    <w:rsid w:val="5EA30F5F"/>
    <w:rsid w:val="5EA65807"/>
    <w:rsid w:val="5EA719C2"/>
    <w:rsid w:val="5EA91E2D"/>
    <w:rsid w:val="5EAF1996"/>
    <w:rsid w:val="5EB0041D"/>
    <w:rsid w:val="5EB271B5"/>
    <w:rsid w:val="5EB96693"/>
    <w:rsid w:val="5EC01E39"/>
    <w:rsid w:val="5ED868CE"/>
    <w:rsid w:val="5EDC01AF"/>
    <w:rsid w:val="5EE068A6"/>
    <w:rsid w:val="5EE62313"/>
    <w:rsid w:val="5EF6692B"/>
    <w:rsid w:val="5EF75B3C"/>
    <w:rsid w:val="5EF855A3"/>
    <w:rsid w:val="5EFC27AE"/>
    <w:rsid w:val="5F033995"/>
    <w:rsid w:val="5F0E2EBF"/>
    <w:rsid w:val="5F1257D2"/>
    <w:rsid w:val="5F142574"/>
    <w:rsid w:val="5F174AA7"/>
    <w:rsid w:val="5F1D0D00"/>
    <w:rsid w:val="5F264C67"/>
    <w:rsid w:val="5F2B1548"/>
    <w:rsid w:val="5F3C558E"/>
    <w:rsid w:val="5F403535"/>
    <w:rsid w:val="5F425DF7"/>
    <w:rsid w:val="5F5A4A5F"/>
    <w:rsid w:val="5F5C6925"/>
    <w:rsid w:val="5F610E52"/>
    <w:rsid w:val="5F6547D7"/>
    <w:rsid w:val="5F6B179F"/>
    <w:rsid w:val="5F787EB9"/>
    <w:rsid w:val="5F7A076C"/>
    <w:rsid w:val="5F7D4C9C"/>
    <w:rsid w:val="5F8067E7"/>
    <w:rsid w:val="5F850402"/>
    <w:rsid w:val="5F86711E"/>
    <w:rsid w:val="5F8672AF"/>
    <w:rsid w:val="5F8E6CFD"/>
    <w:rsid w:val="5F90176F"/>
    <w:rsid w:val="5F92787B"/>
    <w:rsid w:val="5F9B09CF"/>
    <w:rsid w:val="5FA12193"/>
    <w:rsid w:val="5FA83437"/>
    <w:rsid w:val="5FA95553"/>
    <w:rsid w:val="5FB10AE2"/>
    <w:rsid w:val="5FBF4399"/>
    <w:rsid w:val="5FC15189"/>
    <w:rsid w:val="5FC63FC7"/>
    <w:rsid w:val="5FC641C2"/>
    <w:rsid w:val="5FCD5A58"/>
    <w:rsid w:val="5FD015E9"/>
    <w:rsid w:val="5FD0396D"/>
    <w:rsid w:val="5FD40ECD"/>
    <w:rsid w:val="5FD44088"/>
    <w:rsid w:val="5FD94E93"/>
    <w:rsid w:val="5FE16032"/>
    <w:rsid w:val="5FE4586B"/>
    <w:rsid w:val="5FE70482"/>
    <w:rsid w:val="5FE830F5"/>
    <w:rsid w:val="5FE8397A"/>
    <w:rsid w:val="5FFF5E00"/>
    <w:rsid w:val="6000355F"/>
    <w:rsid w:val="600A40B9"/>
    <w:rsid w:val="601B48FE"/>
    <w:rsid w:val="602953BE"/>
    <w:rsid w:val="603127A5"/>
    <w:rsid w:val="603173FB"/>
    <w:rsid w:val="60336620"/>
    <w:rsid w:val="603507E3"/>
    <w:rsid w:val="603604BF"/>
    <w:rsid w:val="60457E40"/>
    <w:rsid w:val="604838BC"/>
    <w:rsid w:val="6048592D"/>
    <w:rsid w:val="604873F4"/>
    <w:rsid w:val="60494EBD"/>
    <w:rsid w:val="604B071A"/>
    <w:rsid w:val="604D6E10"/>
    <w:rsid w:val="604E48DA"/>
    <w:rsid w:val="60585428"/>
    <w:rsid w:val="605A03B0"/>
    <w:rsid w:val="605D0894"/>
    <w:rsid w:val="605D6803"/>
    <w:rsid w:val="606A61DC"/>
    <w:rsid w:val="606D3382"/>
    <w:rsid w:val="6078348B"/>
    <w:rsid w:val="60792ED0"/>
    <w:rsid w:val="607F23F3"/>
    <w:rsid w:val="607F7A36"/>
    <w:rsid w:val="60844F6B"/>
    <w:rsid w:val="60937278"/>
    <w:rsid w:val="60937FB6"/>
    <w:rsid w:val="609620D0"/>
    <w:rsid w:val="60967575"/>
    <w:rsid w:val="60981E13"/>
    <w:rsid w:val="60992445"/>
    <w:rsid w:val="60997054"/>
    <w:rsid w:val="609F706A"/>
    <w:rsid w:val="60A05D3B"/>
    <w:rsid w:val="60A4026D"/>
    <w:rsid w:val="60A41BC5"/>
    <w:rsid w:val="60A7141A"/>
    <w:rsid w:val="60A979AF"/>
    <w:rsid w:val="60BC5FF3"/>
    <w:rsid w:val="60CB74FD"/>
    <w:rsid w:val="60CC692B"/>
    <w:rsid w:val="60CE1C5F"/>
    <w:rsid w:val="60D63168"/>
    <w:rsid w:val="60D709C9"/>
    <w:rsid w:val="60D93F18"/>
    <w:rsid w:val="60DB5E76"/>
    <w:rsid w:val="60DF284E"/>
    <w:rsid w:val="60E434D3"/>
    <w:rsid w:val="60EB27A2"/>
    <w:rsid w:val="60F05C31"/>
    <w:rsid w:val="60F21DD9"/>
    <w:rsid w:val="60F40602"/>
    <w:rsid w:val="60F63AE9"/>
    <w:rsid w:val="60F666E2"/>
    <w:rsid w:val="60F67884"/>
    <w:rsid w:val="60FA17C8"/>
    <w:rsid w:val="610C5E86"/>
    <w:rsid w:val="61142DA9"/>
    <w:rsid w:val="611E4F0C"/>
    <w:rsid w:val="61205999"/>
    <w:rsid w:val="61227CF3"/>
    <w:rsid w:val="6129563B"/>
    <w:rsid w:val="613132B1"/>
    <w:rsid w:val="61343D41"/>
    <w:rsid w:val="613B46F2"/>
    <w:rsid w:val="613E0180"/>
    <w:rsid w:val="613F587C"/>
    <w:rsid w:val="61413945"/>
    <w:rsid w:val="61432FFA"/>
    <w:rsid w:val="614622A1"/>
    <w:rsid w:val="61472A24"/>
    <w:rsid w:val="61602912"/>
    <w:rsid w:val="61690E22"/>
    <w:rsid w:val="616B721A"/>
    <w:rsid w:val="617E7DB4"/>
    <w:rsid w:val="61875011"/>
    <w:rsid w:val="61897E97"/>
    <w:rsid w:val="618A7619"/>
    <w:rsid w:val="61993A31"/>
    <w:rsid w:val="619B1A45"/>
    <w:rsid w:val="619B6341"/>
    <w:rsid w:val="619E0791"/>
    <w:rsid w:val="61B018CE"/>
    <w:rsid w:val="61B22C9B"/>
    <w:rsid w:val="61BA54B0"/>
    <w:rsid w:val="61BA79D2"/>
    <w:rsid w:val="61BB78C5"/>
    <w:rsid w:val="61BC7D0D"/>
    <w:rsid w:val="61C745F8"/>
    <w:rsid w:val="61D83DC0"/>
    <w:rsid w:val="61DD437E"/>
    <w:rsid w:val="61E70BA9"/>
    <w:rsid w:val="61E92CE7"/>
    <w:rsid w:val="61E971AB"/>
    <w:rsid w:val="61EF2A9E"/>
    <w:rsid w:val="61F33145"/>
    <w:rsid w:val="61FE075D"/>
    <w:rsid w:val="61FF5941"/>
    <w:rsid w:val="62007074"/>
    <w:rsid w:val="6204597E"/>
    <w:rsid w:val="620F6554"/>
    <w:rsid w:val="6215275D"/>
    <w:rsid w:val="621671EC"/>
    <w:rsid w:val="62224BF1"/>
    <w:rsid w:val="62283ACB"/>
    <w:rsid w:val="62311678"/>
    <w:rsid w:val="623925C1"/>
    <w:rsid w:val="623A6B44"/>
    <w:rsid w:val="623C0CED"/>
    <w:rsid w:val="623D0817"/>
    <w:rsid w:val="623F2787"/>
    <w:rsid w:val="62407B94"/>
    <w:rsid w:val="62426333"/>
    <w:rsid w:val="62450C74"/>
    <w:rsid w:val="62495068"/>
    <w:rsid w:val="624C25C4"/>
    <w:rsid w:val="62515F49"/>
    <w:rsid w:val="62576AB6"/>
    <w:rsid w:val="625C22C5"/>
    <w:rsid w:val="6261437E"/>
    <w:rsid w:val="62657CF9"/>
    <w:rsid w:val="626A4BF3"/>
    <w:rsid w:val="626D2D44"/>
    <w:rsid w:val="627F3D94"/>
    <w:rsid w:val="628C657C"/>
    <w:rsid w:val="629A0D62"/>
    <w:rsid w:val="629D5AB5"/>
    <w:rsid w:val="62A577F3"/>
    <w:rsid w:val="62AA1BA3"/>
    <w:rsid w:val="62AD0514"/>
    <w:rsid w:val="62B22DBD"/>
    <w:rsid w:val="62B646D6"/>
    <w:rsid w:val="62B67902"/>
    <w:rsid w:val="62B74819"/>
    <w:rsid w:val="62B90A77"/>
    <w:rsid w:val="62BD1475"/>
    <w:rsid w:val="62BF614D"/>
    <w:rsid w:val="62C76118"/>
    <w:rsid w:val="62CA076C"/>
    <w:rsid w:val="62CA29E4"/>
    <w:rsid w:val="62D055D8"/>
    <w:rsid w:val="62D56F60"/>
    <w:rsid w:val="62DD0B77"/>
    <w:rsid w:val="62E06994"/>
    <w:rsid w:val="62F02A0C"/>
    <w:rsid w:val="62F06179"/>
    <w:rsid w:val="62F56449"/>
    <w:rsid w:val="62F64789"/>
    <w:rsid w:val="62FE21D6"/>
    <w:rsid w:val="62FE7421"/>
    <w:rsid w:val="630200FE"/>
    <w:rsid w:val="630D22B7"/>
    <w:rsid w:val="630E2E75"/>
    <w:rsid w:val="63105EC5"/>
    <w:rsid w:val="631507ED"/>
    <w:rsid w:val="63176E51"/>
    <w:rsid w:val="631E3BCC"/>
    <w:rsid w:val="63224191"/>
    <w:rsid w:val="6326753B"/>
    <w:rsid w:val="63297706"/>
    <w:rsid w:val="632B7234"/>
    <w:rsid w:val="632F5950"/>
    <w:rsid w:val="63362BCE"/>
    <w:rsid w:val="63382663"/>
    <w:rsid w:val="633B5364"/>
    <w:rsid w:val="633D1D98"/>
    <w:rsid w:val="634022B1"/>
    <w:rsid w:val="63414088"/>
    <w:rsid w:val="634156EF"/>
    <w:rsid w:val="634629CE"/>
    <w:rsid w:val="634E196E"/>
    <w:rsid w:val="63537554"/>
    <w:rsid w:val="63575A12"/>
    <w:rsid w:val="63592674"/>
    <w:rsid w:val="635951B2"/>
    <w:rsid w:val="635A37E0"/>
    <w:rsid w:val="635E129A"/>
    <w:rsid w:val="635E57E2"/>
    <w:rsid w:val="63606C0F"/>
    <w:rsid w:val="636254BD"/>
    <w:rsid w:val="63667559"/>
    <w:rsid w:val="636C4A62"/>
    <w:rsid w:val="636D6270"/>
    <w:rsid w:val="637C48B2"/>
    <w:rsid w:val="637F4B63"/>
    <w:rsid w:val="638A2B44"/>
    <w:rsid w:val="63925C56"/>
    <w:rsid w:val="639729EA"/>
    <w:rsid w:val="63996817"/>
    <w:rsid w:val="639D1327"/>
    <w:rsid w:val="639D3CFD"/>
    <w:rsid w:val="63A034AF"/>
    <w:rsid w:val="63A0676C"/>
    <w:rsid w:val="63A802FE"/>
    <w:rsid w:val="63AD1464"/>
    <w:rsid w:val="63AD23ED"/>
    <w:rsid w:val="63AD4BEB"/>
    <w:rsid w:val="63B21C14"/>
    <w:rsid w:val="63B952B4"/>
    <w:rsid w:val="63C61730"/>
    <w:rsid w:val="63D061E0"/>
    <w:rsid w:val="63D86A22"/>
    <w:rsid w:val="63DD43A8"/>
    <w:rsid w:val="63DF558C"/>
    <w:rsid w:val="63E90A4E"/>
    <w:rsid w:val="63F01158"/>
    <w:rsid w:val="63F3303B"/>
    <w:rsid w:val="6401301A"/>
    <w:rsid w:val="64067373"/>
    <w:rsid w:val="640E5257"/>
    <w:rsid w:val="640E5530"/>
    <w:rsid w:val="640E641B"/>
    <w:rsid w:val="64126475"/>
    <w:rsid w:val="64157F16"/>
    <w:rsid w:val="64225257"/>
    <w:rsid w:val="642515E9"/>
    <w:rsid w:val="642A5F72"/>
    <w:rsid w:val="642C5365"/>
    <w:rsid w:val="64301C0E"/>
    <w:rsid w:val="64380BCC"/>
    <w:rsid w:val="643D7E60"/>
    <w:rsid w:val="643F3538"/>
    <w:rsid w:val="6449481B"/>
    <w:rsid w:val="644A2DF4"/>
    <w:rsid w:val="644E0F3C"/>
    <w:rsid w:val="64577FF7"/>
    <w:rsid w:val="645A7C1D"/>
    <w:rsid w:val="645D4D81"/>
    <w:rsid w:val="64656270"/>
    <w:rsid w:val="6465794F"/>
    <w:rsid w:val="64667948"/>
    <w:rsid w:val="64676FF1"/>
    <w:rsid w:val="646E7BCA"/>
    <w:rsid w:val="646F29DF"/>
    <w:rsid w:val="64723668"/>
    <w:rsid w:val="647800FB"/>
    <w:rsid w:val="64822C95"/>
    <w:rsid w:val="64901A51"/>
    <w:rsid w:val="64916430"/>
    <w:rsid w:val="64972E03"/>
    <w:rsid w:val="64984478"/>
    <w:rsid w:val="649A4242"/>
    <w:rsid w:val="64A50580"/>
    <w:rsid w:val="64A57A11"/>
    <w:rsid w:val="64AA2488"/>
    <w:rsid w:val="64B146E2"/>
    <w:rsid w:val="64B647F0"/>
    <w:rsid w:val="64B720C9"/>
    <w:rsid w:val="64B73A5B"/>
    <w:rsid w:val="64BA4104"/>
    <w:rsid w:val="64BA6D56"/>
    <w:rsid w:val="64C0767E"/>
    <w:rsid w:val="64CC4296"/>
    <w:rsid w:val="64D12343"/>
    <w:rsid w:val="64D23270"/>
    <w:rsid w:val="64D62720"/>
    <w:rsid w:val="64D95FF2"/>
    <w:rsid w:val="64DF4483"/>
    <w:rsid w:val="64E41B48"/>
    <w:rsid w:val="64E756C1"/>
    <w:rsid w:val="64EA45B1"/>
    <w:rsid w:val="64F12864"/>
    <w:rsid w:val="64F12E05"/>
    <w:rsid w:val="64F1353A"/>
    <w:rsid w:val="64F22226"/>
    <w:rsid w:val="64F2488C"/>
    <w:rsid w:val="64F35328"/>
    <w:rsid w:val="64F57956"/>
    <w:rsid w:val="64F60DEE"/>
    <w:rsid w:val="64F93CD7"/>
    <w:rsid w:val="64FD1A88"/>
    <w:rsid w:val="65091F19"/>
    <w:rsid w:val="650A538E"/>
    <w:rsid w:val="650C57B0"/>
    <w:rsid w:val="650E596F"/>
    <w:rsid w:val="65125E06"/>
    <w:rsid w:val="65135BA0"/>
    <w:rsid w:val="651F32A0"/>
    <w:rsid w:val="65206EFA"/>
    <w:rsid w:val="652907CF"/>
    <w:rsid w:val="652949E6"/>
    <w:rsid w:val="652A6268"/>
    <w:rsid w:val="6530251C"/>
    <w:rsid w:val="653568BD"/>
    <w:rsid w:val="65364573"/>
    <w:rsid w:val="654125C9"/>
    <w:rsid w:val="6545617E"/>
    <w:rsid w:val="65477A23"/>
    <w:rsid w:val="654A0500"/>
    <w:rsid w:val="654A6DA8"/>
    <w:rsid w:val="654B7F7C"/>
    <w:rsid w:val="654D07DA"/>
    <w:rsid w:val="65504AF5"/>
    <w:rsid w:val="65535778"/>
    <w:rsid w:val="655A4843"/>
    <w:rsid w:val="655B635E"/>
    <w:rsid w:val="655C4A51"/>
    <w:rsid w:val="655D2BD9"/>
    <w:rsid w:val="656250F8"/>
    <w:rsid w:val="656D2142"/>
    <w:rsid w:val="65741AE4"/>
    <w:rsid w:val="65744543"/>
    <w:rsid w:val="65747808"/>
    <w:rsid w:val="657B7DDB"/>
    <w:rsid w:val="65815DA7"/>
    <w:rsid w:val="6589277A"/>
    <w:rsid w:val="65931E39"/>
    <w:rsid w:val="6595434D"/>
    <w:rsid w:val="65967609"/>
    <w:rsid w:val="659C74AD"/>
    <w:rsid w:val="65AA7232"/>
    <w:rsid w:val="65AB1615"/>
    <w:rsid w:val="65AB3012"/>
    <w:rsid w:val="65AC22A4"/>
    <w:rsid w:val="65BF02A7"/>
    <w:rsid w:val="65BF6222"/>
    <w:rsid w:val="65C9103E"/>
    <w:rsid w:val="65C93D25"/>
    <w:rsid w:val="65CC33D9"/>
    <w:rsid w:val="65CF1386"/>
    <w:rsid w:val="65D34D16"/>
    <w:rsid w:val="65D47B23"/>
    <w:rsid w:val="65D825BD"/>
    <w:rsid w:val="65E06A6A"/>
    <w:rsid w:val="65E16058"/>
    <w:rsid w:val="65E95E00"/>
    <w:rsid w:val="65EF2D54"/>
    <w:rsid w:val="65F013F3"/>
    <w:rsid w:val="65F31396"/>
    <w:rsid w:val="65FB2F96"/>
    <w:rsid w:val="65FB7C50"/>
    <w:rsid w:val="6607170C"/>
    <w:rsid w:val="66124217"/>
    <w:rsid w:val="66131AF9"/>
    <w:rsid w:val="66145EB8"/>
    <w:rsid w:val="661466F4"/>
    <w:rsid w:val="66182D12"/>
    <w:rsid w:val="661D0723"/>
    <w:rsid w:val="66253F8E"/>
    <w:rsid w:val="66321D43"/>
    <w:rsid w:val="6637608D"/>
    <w:rsid w:val="66491447"/>
    <w:rsid w:val="66501446"/>
    <w:rsid w:val="66525202"/>
    <w:rsid w:val="66565BAC"/>
    <w:rsid w:val="66615046"/>
    <w:rsid w:val="6664068D"/>
    <w:rsid w:val="666B674A"/>
    <w:rsid w:val="66724C39"/>
    <w:rsid w:val="667261A9"/>
    <w:rsid w:val="667507C7"/>
    <w:rsid w:val="667559B7"/>
    <w:rsid w:val="667C0A75"/>
    <w:rsid w:val="667C0EE8"/>
    <w:rsid w:val="66807EAF"/>
    <w:rsid w:val="66812BB6"/>
    <w:rsid w:val="668338D7"/>
    <w:rsid w:val="66866DA8"/>
    <w:rsid w:val="66877929"/>
    <w:rsid w:val="66883A73"/>
    <w:rsid w:val="668B0DDE"/>
    <w:rsid w:val="668E457E"/>
    <w:rsid w:val="669239A6"/>
    <w:rsid w:val="669D3A64"/>
    <w:rsid w:val="66A35281"/>
    <w:rsid w:val="66A5003E"/>
    <w:rsid w:val="66A72C09"/>
    <w:rsid w:val="66A87229"/>
    <w:rsid w:val="66A87BA6"/>
    <w:rsid w:val="66A91ABC"/>
    <w:rsid w:val="66A9552E"/>
    <w:rsid w:val="66A967EF"/>
    <w:rsid w:val="66AA116A"/>
    <w:rsid w:val="66AC627A"/>
    <w:rsid w:val="66B57511"/>
    <w:rsid w:val="66B81186"/>
    <w:rsid w:val="66C14921"/>
    <w:rsid w:val="66C22D32"/>
    <w:rsid w:val="66C27F4D"/>
    <w:rsid w:val="66C50E78"/>
    <w:rsid w:val="66CC08A8"/>
    <w:rsid w:val="66DF3E8D"/>
    <w:rsid w:val="66E173A4"/>
    <w:rsid w:val="66E43DBE"/>
    <w:rsid w:val="66E52474"/>
    <w:rsid w:val="66E754BD"/>
    <w:rsid w:val="66E84FB2"/>
    <w:rsid w:val="66F004A3"/>
    <w:rsid w:val="66F035B3"/>
    <w:rsid w:val="66F76538"/>
    <w:rsid w:val="66F9175B"/>
    <w:rsid w:val="66F95A53"/>
    <w:rsid w:val="66FD5B0A"/>
    <w:rsid w:val="66FE197E"/>
    <w:rsid w:val="670311FA"/>
    <w:rsid w:val="67052C5F"/>
    <w:rsid w:val="670543B1"/>
    <w:rsid w:val="670A7DD2"/>
    <w:rsid w:val="670B14F9"/>
    <w:rsid w:val="670B1D16"/>
    <w:rsid w:val="670B51E4"/>
    <w:rsid w:val="670F59A0"/>
    <w:rsid w:val="671205D3"/>
    <w:rsid w:val="671C7B16"/>
    <w:rsid w:val="671E0E79"/>
    <w:rsid w:val="67217AA4"/>
    <w:rsid w:val="67261F69"/>
    <w:rsid w:val="67303E32"/>
    <w:rsid w:val="67304D54"/>
    <w:rsid w:val="673871E7"/>
    <w:rsid w:val="67417383"/>
    <w:rsid w:val="6742764E"/>
    <w:rsid w:val="674340C7"/>
    <w:rsid w:val="674F5CDF"/>
    <w:rsid w:val="675606FF"/>
    <w:rsid w:val="675F336B"/>
    <w:rsid w:val="67611B6E"/>
    <w:rsid w:val="676A6C5B"/>
    <w:rsid w:val="676B1FC5"/>
    <w:rsid w:val="67703A34"/>
    <w:rsid w:val="677048C7"/>
    <w:rsid w:val="67782BFF"/>
    <w:rsid w:val="678148E3"/>
    <w:rsid w:val="67870395"/>
    <w:rsid w:val="6788742C"/>
    <w:rsid w:val="678C767F"/>
    <w:rsid w:val="678F4DE5"/>
    <w:rsid w:val="67917DE9"/>
    <w:rsid w:val="67955146"/>
    <w:rsid w:val="679D09AA"/>
    <w:rsid w:val="679E3860"/>
    <w:rsid w:val="67A14860"/>
    <w:rsid w:val="67A47939"/>
    <w:rsid w:val="67AE36CC"/>
    <w:rsid w:val="67B67B77"/>
    <w:rsid w:val="67BB2D99"/>
    <w:rsid w:val="67BC709D"/>
    <w:rsid w:val="67BD0472"/>
    <w:rsid w:val="67BD78E0"/>
    <w:rsid w:val="67C005DF"/>
    <w:rsid w:val="67C0345D"/>
    <w:rsid w:val="67CA738B"/>
    <w:rsid w:val="67CB3FB0"/>
    <w:rsid w:val="67CC3D2D"/>
    <w:rsid w:val="67CC7A79"/>
    <w:rsid w:val="67CC7C8F"/>
    <w:rsid w:val="67D1582F"/>
    <w:rsid w:val="67D1779E"/>
    <w:rsid w:val="67DA14A9"/>
    <w:rsid w:val="67F16E74"/>
    <w:rsid w:val="67F3439E"/>
    <w:rsid w:val="68071A2B"/>
    <w:rsid w:val="68094300"/>
    <w:rsid w:val="680D2CC4"/>
    <w:rsid w:val="680F2152"/>
    <w:rsid w:val="68155A72"/>
    <w:rsid w:val="68181812"/>
    <w:rsid w:val="681C21D6"/>
    <w:rsid w:val="68212320"/>
    <w:rsid w:val="68285832"/>
    <w:rsid w:val="682873AC"/>
    <w:rsid w:val="682D41B5"/>
    <w:rsid w:val="682F37CE"/>
    <w:rsid w:val="683259BB"/>
    <w:rsid w:val="68380AFF"/>
    <w:rsid w:val="683913D8"/>
    <w:rsid w:val="683F4341"/>
    <w:rsid w:val="6840020D"/>
    <w:rsid w:val="68403BD0"/>
    <w:rsid w:val="6842632F"/>
    <w:rsid w:val="68454B2F"/>
    <w:rsid w:val="684772EB"/>
    <w:rsid w:val="684B418E"/>
    <w:rsid w:val="684F7C37"/>
    <w:rsid w:val="68502C34"/>
    <w:rsid w:val="685B13C4"/>
    <w:rsid w:val="685F68BC"/>
    <w:rsid w:val="686836CA"/>
    <w:rsid w:val="686A7C16"/>
    <w:rsid w:val="686C57C8"/>
    <w:rsid w:val="686F3C77"/>
    <w:rsid w:val="68704B8B"/>
    <w:rsid w:val="68706337"/>
    <w:rsid w:val="68787CDD"/>
    <w:rsid w:val="68790C05"/>
    <w:rsid w:val="687D142E"/>
    <w:rsid w:val="68802436"/>
    <w:rsid w:val="6889568D"/>
    <w:rsid w:val="688A3136"/>
    <w:rsid w:val="688A5888"/>
    <w:rsid w:val="689D0E94"/>
    <w:rsid w:val="689E79AD"/>
    <w:rsid w:val="68A646D5"/>
    <w:rsid w:val="68A95A16"/>
    <w:rsid w:val="68AD0891"/>
    <w:rsid w:val="68AD6EC9"/>
    <w:rsid w:val="68AE1E13"/>
    <w:rsid w:val="68AE69DD"/>
    <w:rsid w:val="68B240C0"/>
    <w:rsid w:val="68C946FE"/>
    <w:rsid w:val="68C97F52"/>
    <w:rsid w:val="68CA50AF"/>
    <w:rsid w:val="68D255E1"/>
    <w:rsid w:val="68D362D9"/>
    <w:rsid w:val="68D462D3"/>
    <w:rsid w:val="68D876B0"/>
    <w:rsid w:val="68DA7BE9"/>
    <w:rsid w:val="68DD01B5"/>
    <w:rsid w:val="68E24360"/>
    <w:rsid w:val="68EB4249"/>
    <w:rsid w:val="68F21DB9"/>
    <w:rsid w:val="68F71128"/>
    <w:rsid w:val="68F740CB"/>
    <w:rsid w:val="68FA1E39"/>
    <w:rsid w:val="69047C39"/>
    <w:rsid w:val="69097B34"/>
    <w:rsid w:val="691618B3"/>
    <w:rsid w:val="69204DFD"/>
    <w:rsid w:val="69246DB3"/>
    <w:rsid w:val="692501E3"/>
    <w:rsid w:val="69276E59"/>
    <w:rsid w:val="69374AC4"/>
    <w:rsid w:val="693D2FA8"/>
    <w:rsid w:val="694013A5"/>
    <w:rsid w:val="69495370"/>
    <w:rsid w:val="694A4441"/>
    <w:rsid w:val="694C20A1"/>
    <w:rsid w:val="69507F8B"/>
    <w:rsid w:val="69536214"/>
    <w:rsid w:val="695D3667"/>
    <w:rsid w:val="695D51A1"/>
    <w:rsid w:val="69610AD1"/>
    <w:rsid w:val="696D5F7C"/>
    <w:rsid w:val="696D7FFC"/>
    <w:rsid w:val="697206A5"/>
    <w:rsid w:val="697458EC"/>
    <w:rsid w:val="69773882"/>
    <w:rsid w:val="6979377A"/>
    <w:rsid w:val="69794027"/>
    <w:rsid w:val="697D184F"/>
    <w:rsid w:val="697E41A0"/>
    <w:rsid w:val="698259C6"/>
    <w:rsid w:val="69836869"/>
    <w:rsid w:val="69877D19"/>
    <w:rsid w:val="6990146F"/>
    <w:rsid w:val="69A31B6E"/>
    <w:rsid w:val="69B12967"/>
    <w:rsid w:val="69B651E7"/>
    <w:rsid w:val="69B9104B"/>
    <w:rsid w:val="69C17EAD"/>
    <w:rsid w:val="69C27672"/>
    <w:rsid w:val="69C303CB"/>
    <w:rsid w:val="69C3798B"/>
    <w:rsid w:val="69D0045E"/>
    <w:rsid w:val="69D02FB4"/>
    <w:rsid w:val="69D36C2B"/>
    <w:rsid w:val="69D53ADE"/>
    <w:rsid w:val="69D76052"/>
    <w:rsid w:val="69DA3E19"/>
    <w:rsid w:val="69DC5885"/>
    <w:rsid w:val="69DF2015"/>
    <w:rsid w:val="69E224CA"/>
    <w:rsid w:val="69EF05D7"/>
    <w:rsid w:val="69F03522"/>
    <w:rsid w:val="69F748CC"/>
    <w:rsid w:val="6A041D9D"/>
    <w:rsid w:val="6A073B80"/>
    <w:rsid w:val="6A076950"/>
    <w:rsid w:val="6A08633B"/>
    <w:rsid w:val="6A0D0105"/>
    <w:rsid w:val="6A0E2E86"/>
    <w:rsid w:val="6A107333"/>
    <w:rsid w:val="6A180D0B"/>
    <w:rsid w:val="6A1A3D65"/>
    <w:rsid w:val="6A1B2E7C"/>
    <w:rsid w:val="6A291AF5"/>
    <w:rsid w:val="6A2A09F8"/>
    <w:rsid w:val="6A387CB0"/>
    <w:rsid w:val="6A393CB6"/>
    <w:rsid w:val="6A3A7884"/>
    <w:rsid w:val="6A3D298D"/>
    <w:rsid w:val="6A443814"/>
    <w:rsid w:val="6A4440C8"/>
    <w:rsid w:val="6A455194"/>
    <w:rsid w:val="6A4811FA"/>
    <w:rsid w:val="6A496CD0"/>
    <w:rsid w:val="6A4B49A6"/>
    <w:rsid w:val="6A4B7A57"/>
    <w:rsid w:val="6A4B7D9D"/>
    <w:rsid w:val="6A4E2479"/>
    <w:rsid w:val="6A4F5D40"/>
    <w:rsid w:val="6A51034F"/>
    <w:rsid w:val="6A571FD7"/>
    <w:rsid w:val="6A5C39BB"/>
    <w:rsid w:val="6A5F77D3"/>
    <w:rsid w:val="6A637C22"/>
    <w:rsid w:val="6A660B92"/>
    <w:rsid w:val="6A681C09"/>
    <w:rsid w:val="6A6B2725"/>
    <w:rsid w:val="6A6E4662"/>
    <w:rsid w:val="6A7B1C73"/>
    <w:rsid w:val="6A805E57"/>
    <w:rsid w:val="6A831598"/>
    <w:rsid w:val="6A860CDB"/>
    <w:rsid w:val="6A86334D"/>
    <w:rsid w:val="6A873586"/>
    <w:rsid w:val="6A897C0E"/>
    <w:rsid w:val="6A8F174F"/>
    <w:rsid w:val="6A9741CE"/>
    <w:rsid w:val="6A9753D3"/>
    <w:rsid w:val="6A9F7E62"/>
    <w:rsid w:val="6AA109AD"/>
    <w:rsid w:val="6AA708C6"/>
    <w:rsid w:val="6AAC35B9"/>
    <w:rsid w:val="6AAE46D7"/>
    <w:rsid w:val="6AAE6B7E"/>
    <w:rsid w:val="6AB0432C"/>
    <w:rsid w:val="6AB22AC6"/>
    <w:rsid w:val="6ABF19A4"/>
    <w:rsid w:val="6AC1068B"/>
    <w:rsid w:val="6AC46759"/>
    <w:rsid w:val="6AC474F8"/>
    <w:rsid w:val="6AD0497C"/>
    <w:rsid w:val="6AD16243"/>
    <w:rsid w:val="6AD23295"/>
    <w:rsid w:val="6AD92233"/>
    <w:rsid w:val="6ADF2EA9"/>
    <w:rsid w:val="6AEA2CE1"/>
    <w:rsid w:val="6AF92E21"/>
    <w:rsid w:val="6AFE3A43"/>
    <w:rsid w:val="6B0234BA"/>
    <w:rsid w:val="6B061012"/>
    <w:rsid w:val="6B0A4158"/>
    <w:rsid w:val="6B0C42AC"/>
    <w:rsid w:val="6B11037E"/>
    <w:rsid w:val="6B112790"/>
    <w:rsid w:val="6B1240E8"/>
    <w:rsid w:val="6B166E0F"/>
    <w:rsid w:val="6B171BFC"/>
    <w:rsid w:val="6B183E34"/>
    <w:rsid w:val="6B191DF7"/>
    <w:rsid w:val="6B1D0CAE"/>
    <w:rsid w:val="6B201D27"/>
    <w:rsid w:val="6B2C4CF8"/>
    <w:rsid w:val="6B36761D"/>
    <w:rsid w:val="6B3E64AA"/>
    <w:rsid w:val="6B4F58F3"/>
    <w:rsid w:val="6B544224"/>
    <w:rsid w:val="6B557E60"/>
    <w:rsid w:val="6B620DD2"/>
    <w:rsid w:val="6B6E3487"/>
    <w:rsid w:val="6B7314AF"/>
    <w:rsid w:val="6B7436DF"/>
    <w:rsid w:val="6B753CEC"/>
    <w:rsid w:val="6B7F3F09"/>
    <w:rsid w:val="6B8237C3"/>
    <w:rsid w:val="6B8A0C90"/>
    <w:rsid w:val="6B906716"/>
    <w:rsid w:val="6B922050"/>
    <w:rsid w:val="6B95409A"/>
    <w:rsid w:val="6B970362"/>
    <w:rsid w:val="6B9811E8"/>
    <w:rsid w:val="6B983F2E"/>
    <w:rsid w:val="6BA1075E"/>
    <w:rsid w:val="6BA83766"/>
    <w:rsid w:val="6BA9485E"/>
    <w:rsid w:val="6BB63D85"/>
    <w:rsid w:val="6BB84DB5"/>
    <w:rsid w:val="6BBA433D"/>
    <w:rsid w:val="6BBF0DA8"/>
    <w:rsid w:val="6BBF4F7C"/>
    <w:rsid w:val="6BC2350D"/>
    <w:rsid w:val="6BC672B0"/>
    <w:rsid w:val="6BC744E5"/>
    <w:rsid w:val="6BCB3636"/>
    <w:rsid w:val="6BD37A33"/>
    <w:rsid w:val="6BD46AC8"/>
    <w:rsid w:val="6BD74901"/>
    <w:rsid w:val="6BDE6B41"/>
    <w:rsid w:val="6BE2004A"/>
    <w:rsid w:val="6BE5376E"/>
    <w:rsid w:val="6BF218FE"/>
    <w:rsid w:val="6BF90427"/>
    <w:rsid w:val="6C006394"/>
    <w:rsid w:val="6C045C8D"/>
    <w:rsid w:val="6C0519F6"/>
    <w:rsid w:val="6C0A5A29"/>
    <w:rsid w:val="6C0D7E1B"/>
    <w:rsid w:val="6C0F3A2C"/>
    <w:rsid w:val="6C13012A"/>
    <w:rsid w:val="6C1366D3"/>
    <w:rsid w:val="6C170010"/>
    <w:rsid w:val="6C17283C"/>
    <w:rsid w:val="6C1A2264"/>
    <w:rsid w:val="6C1B6B2E"/>
    <w:rsid w:val="6C1E444A"/>
    <w:rsid w:val="6C1E7E2A"/>
    <w:rsid w:val="6C287A10"/>
    <w:rsid w:val="6C2F5CDC"/>
    <w:rsid w:val="6C3047D5"/>
    <w:rsid w:val="6C312DB9"/>
    <w:rsid w:val="6C32372D"/>
    <w:rsid w:val="6C355284"/>
    <w:rsid w:val="6C397024"/>
    <w:rsid w:val="6C401213"/>
    <w:rsid w:val="6C422574"/>
    <w:rsid w:val="6C460027"/>
    <w:rsid w:val="6C515D90"/>
    <w:rsid w:val="6C53092D"/>
    <w:rsid w:val="6C543BD2"/>
    <w:rsid w:val="6C55300E"/>
    <w:rsid w:val="6C591487"/>
    <w:rsid w:val="6C5E4429"/>
    <w:rsid w:val="6C645BA4"/>
    <w:rsid w:val="6C663F23"/>
    <w:rsid w:val="6C6F2887"/>
    <w:rsid w:val="6C7C2B70"/>
    <w:rsid w:val="6C86437B"/>
    <w:rsid w:val="6C8741C1"/>
    <w:rsid w:val="6C921DCD"/>
    <w:rsid w:val="6C93255C"/>
    <w:rsid w:val="6C995B9D"/>
    <w:rsid w:val="6C9C4280"/>
    <w:rsid w:val="6C9C7525"/>
    <w:rsid w:val="6CA10AFA"/>
    <w:rsid w:val="6CA32CE0"/>
    <w:rsid w:val="6CA71667"/>
    <w:rsid w:val="6CB24A39"/>
    <w:rsid w:val="6CB8606F"/>
    <w:rsid w:val="6CB87F98"/>
    <w:rsid w:val="6CB90A79"/>
    <w:rsid w:val="6CC05B68"/>
    <w:rsid w:val="6CC22C09"/>
    <w:rsid w:val="6CC70147"/>
    <w:rsid w:val="6CC7654C"/>
    <w:rsid w:val="6CC9287E"/>
    <w:rsid w:val="6CCA33DE"/>
    <w:rsid w:val="6CCB5C1C"/>
    <w:rsid w:val="6CD35533"/>
    <w:rsid w:val="6CD852A4"/>
    <w:rsid w:val="6CEC60F8"/>
    <w:rsid w:val="6CED3D83"/>
    <w:rsid w:val="6CEF413C"/>
    <w:rsid w:val="6CFF6415"/>
    <w:rsid w:val="6CFF6543"/>
    <w:rsid w:val="6D04691B"/>
    <w:rsid w:val="6D062CE1"/>
    <w:rsid w:val="6D070E8B"/>
    <w:rsid w:val="6D0740AA"/>
    <w:rsid w:val="6D0C4733"/>
    <w:rsid w:val="6D177652"/>
    <w:rsid w:val="6D184711"/>
    <w:rsid w:val="6D1C32E5"/>
    <w:rsid w:val="6D1D4D2B"/>
    <w:rsid w:val="6D1E7175"/>
    <w:rsid w:val="6D204753"/>
    <w:rsid w:val="6D251BB2"/>
    <w:rsid w:val="6D2645FF"/>
    <w:rsid w:val="6D2A0709"/>
    <w:rsid w:val="6D2A729D"/>
    <w:rsid w:val="6D315C92"/>
    <w:rsid w:val="6D315FFF"/>
    <w:rsid w:val="6D32558A"/>
    <w:rsid w:val="6D370C30"/>
    <w:rsid w:val="6D385B89"/>
    <w:rsid w:val="6D432FA4"/>
    <w:rsid w:val="6D453C9F"/>
    <w:rsid w:val="6D46189E"/>
    <w:rsid w:val="6D482CB7"/>
    <w:rsid w:val="6D4A1E4C"/>
    <w:rsid w:val="6D512765"/>
    <w:rsid w:val="6D5731E1"/>
    <w:rsid w:val="6D5D49D1"/>
    <w:rsid w:val="6D5F2054"/>
    <w:rsid w:val="6D617E12"/>
    <w:rsid w:val="6D661A76"/>
    <w:rsid w:val="6D6C15EF"/>
    <w:rsid w:val="6D6C3BCA"/>
    <w:rsid w:val="6D6F477D"/>
    <w:rsid w:val="6D7508B1"/>
    <w:rsid w:val="6D763DFF"/>
    <w:rsid w:val="6D774502"/>
    <w:rsid w:val="6D7A54EC"/>
    <w:rsid w:val="6D8177E3"/>
    <w:rsid w:val="6D850186"/>
    <w:rsid w:val="6D854277"/>
    <w:rsid w:val="6D880396"/>
    <w:rsid w:val="6D8B72E7"/>
    <w:rsid w:val="6D986C2C"/>
    <w:rsid w:val="6D9D4CEA"/>
    <w:rsid w:val="6DA108E8"/>
    <w:rsid w:val="6DA20349"/>
    <w:rsid w:val="6DA5684D"/>
    <w:rsid w:val="6DA61CC1"/>
    <w:rsid w:val="6DA71801"/>
    <w:rsid w:val="6DB51CA6"/>
    <w:rsid w:val="6DB62510"/>
    <w:rsid w:val="6DC43C65"/>
    <w:rsid w:val="6DCF11EB"/>
    <w:rsid w:val="6DD70741"/>
    <w:rsid w:val="6DDE23E0"/>
    <w:rsid w:val="6DDE4FB6"/>
    <w:rsid w:val="6DDF262A"/>
    <w:rsid w:val="6DE27708"/>
    <w:rsid w:val="6DEB2AB3"/>
    <w:rsid w:val="6DEC3490"/>
    <w:rsid w:val="6DF373DB"/>
    <w:rsid w:val="6DF46960"/>
    <w:rsid w:val="6DF977AE"/>
    <w:rsid w:val="6DFE4484"/>
    <w:rsid w:val="6E0C702B"/>
    <w:rsid w:val="6E0F37FB"/>
    <w:rsid w:val="6E155ACB"/>
    <w:rsid w:val="6E186311"/>
    <w:rsid w:val="6E1E13F1"/>
    <w:rsid w:val="6E211E25"/>
    <w:rsid w:val="6E263723"/>
    <w:rsid w:val="6E356E8D"/>
    <w:rsid w:val="6E3E1D78"/>
    <w:rsid w:val="6E3E671C"/>
    <w:rsid w:val="6E3F673A"/>
    <w:rsid w:val="6E430341"/>
    <w:rsid w:val="6E466D22"/>
    <w:rsid w:val="6E4F698A"/>
    <w:rsid w:val="6E505D85"/>
    <w:rsid w:val="6E530303"/>
    <w:rsid w:val="6E547BE1"/>
    <w:rsid w:val="6E590294"/>
    <w:rsid w:val="6E594AD4"/>
    <w:rsid w:val="6E5A0B8D"/>
    <w:rsid w:val="6E5C1B3A"/>
    <w:rsid w:val="6E621A1A"/>
    <w:rsid w:val="6E624B21"/>
    <w:rsid w:val="6E692FE4"/>
    <w:rsid w:val="6E6C6EA7"/>
    <w:rsid w:val="6E753A97"/>
    <w:rsid w:val="6E7A0F8B"/>
    <w:rsid w:val="6E7B2766"/>
    <w:rsid w:val="6E7D519F"/>
    <w:rsid w:val="6E7D6BD3"/>
    <w:rsid w:val="6E7E38AD"/>
    <w:rsid w:val="6E824EC0"/>
    <w:rsid w:val="6E871F62"/>
    <w:rsid w:val="6E8977EA"/>
    <w:rsid w:val="6E907229"/>
    <w:rsid w:val="6E9261D3"/>
    <w:rsid w:val="6E95352B"/>
    <w:rsid w:val="6EB21CCC"/>
    <w:rsid w:val="6EB741BD"/>
    <w:rsid w:val="6EBB720C"/>
    <w:rsid w:val="6EC22469"/>
    <w:rsid w:val="6EC46665"/>
    <w:rsid w:val="6EC53F56"/>
    <w:rsid w:val="6ECC14CF"/>
    <w:rsid w:val="6ECE5DA1"/>
    <w:rsid w:val="6ED00678"/>
    <w:rsid w:val="6ED05D40"/>
    <w:rsid w:val="6ED21DF9"/>
    <w:rsid w:val="6EDA0B2C"/>
    <w:rsid w:val="6EDB0B9C"/>
    <w:rsid w:val="6EDD71B3"/>
    <w:rsid w:val="6EE158D6"/>
    <w:rsid w:val="6EE91F37"/>
    <w:rsid w:val="6EEF4E27"/>
    <w:rsid w:val="6EF93913"/>
    <w:rsid w:val="6EFF4A3B"/>
    <w:rsid w:val="6EFF6C5F"/>
    <w:rsid w:val="6F045E48"/>
    <w:rsid w:val="6F0C2AE2"/>
    <w:rsid w:val="6F154563"/>
    <w:rsid w:val="6F171B97"/>
    <w:rsid w:val="6F1D6F30"/>
    <w:rsid w:val="6F216540"/>
    <w:rsid w:val="6F2543E5"/>
    <w:rsid w:val="6F292745"/>
    <w:rsid w:val="6F2D3501"/>
    <w:rsid w:val="6F345CA6"/>
    <w:rsid w:val="6F374E27"/>
    <w:rsid w:val="6F3943CA"/>
    <w:rsid w:val="6F3D18A2"/>
    <w:rsid w:val="6F4C67CB"/>
    <w:rsid w:val="6F604357"/>
    <w:rsid w:val="6F686815"/>
    <w:rsid w:val="6F6C69A9"/>
    <w:rsid w:val="6F7530AA"/>
    <w:rsid w:val="6F842D56"/>
    <w:rsid w:val="6F861CF0"/>
    <w:rsid w:val="6F8C22E6"/>
    <w:rsid w:val="6F954161"/>
    <w:rsid w:val="6F987D9F"/>
    <w:rsid w:val="6F9D7353"/>
    <w:rsid w:val="6FA07D98"/>
    <w:rsid w:val="6FA86158"/>
    <w:rsid w:val="6FA94141"/>
    <w:rsid w:val="6FAB05CB"/>
    <w:rsid w:val="6FAE607C"/>
    <w:rsid w:val="6FB217E9"/>
    <w:rsid w:val="6FBC3154"/>
    <w:rsid w:val="6FBE682A"/>
    <w:rsid w:val="6FBF7289"/>
    <w:rsid w:val="6FC1391A"/>
    <w:rsid w:val="6FC52088"/>
    <w:rsid w:val="6FC94B72"/>
    <w:rsid w:val="6FD149F6"/>
    <w:rsid w:val="6FD33A64"/>
    <w:rsid w:val="6FDF1E29"/>
    <w:rsid w:val="6FE21541"/>
    <w:rsid w:val="6FE24C62"/>
    <w:rsid w:val="6FEA3EBF"/>
    <w:rsid w:val="6FF642DE"/>
    <w:rsid w:val="6FF945DE"/>
    <w:rsid w:val="6FFF2B6D"/>
    <w:rsid w:val="70036E37"/>
    <w:rsid w:val="701178D6"/>
    <w:rsid w:val="7024066D"/>
    <w:rsid w:val="70276004"/>
    <w:rsid w:val="70295F29"/>
    <w:rsid w:val="702B2C6F"/>
    <w:rsid w:val="702D2E7B"/>
    <w:rsid w:val="70314EC2"/>
    <w:rsid w:val="7034121C"/>
    <w:rsid w:val="70346409"/>
    <w:rsid w:val="70364811"/>
    <w:rsid w:val="70397057"/>
    <w:rsid w:val="70485522"/>
    <w:rsid w:val="704B4B47"/>
    <w:rsid w:val="7053638B"/>
    <w:rsid w:val="705844F5"/>
    <w:rsid w:val="70587E06"/>
    <w:rsid w:val="705E5A36"/>
    <w:rsid w:val="705F5A7C"/>
    <w:rsid w:val="70643349"/>
    <w:rsid w:val="7065765A"/>
    <w:rsid w:val="70677646"/>
    <w:rsid w:val="7075104B"/>
    <w:rsid w:val="707F77A6"/>
    <w:rsid w:val="7080419E"/>
    <w:rsid w:val="70831B18"/>
    <w:rsid w:val="7084087E"/>
    <w:rsid w:val="70914F94"/>
    <w:rsid w:val="70947829"/>
    <w:rsid w:val="70952B52"/>
    <w:rsid w:val="7098186D"/>
    <w:rsid w:val="70A3334C"/>
    <w:rsid w:val="70A5753A"/>
    <w:rsid w:val="70AA5F56"/>
    <w:rsid w:val="70AE2E74"/>
    <w:rsid w:val="70AF3EDF"/>
    <w:rsid w:val="70BA09C5"/>
    <w:rsid w:val="70BB121F"/>
    <w:rsid w:val="70C262BC"/>
    <w:rsid w:val="70C6236B"/>
    <w:rsid w:val="70C67913"/>
    <w:rsid w:val="70C944CE"/>
    <w:rsid w:val="70CC326D"/>
    <w:rsid w:val="70DA167E"/>
    <w:rsid w:val="70DD1EB6"/>
    <w:rsid w:val="70E86B7C"/>
    <w:rsid w:val="70F13764"/>
    <w:rsid w:val="70FA2112"/>
    <w:rsid w:val="710207F1"/>
    <w:rsid w:val="710714E0"/>
    <w:rsid w:val="710734D3"/>
    <w:rsid w:val="710756B1"/>
    <w:rsid w:val="710C4766"/>
    <w:rsid w:val="710F5DB0"/>
    <w:rsid w:val="71105F71"/>
    <w:rsid w:val="71182882"/>
    <w:rsid w:val="711A0661"/>
    <w:rsid w:val="711C7B16"/>
    <w:rsid w:val="71202A24"/>
    <w:rsid w:val="71240D84"/>
    <w:rsid w:val="71267905"/>
    <w:rsid w:val="712B3A0F"/>
    <w:rsid w:val="712F7E4A"/>
    <w:rsid w:val="713A321C"/>
    <w:rsid w:val="713A7D81"/>
    <w:rsid w:val="713D4B1A"/>
    <w:rsid w:val="713E50B9"/>
    <w:rsid w:val="714C23C7"/>
    <w:rsid w:val="7153363C"/>
    <w:rsid w:val="715841DC"/>
    <w:rsid w:val="71596CCD"/>
    <w:rsid w:val="715E3630"/>
    <w:rsid w:val="716F678A"/>
    <w:rsid w:val="71706C54"/>
    <w:rsid w:val="71743B7E"/>
    <w:rsid w:val="7183389A"/>
    <w:rsid w:val="71845AB1"/>
    <w:rsid w:val="71872E87"/>
    <w:rsid w:val="7189730B"/>
    <w:rsid w:val="71920DF0"/>
    <w:rsid w:val="719569EB"/>
    <w:rsid w:val="71964E69"/>
    <w:rsid w:val="719E1302"/>
    <w:rsid w:val="71A4674C"/>
    <w:rsid w:val="71A71E17"/>
    <w:rsid w:val="71AE5FA7"/>
    <w:rsid w:val="71B22F94"/>
    <w:rsid w:val="71B86AF6"/>
    <w:rsid w:val="71BC3733"/>
    <w:rsid w:val="71BF5DA9"/>
    <w:rsid w:val="71C16E13"/>
    <w:rsid w:val="71C53E5D"/>
    <w:rsid w:val="71D76F4B"/>
    <w:rsid w:val="71D97329"/>
    <w:rsid w:val="71DE54D5"/>
    <w:rsid w:val="71E847BA"/>
    <w:rsid w:val="71F13A13"/>
    <w:rsid w:val="71FA5971"/>
    <w:rsid w:val="71FB6B1C"/>
    <w:rsid w:val="72046B88"/>
    <w:rsid w:val="7206342D"/>
    <w:rsid w:val="720B3AFE"/>
    <w:rsid w:val="72105D4C"/>
    <w:rsid w:val="72142DDB"/>
    <w:rsid w:val="72167F4A"/>
    <w:rsid w:val="721C3152"/>
    <w:rsid w:val="7220002D"/>
    <w:rsid w:val="7232276A"/>
    <w:rsid w:val="723451F7"/>
    <w:rsid w:val="7237221A"/>
    <w:rsid w:val="723D6DA0"/>
    <w:rsid w:val="723F19F0"/>
    <w:rsid w:val="72457663"/>
    <w:rsid w:val="72506559"/>
    <w:rsid w:val="72564CCA"/>
    <w:rsid w:val="725D7327"/>
    <w:rsid w:val="726045ED"/>
    <w:rsid w:val="7260645A"/>
    <w:rsid w:val="726516FF"/>
    <w:rsid w:val="72685BBA"/>
    <w:rsid w:val="726D6B15"/>
    <w:rsid w:val="726E1DCD"/>
    <w:rsid w:val="72702397"/>
    <w:rsid w:val="7275376F"/>
    <w:rsid w:val="727722B3"/>
    <w:rsid w:val="72785139"/>
    <w:rsid w:val="72827E79"/>
    <w:rsid w:val="72831DD0"/>
    <w:rsid w:val="72850BBD"/>
    <w:rsid w:val="729258D4"/>
    <w:rsid w:val="72932429"/>
    <w:rsid w:val="729F1F43"/>
    <w:rsid w:val="72A0751B"/>
    <w:rsid w:val="72A1085B"/>
    <w:rsid w:val="72A304D4"/>
    <w:rsid w:val="72A47180"/>
    <w:rsid w:val="72A7116A"/>
    <w:rsid w:val="72A81983"/>
    <w:rsid w:val="72A86232"/>
    <w:rsid w:val="72AA209F"/>
    <w:rsid w:val="72AD3897"/>
    <w:rsid w:val="72AF094D"/>
    <w:rsid w:val="72CD2D8E"/>
    <w:rsid w:val="72CE4E83"/>
    <w:rsid w:val="72D44208"/>
    <w:rsid w:val="72DA5C1B"/>
    <w:rsid w:val="72DB5C93"/>
    <w:rsid w:val="72E05AC9"/>
    <w:rsid w:val="72F16172"/>
    <w:rsid w:val="72F5269A"/>
    <w:rsid w:val="72F55268"/>
    <w:rsid w:val="72F63235"/>
    <w:rsid w:val="72FA3AA2"/>
    <w:rsid w:val="72FB2F1F"/>
    <w:rsid w:val="72FB333B"/>
    <w:rsid w:val="730567C8"/>
    <w:rsid w:val="73056CCD"/>
    <w:rsid w:val="73071D7F"/>
    <w:rsid w:val="730A690B"/>
    <w:rsid w:val="730B10E9"/>
    <w:rsid w:val="730C36A0"/>
    <w:rsid w:val="730D11F2"/>
    <w:rsid w:val="730D3FAC"/>
    <w:rsid w:val="730D5664"/>
    <w:rsid w:val="731F48CA"/>
    <w:rsid w:val="731F7EDF"/>
    <w:rsid w:val="732116A0"/>
    <w:rsid w:val="73230EAD"/>
    <w:rsid w:val="73247407"/>
    <w:rsid w:val="732612EE"/>
    <w:rsid w:val="7329638D"/>
    <w:rsid w:val="732F553A"/>
    <w:rsid w:val="732F5CE5"/>
    <w:rsid w:val="73354237"/>
    <w:rsid w:val="733A02EA"/>
    <w:rsid w:val="733D17C9"/>
    <w:rsid w:val="734170C5"/>
    <w:rsid w:val="734709A4"/>
    <w:rsid w:val="73476066"/>
    <w:rsid w:val="734E7221"/>
    <w:rsid w:val="73550E9F"/>
    <w:rsid w:val="73590BCD"/>
    <w:rsid w:val="735E1450"/>
    <w:rsid w:val="735F3AC1"/>
    <w:rsid w:val="735F4D20"/>
    <w:rsid w:val="73677F16"/>
    <w:rsid w:val="736C7A0F"/>
    <w:rsid w:val="737C0321"/>
    <w:rsid w:val="73853F1C"/>
    <w:rsid w:val="73903D69"/>
    <w:rsid w:val="7391176E"/>
    <w:rsid w:val="7394213D"/>
    <w:rsid w:val="73995C88"/>
    <w:rsid w:val="739F3359"/>
    <w:rsid w:val="73A96450"/>
    <w:rsid w:val="73B74E64"/>
    <w:rsid w:val="73B83C9A"/>
    <w:rsid w:val="73B943A6"/>
    <w:rsid w:val="73C7134C"/>
    <w:rsid w:val="73D70502"/>
    <w:rsid w:val="73D76C07"/>
    <w:rsid w:val="73DB0C80"/>
    <w:rsid w:val="73DF4898"/>
    <w:rsid w:val="73E026BA"/>
    <w:rsid w:val="73E711E7"/>
    <w:rsid w:val="73E92217"/>
    <w:rsid w:val="73EE05CA"/>
    <w:rsid w:val="73F1659A"/>
    <w:rsid w:val="73F50C86"/>
    <w:rsid w:val="73F84870"/>
    <w:rsid w:val="74020613"/>
    <w:rsid w:val="74083B56"/>
    <w:rsid w:val="74086162"/>
    <w:rsid w:val="74137767"/>
    <w:rsid w:val="74186113"/>
    <w:rsid w:val="741A2582"/>
    <w:rsid w:val="742109CA"/>
    <w:rsid w:val="74217D3C"/>
    <w:rsid w:val="74231FEE"/>
    <w:rsid w:val="742652C9"/>
    <w:rsid w:val="74265C8A"/>
    <w:rsid w:val="74305928"/>
    <w:rsid w:val="743727BE"/>
    <w:rsid w:val="743C306F"/>
    <w:rsid w:val="744855E1"/>
    <w:rsid w:val="74517C03"/>
    <w:rsid w:val="745271F0"/>
    <w:rsid w:val="745D2454"/>
    <w:rsid w:val="74601140"/>
    <w:rsid w:val="74624AFD"/>
    <w:rsid w:val="74667A69"/>
    <w:rsid w:val="74682F63"/>
    <w:rsid w:val="74704DF2"/>
    <w:rsid w:val="747B033C"/>
    <w:rsid w:val="747C22D2"/>
    <w:rsid w:val="747E1046"/>
    <w:rsid w:val="74823B82"/>
    <w:rsid w:val="74854EDF"/>
    <w:rsid w:val="749113C7"/>
    <w:rsid w:val="749362B5"/>
    <w:rsid w:val="74963DD5"/>
    <w:rsid w:val="74971955"/>
    <w:rsid w:val="74A75519"/>
    <w:rsid w:val="74AA3D60"/>
    <w:rsid w:val="74AD7B4F"/>
    <w:rsid w:val="74B37344"/>
    <w:rsid w:val="74B9417B"/>
    <w:rsid w:val="74BC09FF"/>
    <w:rsid w:val="74BC2321"/>
    <w:rsid w:val="74CA18AC"/>
    <w:rsid w:val="74CA51D7"/>
    <w:rsid w:val="74D315B5"/>
    <w:rsid w:val="74E212A1"/>
    <w:rsid w:val="74E4485B"/>
    <w:rsid w:val="74E620F4"/>
    <w:rsid w:val="74EA4C53"/>
    <w:rsid w:val="74ED2DA2"/>
    <w:rsid w:val="74F02AE3"/>
    <w:rsid w:val="74F82CA0"/>
    <w:rsid w:val="74FF587E"/>
    <w:rsid w:val="75023D29"/>
    <w:rsid w:val="750875AA"/>
    <w:rsid w:val="7516015A"/>
    <w:rsid w:val="75241E5A"/>
    <w:rsid w:val="752631DE"/>
    <w:rsid w:val="753501A9"/>
    <w:rsid w:val="753C014A"/>
    <w:rsid w:val="753D190F"/>
    <w:rsid w:val="753D4406"/>
    <w:rsid w:val="75401EAA"/>
    <w:rsid w:val="75407939"/>
    <w:rsid w:val="75414A77"/>
    <w:rsid w:val="75415BEA"/>
    <w:rsid w:val="75452D91"/>
    <w:rsid w:val="75455A8B"/>
    <w:rsid w:val="754620C4"/>
    <w:rsid w:val="754668CC"/>
    <w:rsid w:val="7547590A"/>
    <w:rsid w:val="754F0F18"/>
    <w:rsid w:val="7553673E"/>
    <w:rsid w:val="755504CC"/>
    <w:rsid w:val="75570C7C"/>
    <w:rsid w:val="75640956"/>
    <w:rsid w:val="75666CC7"/>
    <w:rsid w:val="7568324B"/>
    <w:rsid w:val="756B7F2D"/>
    <w:rsid w:val="756D7F29"/>
    <w:rsid w:val="75714BF5"/>
    <w:rsid w:val="757E6E4B"/>
    <w:rsid w:val="75816D38"/>
    <w:rsid w:val="75882843"/>
    <w:rsid w:val="758A7CBA"/>
    <w:rsid w:val="758C31A5"/>
    <w:rsid w:val="758D1DA8"/>
    <w:rsid w:val="758E4316"/>
    <w:rsid w:val="75953213"/>
    <w:rsid w:val="759E51D0"/>
    <w:rsid w:val="75A243E9"/>
    <w:rsid w:val="75A66DA8"/>
    <w:rsid w:val="75AE6DC9"/>
    <w:rsid w:val="75B9424A"/>
    <w:rsid w:val="75BE2D7B"/>
    <w:rsid w:val="75BF451B"/>
    <w:rsid w:val="75D15874"/>
    <w:rsid w:val="75D918C2"/>
    <w:rsid w:val="75DC374C"/>
    <w:rsid w:val="75DE7831"/>
    <w:rsid w:val="75E24687"/>
    <w:rsid w:val="75EA0EAB"/>
    <w:rsid w:val="75F04056"/>
    <w:rsid w:val="75F61EC9"/>
    <w:rsid w:val="75F7651C"/>
    <w:rsid w:val="75FD7ABA"/>
    <w:rsid w:val="76062BA0"/>
    <w:rsid w:val="760B0393"/>
    <w:rsid w:val="760B082B"/>
    <w:rsid w:val="760C0950"/>
    <w:rsid w:val="7611683E"/>
    <w:rsid w:val="76136258"/>
    <w:rsid w:val="76157430"/>
    <w:rsid w:val="76163588"/>
    <w:rsid w:val="761A589D"/>
    <w:rsid w:val="761B3CB2"/>
    <w:rsid w:val="761C1051"/>
    <w:rsid w:val="762733C4"/>
    <w:rsid w:val="76282105"/>
    <w:rsid w:val="76311F08"/>
    <w:rsid w:val="7632590C"/>
    <w:rsid w:val="76333978"/>
    <w:rsid w:val="763A1F3E"/>
    <w:rsid w:val="763B0954"/>
    <w:rsid w:val="763E4C53"/>
    <w:rsid w:val="7642512F"/>
    <w:rsid w:val="76486471"/>
    <w:rsid w:val="76560C03"/>
    <w:rsid w:val="765B41EA"/>
    <w:rsid w:val="766070A8"/>
    <w:rsid w:val="76663F7B"/>
    <w:rsid w:val="766B23D2"/>
    <w:rsid w:val="76717942"/>
    <w:rsid w:val="76786B6C"/>
    <w:rsid w:val="767C556B"/>
    <w:rsid w:val="76855508"/>
    <w:rsid w:val="76887395"/>
    <w:rsid w:val="76935118"/>
    <w:rsid w:val="76945E54"/>
    <w:rsid w:val="7695075A"/>
    <w:rsid w:val="76955CCD"/>
    <w:rsid w:val="769A5449"/>
    <w:rsid w:val="769D6F25"/>
    <w:rsid w:val="769E6E84"/>
    <w:rsid w:val="76A03402"/>
    <w:rsid w:val="76AA3BA9"/>
    <w:rsid w:val="76AC04D0"/>
    <w:rsid w:val="76B1217D"/>
    <w:rsid w:val="76B12D15"/>
    <w:rsid w:val="76B264AB"/>
    <w:rsid w:val="76B561E5"/>
    <w:rsid w:val="76B66620"/>
    <w:rsid w:val="76C470C9"/>
    <w:rsid w:val="76C527AA"/>
    <w:rsid w:val="76CC5A07"/>
    <w:rsid w:val="76D22AF4"/>
    <w:rsid w:val="76D4532A"/>
    <w:rsid w:val="76DB6351"/>
    <w:rsid w:val="76EB77B2"/>
    <w:rsid w:val="76EC1EC2"/>
    <w:rsid w:val="76EC4249"/>
    <w:rsid w:val="76EC72DB"/>
    <w:rsid w:val="76ED2DA7"/>
    <w:rsid w:val="76EF673B"/>
    <w:rsid w:val="76F22749"/>
    <w:rsid w:val="76F32A97"/>
    <w:rsid w:val="76F61BDD"/>
    <w:rsid w:val="7701549D"/>
    <w:rsid w:val="77022667"/>
    <w:rsid w:val="77054371"/>
    <w:rsid w:val="77055AFA"/>
    <w:rsid w:val="770830AC"/>
    <w:rsid w:val="770F3CDE"/>
    <w:rsid w:val="77117BFE"/>
    <w:rsid w:val="7712216A"/>
    <w:rsid w:val="77131F78"/>
    <w:rsid w:val="771331E7"/>
    <w:rsid w:val="771833A3"/>
    <w:rsid w:val="771E31E4"/>
    <w:rsid w:val="7726008C"/>
    <w:rsid w:val="772B6142"/>
    <w:rsid w:val="773D04CB"/>
    <w:rsid w:val="774B63A8"/>
    <w:rsid w:val="774E2496"/>
    <w:rsid w:val="774F0EDF"/>
    <w:rsid w:val="775C4388"/>
    <w:rsid w:val="776361AE"/>
    <w:rsid w:val="77690815"/>
    <w:rsid w:val="7769352A"/>
    <w:rsid w:val="77705E35"/>
    <w:rsid w:val="777D4D2E"/>
    <w:rsid w:val="777F54BA"/>
    <w:rsid w:val="7780316B"/>
    <w:rsid w:val="77850824"/>
    <w:rsid w:val="778D78E4"/>
    <w:rsid w:val="778E1927"/>
    <w:rsid w:val="779279F3"/>
    <w:rsid w:val="77985A58"/>
    <w:rsid w:val="77A22FEF"/>
    <w:rsid w:val="77B00309"/>
    <w:rsid w:val="77BA2C53"/>
    <w:rsid w:val="77BD7B85"/>
    <w:rsid w:val="77C65D3B"/>
    <w:rsid w:val="77C7354F"/>
    <w:rsid w:val="77D17E55"/>
    <w:rsid w:val="77D24FD5"/>
    <w:rsid w:val="77D32CCE"/>
    <w:rsid w:val="77D523D9"/>
    <w:rsid w:val="77D64382"/>
    <w:rsid w:val="77DE29AF"/>
    <w:rsid w:val="77DF2698"/>
    <w:rsid w:val="77E136D9"/>
    <w:rsid w:val="77E46250"/>
    <w:rsid w:val="77EC6323"/>
    <w:rsid w:val="77F340AC"/>
    <w:rsid w:val="77FB1B40"/>
    <w:rsid w:val="780147B9"/>
    <w:rsid w:val="78016613"/>
    <w:rsid w:val="78065249"/>
    <w:rsid w:val="780A6360"/>
    <w:rsid w:val="780C1171"/>
    <w:rsid w:val="780F782B"/>
    <w:rsid w:val="781A0285"/>
    <w:rsid w:val="782335BA"/>
    <w:rsid w:val="78291FAF"/>
    <w:rsid w:val="78381F3E"/>
    <w:rsid w:val="783A0774"/>
    <w:rsid w:val="783B20E8"/>
    <w:rsid w:val="784136E0"/>
    <w:rsid w:val="78436D2B"/>
    <w:rsid w:val="784423D4"/>
    <w:rsid w:val="78443F64"/>
    <w:rsid w:val="784820DE"/>
    <w:rsid w:val="78485A03"/>
    <w:rsid w:val="78486B7A"/>
    <w:rsid w:val="784A11F1"/>
    <w:rsid w:val="784D2B74"/>
    <w:rsid w:val="78504C7F"/>
    <w:rsid w:val="7850776C"/>
    <w:rsid w:val="785C558F"/>
    <w:rsid w:val="7861402F"/>
    <w:rsid w:val="78622F9F"/>
    <w:rsid w:val="78654E3E"/>
    <w:rsid w:val="786A3CDA"/>
    <w:rsid w:val="786F4AFE"/>
    <w:rsid w:val="78703ED3"/>
    <w:rsid w:val="787742DB"/>
    <w:rsid w:val="78780F54"/>
    <w:rsid w:val="787B63C5"/>
    <w:rsid w:val="788074BB"/>
    <w:rsid w:val="788D2F42"/>
    <w:rsid w:val="78910D98"/>
    <w:rsid w:val="7892323A"/>
    <w:rsid w:val="78987B91"/>
    <w:rsid w:val="78A24B41"/>
    <w:rsid w:val="78A45DC4"/>
    <w:rsid w:val="78AA073D"/>
    <w:rsid w:val="78AB4FF6"/>
    <w:rsid w:val="78AC0508"/>
    <w:rsid w:val="78BC61DC"/>
    <w:rsid w:val="78BF1D41"/>
    <w:rsid w:val="78C216E6"/>
    <w:rsid w:val="78CB3350"/>
    <w:rsid w:val="78DD144A"/>
    <w:rsid w:val="78E341BD"/>
    <w:rsid w:val="78E41301"/>
    <w:rsid w:val="78F1088F"/>
    <w:rsid w:val="78F14849"/>
    <w:rsid w:val="78F32056"/>
    <w:rsid w:val="78FA0338"/>
    <w:rsid w:val="78FB65E6"/>
    <w:rsid w:val="78FB7233"/>
    <w:rsid w:val="78FC4B1E"/>
    <w:rsid w:val="79020BF4"/>
    <w:rsid w:val="79042201"/>
    <w:rsid w:val="79056DAB"/>
    <w:rsid w:val="790C629E"/>
    <w:rsid w:val="790F2E13"/>
    <w:rsid w:val="791039AF"/>
    <w:rsid w:val="79115545"/>
    <w:rsid w:val="791223DB"/>
    <w:rsid w:val="7912544E"/>
    <w:rsid w:val="79142B93"/>
    <w:rsid w:val="7915224E"/>
    <w:rsid w:val="79176177"/>
    <w:rsid w:val="79200934"/>
    <w:rsid w:val="79244FB5"/>
    <w:rsid w:val="792474A3"/>
    <w:rsid w:val="79263497"/>
    <w:rsid w:val="792767F4"/>
    <w:rsid w:val="792A70BB"/>
    <w:rsid w:val="792E0C6F"/>
    <w:rsid w:val="79340D3C"/>
    <w:rsid w:val="793470A4"/>
    <w:rsid w:val="79377366"/>
    <w:rsid w:val="79452E30"/>
    <w:rsid w:val="79463559"/>
    <w:rsid w:val="794674A3"/>
    <w:rsid w:val="794930D6"/>
    <w:rsid w:val="794C53E4"/>
    <w:rsid w:val="794E64FA"/>
    <w:rsid w:val="79505893"/>
    <w:rsid w:val="795276D1"/>
    <w:rsid w:val="79585BAC"/>
    <w:rsid w:val="7959597C"/>
    <w:rsid w:val="795E42F4"/>
    <w:rsid w:val="79602632"/>
    <w:rsid w:val="796075F5"/>
    <w:rsid w:val="796344A2"/>
    <w:rsid w:val="7966077F"/>
    <w:rsid w:val="79720C11"/>
    <w:rsid w:val="79725F56"/>
    <w:rsid w:val="797A7D29"/>
    <w:rsid w:val="798B0927"/>
    <w:rsid w:val="798F2035"/>
    <w:rsid w:val="79924AF9"/>
    <w:rsid w:val="79971E84"/>
    <w:rsid w:val="799E00A2"/>
    <w:rsid w:val="799E1A49"/>
    <w:rsid w:val="799E670C"/>
    <w:rsid w:val="79A17CE2"/>
    <w:rsid w:val="79A85015"/>
    <w:rsid w:val="79AC6A4A"/>
    <w:rsid w:val="79B00E85"/>
    <w:rsid w:val="79B13471"/>
    <w:rsid w:val="79B33767"/>
    <w:rsid w:val="79B90464"/>
    <w:rsid w:val="79BF0A61"/>
    <w:rsid w:val="79C26AAA"/>
    <w:rsid w:val="79C40B28"/>
    <w:rsid w:val="79C72F05"/>
    <w:rsid w:val="79C97C01"/>
    <w:rsid w:val="79CB187F"/>
    <w:rsid w:val="79CF1B37"/>
    <w:rsid w:val="79D2613D"/>
    <w:rsid w:val="79D71086"/>
    <w:rsid w:val="79DB6E33"/>
    <w:rsid w:val="79DC7D7E"/>
    <w:rsid w:val="79E11258"/>
    <w:rsid w:val="79E62951"/>
    <w:rsid w:val="79E712ED"/>
    <w:rsid w:val="79E9087A"/>
    <w:rsid w:val="79EB3915"/>
    <w:rsid w:val="79EB69E7"/>
    <w:rsid w:val="79EB79F3"/>
    <w:rsid w:val="79ED4154"/>
    <w:rsid w:val="79F065B1"/>
    <w:rsid w:val="7A093F58"/>
    <w:rsid w:val="7A152441"/>
    <w:rsid w:val="7A1A2163"/>
    <w:rsid w:val="7A1D017B"/>
    <w:rsid w:val="7A1D33F6"/>
    <w:rsid w:val="7A3141C1"/>
    <w:rsid w:val="7A340C97"/>
    <w:rsid w:val="7A3C4713"/>
    <w:rsid w:val="7A441A74"/>
    <w:rsid w:val="7A4607CC"/>
    <w:rsid w:val="7A49565F"/>
    <w:rsid w:val="7A523943"/>
    <w:rsid w:val="7A610835"/>
    <w:rsid w:val="7A67712B"/>
    <w:rsid w:val="7A68420E"/>
    <w:rsid w:val="7A6C318B"/>
    <w:rsid w:val="7A771D3C"/>
    <w:rsid w:val="7A7C0977"/>
    <w:rsid w:val="7A7C73BC"/>
    <w:rsid w:val="7A7F2206"/>
    <w:rsid w:val="7A7F54D1"/>
    <w:rsid w:val="7A822F9E"/>
    <w:rsid w:val="7A85410E"/>
    <w:rsid w:val="7A872A83"/>
    <w:rsid w:val="7A875112"/>
    <w:rsid w:val="7A8A0230"/>
    <w:rsid w:val="7A8D6859"/>
    <w:rsid w:val="7A963C82"/>
    <w:rsid w:val="7A9C3842"/>
    <w:rsid w:val="7AA24FAE"/>
    <w:rsid w:val="7AA41C43"/>
    <w:rsid w:val="7AAA2B9F"/>
    <w:rsid w:val="7AAD4457"/>
    <w:rsid w:val="7AAE3A72"/>
    <w:rsid w:val="7AB6552F"/>
    <w:rsid w:val="7AC24C59"/>
    <w:rsid w:val="7AC32B76"/>
    <w:rsid w:val="7AC41491"/>
    <w:rsid w:val="7AC46687"/>
    <w:rsid w:val="7ACB5E9F"/>
    <w:rsid w:val="7AD028D0"/>
    <w:rsid w:val="7AD54839"/>
    <w:rsid w:val="7AD77E17"/>
    <w:rsid w:val="7AE122DD"/>
    <w:rsid w:val="7AE306FE"/>
    <w:rsid w:val="7AE55343"/>
    <w:rsid w:val="7AEB2F39"/>
    <w:rsid w:val="7AF34CBD"/>
    <w:rsid w:val="7AFC0DC4"/>
    <w:rsid w:val="7B0839FD"/>
    <w:rsid w:val="7B0F6944"/>
    <w:rsid w:val="7B100BD2"/>
    <w:rsid w:val="7B170E36"/>
    <w:rsid w:val="7B19278C"/>
    <w:rsid w:val="7B1D7CB9"/>
    <w:rsid w:val="7B215151"/>
    <w:rsid w:val="7B240F83"/>
    <w:rsid w:val="7B260D1E"/>
    <w:rsid w:val="7B2634FA"/>
    <w:rsid w:val="7B292723"/>
    <w:rsid w:val="7B2B5A22"/>
    <w:rsid w:val="7B2F449E"/>
    <w:rsid w:val="7B392EEE"/>
    <w:rsid w:val="7B3D1434"/>
    <w:rsid w:val="7B44587D"/>
    <w:rsid w:val="7B4634AD"/>
    <w:rsid w:val="7B472D72"/>
    <w:rsid w:val="7B4D394C"/>
    <w:rsid w:val="7B4E3CED"/>
    <w:rsid w:val="7B4E58EA"/>
    <w:rsid w:val="7B541C4D"/>
    <w:rsid w:val="7B635674"/>
    <w:rsid w:val="7B676E8A"/>
    <w:rsid w:val="7B680DD6"/>
    <w:rsid w:val="7B693BA8"/>
    <w:rsid w:val="7B73679B"/>
    <w:rsid w:val="7B7813C8"/>
    <w:rsid w:val="7B7D24D4"/>
    <w:rsid w:val="7B822972"/>
    <w:rsid w:val="7B87145D"/>
    <w:rsid w:val="7B8D0CDE"/>
    <w:rsid w:val="7B8F1740"/>
    <w:rsid w:val="7B90520E"/>
    <w:rsid w:val="7B961283"/>
    <w:rsid w:val="7B990727"/>
    <w:rsid w:val="7B9C37B3"/>
    <w:rsid w:val="7B9D7A55"/>
    <w:rsid w:val="7BA213AC"/>
    <w:rsid w:val="7BA464F7"/>
    <w:rsid w:val="7BA51CA4"/>
    <w:rsid w:val="7BA87ABA"/>
    <w:rsid w:val="7BA91FDB"/>
    <w:rsid w:val="7BAF6E25"/>
    <w:rsid w:val="7BB27C83"/>
    <w:rsid w:val="7BB52962"/>
    <w:rsid w:val="7BC20B2F"/>
    <w:rsid w:val="7BC230D6"/>
    <w:rsid w:val="7BC677FD"/>
    <w:rsid w:val="7BCE19B6"/>
    <w:rsid w:val="7BCE42DD"/>
    <w:rsid w:val="7BCF5819"/>
    <w:rsid w:val="7BD10D68"/>
    <w:rsid w:val="7BD936BC"/>
    <w:rsid w:val="7BDB180F"/>
    <w:rsid w:val="7BE14F82"/>
    <w:rsid w:val="7BE46674"/>
    <w:rsid w:val="7BE6444E"/>
    <w:rsid w:val="7BED228A"/>
    <w:rsid w:val="7BF13D66"/>
    <w:rsid w:val="7BFC3D53"/>
    <w:rsid w:val="7BFD3D4B"/>
    <w:rsid w:val="7BFD721E"/>
    <w:rsid w:val="7C02161D"/>
    <w:rsid w:val="7C050B10"/>
    <w:rsid w:val="7C0C5A27"/>
    <w:rsid w:val="7C121B95"/>
    <w:rsid w:val="7C134B6C"/>
    <w:rsid w:val="7C182684"/>
    <w:rsid w:val="7C1A740C"/>
    <w:rsid w:val="7C281CBB"/>
    <w:rsid w:val="7C295E36"/>
    <w:rsid w:val="7C2A3491"/>
    <w:rsid w:val="7C2B20EE"/>
    <w:rsid w:val="7C2E5F97"/>
    <w:rsid w:val="7C341D97"/>
    <w:rsid w:val="7C3F058A"/>
    <w:rsid w:val="7C4116FE"/>
    <w:rsid w:val="7C460B0D"/>
    <w:rsid w:val="7C530FE3"/>
    <w:rsid w:val="7C5D6033"/>
    <w:rsid w:val="7C5E254E"/>
    <w:rsid w:val="7C614AA6"/>
    <w:rsid w:val="7C6C7756"/>
    <w:rsid w:val="7C6F5EDE"/>
    <w:rsid w:val="7C71280C"/>
    <w:rsid w:val="7C735342"/>
    <w:rsid w:val="7C7753E7"/>
    <w:rsid w:val="7C775957"/>
    <w:rsid w:val="7C7B2236"/>
    <w:rsid w:val="7C7C579F"/>
    <w:rsid w:val="7C7F5C51"/>
    <w:rsid w:val="7C87526D"/>
    <w:rsid w:val="7C913B7A"/>
    <w:rsid w:val="7C92766E"/>
    <w:rsid w:val="7C966B72"/>
    <w:rsid w:val="7C9D718E"/>
    <w:rsid w:val="7CA05646"/>
    <w:rsid w:val="7CA11B7B"/>
    <w:rsid w:val="7CBD706A"/>
    <w:rsid w:val="7CC77C43"/>
    <w:rsid w:val="7CD3334F"/>
    <w:rsid w:val="7CD35F61"/>
    <w:rsid w:val="7CD65264"/>
    <w:rsid w:val="7CD80297"/>
    <w:rsid w:val="7CDA2F8B"/>
    <w:rsid w:val="7CDC2FE8"/>
    <w:rsid w:val="7CDE2CA6"/>
    <w:rsid w:val="7CE23ABD"/>
    <w:rsid w:val="7CE32B5A"/>
    <w:rsid w:val="7CE65CB6"/>
    <w:rsid w:val="7CEF08D9"/>
    <w:rsid w:val="7CF12C6D"/>
    <w:rsid w:val="7CF173D1"/>
    <w:rsid w:val="7CF4443B"/>
    <w:rsid w:val="7CF60CF7"/>
    <w:rsid w:val="7CF8394E"/>
    <w:rsid w:val="7CF9552D"/>
    <w:rsid w:val="7D014349"/>
    <w:rsid w:val="7D015395"/>
    <w:rsid w:val="7D0B3EFD"/>
    <w:rsid w:val="7D0E4A78"/>
    <w:rsid w:val="7D1617FF"/>
    <w:rsid w:val="7D1F3E38"/>
    <w:rsid w:val="7D2408FD"/>
    <w:rsid w:val="7D320AED"/>
    <w:rsid w:val="7D3C27E1"/>
    <w:rsid w:val="7D3E36DF"/>
    <w:rsid w:val="7D3E6757"/>
    <w:rsid w:val="7D473480"/>
    <w:rsid w:val="7D476779"/>
    <w:rsid w:val="7D492154"/>
    <w:rsid w:val="7D4A7E75"/>
    <w:rsid w:val="7D4E5CB8"/>
    <w:rsid w:val="7D4F0908"/>
    <w:rsid w:val="7D5414DA"/>
    <w:rsid w:val="7D6343CA"/>
    <w:rsid w:val="7D6845BB"/>
    <w:rsid w:val="7D701DB8"/>
    <w:rsid w:val="7D731DED"/>
    <w:rsid w:val="7D763BAD"/>
    <w:rsid w:val="7D790F76"/>
    <w:rsid w:val="7D862437"/>
    <w:rsid w:val="7D87286C"/>
    <w:rsid w:val="7D892089"/>
    <w:rsid w:val="7D8E349D"/>
    <w:rsid w:val="7D910F22"/>
    <w:rsid w:val="7D981155"/>
    <w:rsid w:val="7D9C7AB9"/>
    <w:rsid w:val="7D9E342F"/>
    <w:rsid w:val="7DA31B81"/>
    <w:rsid w:val="7DA6539F"/>
    <w:rsid w:val="7DAA26DA"/>
    <w:rsid w:val="7DAA3D32"/>
    <w:rsid w:val="7DB12001"/>
    <w:rsid w:val="7DB51BA1"/>
    <w:rsid w:val="7DB74D20"/>
    <w:rsid w:val="7DBB71A1"/>
    <w:rsid w:val="7DBD2499"/>
    <w:rsid w:val="7DBD4DFD"/>
    <w:rsid w:val="7DC175C3"/>
    <w:rsid w:val="7DC379BC"/>
    <w:rsid w:val="7DC61972"/>
    <w:rsid w:val="7DCB5113"/>
    <w:rsid w:val="7DE143D4"/>
    <w:rsid w:val="7DE9545F"/>
    <w:rsid w:val="7DF16135"/>
    <w:rsid w:val="7DF94B13"/>
    <w:rsid w:val="7DFE2EB2"/>
    <w:rsid w:val="7E020C98"/>
    <w:rsid w:val="7E080997"/>
    <w:rsid w:val="7E121DB9"/>
    <w:rsid w:val="7E1260D1"/>
    <w:rsid w:val="7E1441CE"/>
    <w:rsid w:val="7E167904"/>
    <w:rsid w:val="7E1A2002"/>
    <w:rsid w:val="7E2D5834"/>
    <w:rsid w:val="7E350369"/>
    <w:rsid w:val="7E3629C8"/>
    <w:rsid w:val="7E4141EC"/>
    <w:rsid w:val="7E4470F1"/>
    <w:rsid w:val="7E4533E5"/>
    <w:rsid w:val="7E49313C"/>
    <w:rsid w:val="7E4D04AB"/>
    <w:rsid w:val="7E4D7154"/>
    <w:rsid w:val="7E505EFC"/>
    <w:rsid w:val="7E571FD9"/>
    <w:rsid w:val="7E584628"/>
    <w:rsid w:val="7E5D6DB3"/>
    <w:rsid w:val="7E5D7F32"/>
    <w:rsid w:val="7E5E4A87"/>
    <w:rsid w:val="7E66391F"/>
    <w:rsid w:val="7E681F07"/>
    <w:rsid w:val="7E6B74A9"/>
    <w:rsid w:val="7E6D03DC"/>
    <w:rsid w:val="7E726256"/>
    <w:rsid w:val="7E7A2983"/>
    <w:rsid w:val="7E7D15EA"/>
    <w:rsid w:val="7E83126A"/>
    <w:rsid w:val="7E8E0512"/>
    <w:rsid w:val="7E8E6BBF"/>
    <w:rsid w:val="7E9F6D30"/>
    <w:rsid w:val="7EA072E2"/>
    <w:rsid w:val="7EA116F6"/>
    <w:rsid w:val="7EA766EB"/>
    <w:rsid w:val="7EAD0A69"/>
    <w:rsid w:val="7EC10EB6"/>
    <w:rsid w:val="7ECA3F07"/>
    <w:rsid w:val="7ECD576E"/>
    <w:rsid w:val="7ED40B51"/>
    <w:rsid w:val="7ED602BD"/>
    <w:rsid w:val="7ED6409B"/>
    <w:rsid w:val="7ED93902"/>
    <w:rsid w:val="7EDC38B8"/>
    <w:rsid w:val="7EDD112A"/>
    <w:rsid w:val="7EE03DF4"/>
    <w:rsid w:val="7EE416F9"/>
    <w:rsid w:val="7EE62599"/>
    <w:rsid w:val="7EE71987"/>
    <w:rsid w:val="7EEA0F01"/>
    <w:rsid w:val="7EEE3941"/>
    <w:rsid w:val="7EEF4A3C"/>
    <w:rsid w:val="7EF17539"/>
    <w:rsid w:val="7EF47F24"/>
    <w:rsid w:val="7EFA68ED"/>
    <w:rsid w:val="7EFB1378"/>
    <w:rsid w:val="7EFC6AE6"/>
    <w:rsid w:val="7EFD6108"/>
    <w:rsid w:val="7F0211F6"/>
    <w:rsid w:val="7F0A2AA3"/>
    <w:rsid w:val="7F0E03C0"/>
    <w:rsid w:val="7F0F5F95"/>
    <w:rsid w:val="7F131669"/>
    <w:rsid w:val="7F1B19C3"/>
    <w:rsid w:val="7F2501F8"/>
    <w:rsid w:val="7F2B3A7B"/>
    <w:rsid w:val="7F2C1904"/>
    <w:rsid w:val="7F30496C"/>
    <w:rsid w:val="7F346921"/>
    <w:rsid w:val="7F4B74F0"/>
    <w:rsid w:val="7F5419C2"/>
    <w:rsid w:val="7F543A37"/>
    <w:rsid w:val="7F615B4D"/>
    <w:rsid w:val="7F730765"/>
    <w:rsid w:val="7F787CE3"/>
    <w:rsid w:val="7F79572B"/>
    <w:rsid w:val="7F812F19"/>
    <w:rsid w:val="7F8A19E1"/>
    <w:rsid w:val="7F8D42E6"/>
    <w:rsid w:val="7F8E24E7"/>
    <w:rsid w:val="7F91241E"/>
    <w:rsid w:val="7F9209F3"/>
    <w:rsid w:val="7F9B6553"/>
    <w:rsid w:val="7FA07019"/>
    <w:rsid w:val="7FA56C3E"/>
    <w:rsid w:val="7FA96DFC"/>
    <w:rsid w:val="7FAA2A56"/>
    <w:rsid w:val="7FB005E8"/>
    <w:rsid w:val="7FB11265"/>
    <w:rsid w:val="7FB43BBD"/>
    <w:rsid w:val="7FBD01AE"/>
    <w:rsid w:val="7FDB7037"/>
    <w:rsid w:val="7FDC37FD"/>
    <w:rsid w:val="7FDC37FF"/>
    <w:rsid w:val="7FDE530A"/>
    <w:rsid w:val="7FE0063C"/>
    <w:rsid w:val="7FE045F0"/>
    <w:rsid w:val="7FE33E16"/>
    <w:rsid w:val="7FE42543"/>
    <w:rsid w:val="7FE744CB"/>
    <w:rsid w:val="7FE75219"/>
    <w:rsid w:val="7FF83727"/>
    <w:rsid w:val="7FFD130A"/>
    <w:rsid w:val="7FFF2D2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7" w:lineRule="atLeast"/>
      <w:jc w:val="both"/>
      <w:textAlignment w:val="baseline"/>
    </w:pPr>
    <w:rPr>
      <w:rFonts w:ascii="Times New Roman" w:hAnsi="Times New Roman" w:eastAsia="宋体" w:cs="Times New Roman"/>
      <w:color w:val="000000"/>
      <w:sz w:val="21"/>
      <w:u w:val="none" w:color="000000"/>
      <w:lang w:val="en-US" w:eastAsia="zh-CN" w:bidi="ar-SA"/>
    </w:rPr>
  </w:style>
  <w:style w:type="paragraph" w:styleId="6">
    <w:name w:val="heading 1"/>
    <w:basedOn w:val="1"/>
    <w:next w:val="1"/>
    <w:link w:val="59"/>
    <w:qFormat/>
    <w:uiPriority w:val="0"/>
    <w:pPr>
      <w:keepNext/>
      <w:tabs>
        <w:tab w:val="left" w:pos="432"/>
      </w:tabs>
      <w:spacing w:line="240" w:lineRule="auto"/>
      <w:jc w:val="center"/>
      <w:textAlignment w:val="auto"/>
      <w:outlineLvl w:val="0"/>
    </w:pPr>
    <w:rPr>
      <w:rFonts w:ascii="黑体" w:eastAsia="黑体"/>
      <w:color w:val="auto"/>
      <w:sz w:val="32"/>
      <w:u w:val="none" w:color="auto"/>
    </w:rPr>
  </w:style>
  <w:style w:type="paragraph" w:styleId="7">
    <w:name w:val="heading 2"/>
    <w:basedOn w:val="1"/>
    <w:next w:val="1"/>
    <w:link w:val="60"/>
    <w:qFormat/>
    <w:uiPriority w:val="0"/>
    <w:pPr>
      <w:keepNext/>
      <w:keepLines/>
      <w:widowControl w:val="0"/>
      <w:numPr>
        <w:ilvl w:val="1"/>
        <w:numId w:val="1"/>
      </w:numPr>
      <w:adjustRightInd w:val="0"/>
      <w:spacing w:line="400" w:lineRule="exact"/>
      <w:ind w:left="0" w:firstLine="0"/>
      <w:jc w:val="left"/>
      <w:outlineLvl w:val="1"/>
    </w:pPr>
    <w:rPr>
      <w:b/>
      <w:color w:val="auto"/>
      <w:u w:val="none" w:color="auto"/>
    </w:rPr>
  </w:style>
  <w:style w:type="paragraph" w:styleId="8">
    <w:name w:val="heading 3"/>
    <w:basedOn w:val="1"/>
    <w:next w:val="1"/>
    <w:link w:val="61"/>
    <w:qFormat/>
    <w:uiPriority w:val="0"/>
    <w:pPr>
      <w:keepNext/>
      <w:keepLines/>
      <w:spacing w:line="400" w:lineRule="exact"/>
      <w:jc w:val="center"/>
      <w:outlineLvl w:val="2"/>
    </w:pPr>
    <w:rPr>
      <w:b/>
      <w:bCs/>
      <w:szCs w:val="32"/>
    </w:rPr>
  </w:style>
  <w:style w:type="paragraph" w:styleId="9">
    <w:name w:val="heading 4"/>
    <w:basedOn w:val="1"/>
    <w:next w:val="1"/>
    <w:link w:val="62"/>
    <w:qFormat/>
    <w:uiPriority w:val="0"/>
    <w:pPr>
      <w:keepNext/>
      <w:keepLines/>
      <w:spacing w:before="280" w:after="290" w:line="376" w:lineRule="atLeast"/>
      <w:outlineLvl w:val="3"/>
    </w:pPr>
    <w:rPr>
      <w:rFonts w:ascii="Arial" w:hAnsi="Arial" w:eastAsia="黑体"/>
      <w:b/>
      <w:bCs/>
      <w:sz w:val="28"/>
      <w:szCs w:val="28"/>
      <w:lang w:val="zh-CN"/>
    </w:rPr>
  </w:style>
  <w:style w:type="paragraph" w:styleId="10">
    <w:name w:val="heading 5"/>
    <w:basedOn w:val="1"/>
    <w:next w:val="1"/>
    <w:link w:val="63"/>
    <w:qFormat/>
    <w:uiPriority w:val="0"/>
    <w:pPr>
      <w:keepNext/>
      <w:keepLines/>
      <w:widowControl w:val="0"/>
      <w:spacing w:before="280" w:after="290" w:line="376" w:lineRule="auto"/>
      <w:textAlignment w:val="auto"/>
      <w:outlineLvl w:val="4"/>
    </w:pPr>
    <w:rPr>
      <w:b/>
      <w:bCs/>
      <w:color w:val="auto"/>
      <w:sz w:val="28"/>
      <w:szCs w:val="28"/>
      <w:u w:val="none" w:color="auto"/>
      <w:lang w:val="zh-CN"/>
    </w:rPr>
  </w:style>
  <w:style w:type="paragraph" w:styleId="11">
    <w:name w:val="heading 6"/>
    <w:basedOn w:val="1"/>
    <w:next w:val="1"/>
    <w:link w:val="64"/>
    <w:qFormat/>
    <w:uiPriority w:val="9"/>
    <w:pPr>
      <w:keepNext/>
      <w:keepLines/>
      <w:spacing w:before="240" w:after="64" w:line="320" w:lineRule="atLeast"/>
      <w:outlineLvl w:val="5"/>
    </w:pPr>
    <w:rPr>
      <w:rFonts w:ascii="Cambria" w:hAnsi="Cambria"/>
      <w:b/>
      <w:bCs/>
      <w:sz w:val="24"/>
      <w:szCs w:val="24"/>
    </w:rPr>
  </w:style>
  <w:style w:type="paragraph" w:styleId="12">
    <w:name w:val="heading 7"/>
    <w:basedOn w:val="1"/>
    <w:next w:val="1"/>
    <w:link w:val="65"/>
    <w:qFormat/>
    <w:uiPriority w:val="0"/>
    <w:pPr>
      <w:keepNext/>
      <w:keepLines/>
      <w:tabs>
        <w:tab w:val="left" w:pos="2520"/>
      </w:tabs>
      <w:spacing w:before="240" w:after="64" w:line="320" w:lineRule="auto"/>
      <w:ind w:left="1296" w:hanging="1296"/>
      <w:jc w:val="left"/>
      <w:textAlignment w:val="auto"/>
      <w:outlineLvl w:val="6"/>
    </w:pPr>
    <w:rPr>
      <w:b/>
      <w:bCs/>
      <w:color w:val="auto"/>
      <w:sz w:val="24"/>
      <w:szCs w:val="24"/>
      <w:u w:val="none" w:color="auto"/>
    </w:rPr>
  </w:style>
  <w:style w:type="paragraph" w:styleId="13">
    <w:name w:val="heading 8"/>
    <w:basedOn w:val="1"/>
    <w:next w:val="1"/>
    <w:link w:val="66"/>
    <w:qFormat/>
    <w:uiPriority w:val="0"/>
    <w:pPr>
      <w:keepNext/>
      <w:keepLines/>
      <w:tabs>
        <w:tab w:val="left" w:pos="1440"/>
      </w:tabs>
      <w:spacing w:before="240" w:after="64" w:line="320" w:lineRule="auto"/>
      <w:ind w:left="1440" w:hanging="1440"/>
      <w:jc w:val="left"/>
      <w:textAlignment w:val="auto"/>
      <w:outlineLvl w:val="7"/>
    </w:pPr>
    <w:rPr>
      <w:rFonts w:ascii="Arial" w:hAnsi="Arial" w:eastAsia="黑体"/>
      <w:color w:val="auto"/>
      <w:sz w:val="24"/>
      <w:szCs w:val="24"/>
      <w:u w:val="none" w:color="auto"/>
    </w:rPr>
  </w:style>
  <w:style w:type="paragraph" w:styleId="14">
    <w:name w:val="heading 9"/>
    <w:basedOn w:val="1"/>
    <w:next w:val="1"/>
    <w:link w:val="67"/>
    <w:qFormat/>
    <w:uiPriority w:val="0"/>
    <w:pPr>
      <w:keepNext/>
      <w:keepLines/>
      <w:tabs>
        <w:tab w:val="left" w:pos="1584"/>
      </w:tabs>
      <w:spacing w:before="240" w:after="64" w:line="320" w:lineRule="auto"/>
      <w:ind w:left="1584" w:hanging="1584"/>
      <w:jc w:val="left"/>
      <w:textAlignment w:val="auto"/>
      <w:outlineLvl w:val="8"/>
    </w:pPr>
    <w:rPr>
      <w:rFonts w:ascii="Arial" w:hAnsi="Arial" w:eastAsia="黑体"/>
      <w:color w:val="auto"/>
      <w:szCs w:val="21"/>
      <w:u w:val="none" w:color="auto"/>
    </w:rPr>
  </w:style>
  <w:style w:type="character" w:default="1" w:styleId="42">
    <w:name w:val="Default Paragraph Font"/>
    <w:semiHidden/>
    <w:qFormat/>
    <w:uiPriority w:val="0"/>
  </w:style>
  <w:style w:type="table" w:default="1" w:styleId="4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200" w:firstLineChars="200"/>
    </w:pPr>
    <w:rPr>
      <w:rFonts w:ascii="宋体"/>
      <w:szCs w:val="20"/>
    </w:rPr>
  </w:style>
  <w:style w:type="paragraph" w:styleId="3">
    <w:name w:val="Body Text Indent"/>
    <w:basedOn w:val="1"/>
    <w:next w:val="4"/>
    <w:link w:val="58"/>
    <w:qFormat/>
    <w:uiPriority w:val="0"/>
    <w:pPr>
      <w:widowControl w:val="0"/>
      <w:spacing w:after="120" w:line="240" w:lineRule="auto"/>
      <w:ind w:left="420" w:leftChars="200"/>
      <w:textAlignment w:val="auto"/>
    </w:pPr>
    <w:rPr>
      <w:color w:val="auto"/>
      <w:kern w:val="2"/>
      <w:szCs w:val="24"/>
      <w:u w:val="none" w:color="auto"/>
    </w:rPr>
  </w:style>
  <w:style w:type="paragraph" w:styleId="4">
    <w:name w:val="envelope return"/>
    <w:basedOn w:val="1"/>
    <w:next w:val="5"/>
    <w:qFormat/>
    <w:uiPriority w:val="0"/>
    <w:pPr>
      <w:snapToGrid w:val="0"/>
    </w:pPr>
    <w:rPr>
      <w:rFonts w:ascii="Arial" w:hAnsi="Arial"/>
    </w:rPr>
  </w:style>
  <w:style w:type="paragraph" w:styleId="5">
    <w:name w:val="toc 7"/>
    <w:basedOn w:val="1"/>
    <w:next w:val="1"/>
    <w:unhideWhenUsed/>
    <w:qFormat/>
    <w:uiPriority w:val="39"/>
    <w:pPr>
      <w:ind w:left="1260"/>
      <w:jc w:val="left"/>
    </w:pPr>
    <w:rPr>
      <w:sz w:val="18"/>
      <w:szCs w:val="18"/>
    </w:rPr>
  </w:style>
  <w:style w:type="paragraph" w:styleId="15">
    <w:name w:val="List Number 2"/>
    <w:basedOn w:val="1"/>
    <w:qFormat/>
    <w:uiPriority w:val="0"/>
    <w:pPr>
      <w:widowControl w:val="0"/>
      <w:numPr>
        <w:ilvl w:val="0"/>
        <w:numId w:val="2"/>
      </w:numPr>
      <w:tabs>
        <w:tab w:val="left" w:pos="567"/>
      </w:tabs>
      <w:adjustRightInd w:val="0"/>
      <w:spacing w:line="300" w:lineRule="auto"/>
    </w:pPr>
    <w:rPr>
      <w:rFonts w:ascii="Times New Roman" w:hAnsi="Times New Roman"/>
      <w:color w:val="auto"/>
      <w:sz w:val="28"/>
      <w:u w:val="none" w:color="auto"/>
    </w:rPr>
  </w:style>
  <w:style w:type="paragraph" w:styleId="16">
    <w:name w:val="Normal Indent"/>
    <w:basedOn w:val="1"/>
    <w:next w:val="2"/>
    <w:qFormat/>
    <w:uiPriority w:val="0"/>
    <w:pPr>
      <w:widowControl w:val="0"/>
      <w:adjustRightInd w:val="0"/>
      <w:spacing w:line="360" w:lineRule="atLeast"/>
      <w:ind w:firstLine="482"/>
    </w:pPr>
    <w:rPr>
      <w:color w:val="auto"/>
      <w:sz w:val="24"/>
      <w:u w:val="none" w:color="auto"/>
    </w:rPr>
  </w:style>
  <w:style w:type="paragraph" w:styleId="17">
    <w:name w:val="caption"/>
    <w:basedOn w:val="1"/>
    <w:next w:val="1"/>
    <w:qFormat/>
    <w:uiPriority w:val="0"/>
    <w:pPr>
      <w:widowControl w:val="0"/>
      <w:spacing w:line="240" w:lineRule="auto"/>
      <w:textAlignment w:val="auto"/>
    </w:pPr>
    <w:rPr>
      <w:rFonts w:ascii="Calibri Light" w:hAnsi="Calibri Light" w:eastAsia="黑体"/>
      <w:color w:val="auto"/>
      <w:kern w:val="2"/>
      <w:sz w:val="20"/>
      <w:u w:val="none" w:color="auto"/>
    </w:rPr>
  </w:style>
  <w:style w:type="paragraph" w:styleId="18">
    <w:name w:val="Document Map"/>
    <w:basedOn w:val="1"/>
    <w:next w:val="1"/>
    <w:link w:val="68"/>
    <w:semiHidden/>
    <w:qFormat/>
    <w:uiPriority w:val="0"/>
    <w:pPr>
      <w:shd w:val="clear" w:color="auto" w:fill="000080"/>
    </w:pPr>
  </w:style>
  <w:style w:type="paragraph" w:styleId="19">
    <w:name w:val="toa heading"/>
    <w:next w:val="1"/>
    <w:link w:val="69"/>
    <w:qFormat/>
    <w:uiPriority w:val="0"/>
    <w:pPr>
      <w:spacing w:before="120" w:line="357" w:lineRule="atLeast"/>
      <w:jc w:val="both"/>
      <w:textAlignment w:val="baseline"/>
    </w:pPr>
    <w:rPr>
      <w:rFonts w:ascii="Arial" w:hAnsi="Arial" w:eastAsia="宋体" w:cs="Times New Roman"/>
      <w:color w:val="000000"/>
      <w:sz w:val="24"/>
      <w:u w:val="none" w:color="000000"/>
      <w:lang w:val="en-US" w:eastAsia="zh-CN" w:bidi="ar-SA"/>
    </w:rPr>
  </w:style>
  <w:style w:type="paragraph" w:styleId="20">
    <w:name w:val="annotation text"/>
    <w:basedOn w:val="1"/>
    <w:link w:val="70"/>
    <w:unhideWhenUsed/>
    <w:qFormat/>
    <w:uiPriority w:val="0"/>
    <w:pPr>
      <w:jc w:val="left"/>
    </w:pPr>
  </w:style>
  <w:style w:type="paragraph" w:styleId="21">
    <w:name w:val="Body Text"/>
    <w:basedOn w:val="1"/>
    <w:next w:val="22"/>
    <w:link w:val="71"/>
    <w:qFormat/>
    <w:uiPriority w:val="0"/>
    <w:pPr>
      <w:widowControl w:val="0"/>
      <w:snapToGrid w:val="0"/>
      <w:spacing w:line="360" w:lineRule="auto"/>
    </w:pPr>
    <w:rPr>
      <w:rFonts w:ascii="Arial" w:hAnsi="Arial" w:eastAsia="仿宋_GB2312"/>
      <w:sz w:val="31"/>
    </w:rPr>
  </w:style>
  <w:style w:type="paragraph" w:styleId="22">
    <w:name w:val="toc 2"/>
    <w:basedOn w:val="1"/>
    <w:next w:val="1"/>
    <w:qFormat/>
    <w:uiPriority w:val="0"/>
    <w:pPr>
      <w:widowControl w:val="0"/>
      <w:spacing w:line="240" w:lineRule="auto"/>
      <w:ind w:left="200" w:leftChars="200"/>
      <w:textAlignment w:val="auto"/>
    </w:pPr>
    <w:rPr>
      <w:rFonts w:ascii="Times New Roman" w:hAnsi="Times New Roman"/>
      <w:color w:val="auto"/>
      <w:kern w:val="2"/>
      <w:szCs w:val="24"/>
      <w:u w:val="none" w:color="auto"/>
    </w:rPr>
  </w:style>
  <w:style w:type="paragraph" w:styleId="23">
    <w:name w:val="Block Text"/>
    <w:basedOn w:val="1"/>
    <w:qFormat/>
    <w:uiPriority w:val="0"/>
    <w:pPr>
      <w:widowControl w:val="0"/>
      <w:spacing w:after="120" w:line="240" w:lineRule="auto"/>
      <w:ind w:left="1440" w:leftChars="700" w:right="1440" w:rightChars="700"/>
      <w:textAlignment w:val="auto"/>
    </w:pPr>
    <w:rPr>
      <w:color w:val="auto"/>
      <w:kern w:val="2"/>
      <w:szCs w:val="24"/>
      <w:u w:val="none" w:color="auto"/>
    </w:rPr>
  </w:style>
  <w:style w:type="paragraph" w:styleId="24">
    <w:name w:val="toc 3"/>
    <w:basedOn w:val="1"/>
    <w:next w:val="1"/>
    <w:qFormat/>
    <w:uiPriority w:val="0"/>
    <w:pPr>
      <w:widowControl w:val="0"/>
      <w:spacing w:line="360" w:lineRule="auto"/>
      <w:ind w:left="840" w:leftChars="400"/>
      <w:textAlignment w:val="auto"/>
    </w:pPr>
    <w:rPr>
      <w:rFonts w:eastAsia="微软雅黑"/>
      <w:color w:val="auto"/>
      <w:kern w:val="2"/>
      <w:sz w:val="24"/>
      <w:szCs w:val="24"/>
      <w:u w:val="none" w:color="auto"/>
    </w:rPr>
  </w:style>
  <w:style w:type="paragraph" w:styleId="25">
    <w:name w:val="Plain Text"/>
    <w:basedOn w:val="1"/>
    <w:next w:val="1"/>
    <w:link w:val="72"/>
    <w:qFormat/>
    <w:uiPriority w:val="0"/>
    <w:pPr>
      <w:widowControl w:val="0"/>
      <w:spacing w:line="240" w:lineRule="auto"/>
      <w:textAlignment w:val="auto"/>
    </w:pPr>
    <w:rPr>
      <w:rFonts w:ascii="宋体" w:hAnsi="Courier New"/>
      <w:color w:val="auto"/>
      <w:kern w:val="2"/>
      <w:u w:val="none" w:color="auto"/>
    </w:rPr>
  </w:style>
  <w:style w:type="paragraph" w:styleId="26">
    <w:name w:val="Date"/>
    <w:basedOn w:val="1"/>
    <w:next w:val="1"/>
    <w:link w:val="73"/>
    <w:qFormat/>
    <w:uiPriority w:val="0"/>
    <w:pPr>
      <w:widowControl w:val="0"/>
      <w:spacing w:line="240" w:lineRule="auto"/>
      <w:textAlignment w:val="auto"/>
    </w:pPr>
    <w:rPr>
      <w:rFonts w:ascii="Arial" w:hAnsi="Arial" w:eastAsia="仿宋_GB2312"/>
      <w:color w:val="auto"/>
      <w:kern w:val="2"/>
      <w:sz w:val="32"/>
      <w:u w:val="none" w:color="auto"/>
    </w:rPr>
  </w:style>
  <w:style w:type="paragraph" w:styleId="27">
    <w:name w:val="Body Text Indent 2"/>
    <w:basedOn w:val="1"/>
    <w:link w:val="74"/>
    <w:qFormat/>
    <w:uiPriority w:val="0"/>
    <w:pPr>
      <w:numPr>
        <w:ilvl w:val="1"/>
        <w:numId w:val="3"/>
      </w:numPr>
      <w:tabs>
        <w:tab w:val="clear" w:pos="1920"/>
      </w:tabs>
      <w:spacing w:after="120" w:line="480" w:lineRule="auto"/>
      <w:ind w:left="420" w:leftChars="200" w:firstLine="0"/>
    </w:pPr>
  </w:style>
  <w:style w:type="paragraph" w:styleId="28">
    <w:name w:val="Balloon Text"/>
    <w:basedOn w:val="1"/>
    <w:link w:val="75"/>
    <w:semiHidden/>
    <w:qFormat/>
    <w:uiPriority w:val="0"/>
    <w:rPr>
      <w:sz w:val="18"/>
      <w:szCs w:val="18"/>
    </w:rPr>
  </w:style>
  <w:style w:type="paragraph" w:styleId="29">
    <w:name w:val="footer"/>
    <w:basedOn w:val="1"/>
    <w:link w:val="76"/>
    <w:qFormat/>
    <w:uiPriority w:val="0"/>
    <w:pPr>
      <w:tabs>
        <w:tab w:val="center" w:pos="4153"/>
        <w:tab w:val="right" w:pos="8306"/>
      </w:tabs>
      <w:snapToGrid w:val="0"/>
      <w:spacing w:line="240" w:lineRule="atLeast"/>
      <w:jc w:val="left"/>
    </w:pPr>
    <w:rPr>
      <w:sz w:val="18"/>
      <w:szCs w:val="18"/>
    </w:rPr>
  </w:style>
  <w:style w:type="paragraph" w:styleId="30">
    <w:name w:val="header"/>
    <w:basedOn w:val="1"/>
    <w:link w:val="77"/>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31">
    <w:name w:val="toc 1"/>
    <w:basedOn w:val="1"/>
    <w:next w:val="1"/>
    <w:unhideWhenUsed/>
    <w:qFormat/>
    <w:uiPriority w:val="0"/>
    <w:pPr>
      <w:widowControl w:val="0"/>
      <w:spacing w:line="240" w:lineRule="auto"/>
      <w:textAlignment w:val="auto"/>
    </w:pPr>
    <w:rPr>
      <w:color w:val="auto"/>
      <w:kern w:val="2"/>
      <w:u w:val="none" w:color="auto"/>
    </w:rPr>
  </w:style>
  <w:style w:type="paragraph" w:styleId="32">
    <w:name w:val="Subtitle"/>
    <w:basedOn w:val="1"/>
    <w:next w:val="1"/>
    <w:link w:val="78"/>
    <w:qFormat/>
    <w:uiPriority w:val="0"/>
    <w:pPr>
      <w:widowControl w:val="0"/>
      <w:numPr>
        <w:ilvl w:val="0"/>
        <w:numId w:val="4"/>
      </w:numPr>
      <w:spacing w:line="360" w:lineRule="auto"/>
      <w:jc w:val="left"/>
      <w:textAlignment w:val="auto"/>
      <w:outlineLvl w:val="1"/>
    </w:pPr>
    <w:rPr>
      <w:rFonts w:ascii="Calibri Light" w:hAnsi="Calibri Light"/>
      <w:bCs/>
      <w:color w:val="auto"/>
      <w:kern w:val="28"/>
      <w:szCs w:val="32"/>
      <w:u w:val="none" w:color="auto"/>
      <w:lang w:val="zh-CN"/>
    </w:rPr>
  </w:style>
  <w:style w:type="paragraph" w:styleId="33">
    <w:name w:val="List"/>
    <w:basedOn w:val="1"/>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34">
    <w:name w:val="Body Text Indent 3"/>
    <w:basedOn w:val="1"/>
    <w:link w:val="79"/>
    <w:qFormat/>
    <w:uiPriority w:val="0"/>
    <w:pPr>
      <w:spacing w:after="120"/>
      <w:ind w:left="420" w:leftChars="200"/>
    </w:pPr>
    <w:rPr>
      <w:sz w:val="16"/>
      <w:szCs w:val="16"/>
    </w:rPr>
  </w:style>
  <w:style w:type="paragraph" w:styleId="35">
    <w:name w:val="Normal (Web)"/>
    <w:basedOn w:val="1"/>
    <w:next w:val="36"/>
    <w:qFormat/>
    <w:uiPriority w:val="0"/>
    <w:pPr>
      <w:spacing w:before="100" w:beforeAutospacing="1" w:after="100" w:afterAutospacing="1" w:line="240" w:lineRule="auto"/>
      <w:jc w:val="left"/>
      <w:textAlignment w:val="auto"/>
    </w:pPr>
    <w:rPr>
      <w:rFonts w:ascii="宋体" w:hAnsi="宋体" w:cs="宋体"/>
      <w:color w:val="auto"/>
      <w:sz w:val="24"/>
      <w:szCs w:val="24"/>
      <w:u w:val="none" w:color="auto"/>
    </w:rPr>
  </w:style>
  <w:style w:type="paragraph" w:customStyle="1" w:styleId="36">
    <w:name w:val="正文文字 8"/>
    <w:basedOn w:val="1"/>
    <w:next w:val="1"/>
    <w:qFormat/>
    <w:uiPriority w:val="0"/>
    <w:pPr>
      <w:ind w:left="240"/>
    </w:pPr>
    <w:rPr>
      <w:sz w:val="16"/>
    </w:rPr>
  </w:style>
  <w:style w:type="paragraph" w:styleId="37">
    <w:name w:val="Title"/>
    <w:basedOn w:val="1"/>
    <w:next w:val="1"/>
    <w:link w:val="80"/>
    <w:qFormat/>
    <w:uiPriority w:val="0"/>
    <w:pPr>
      <w:widowControl w:val="0"/>
      <w:spacing w:before="120" w:line="240" w:lineRule="auto"/>
      <w:jc w:val="left"/>
      <w:textAlignment w:val="auto"/>
      <w:outlineLvl w:val="0"/>
    </w:pPr>
    <w:rPr>
      <w:rFonts w:ascii="Calibri Light" w:hAnsi="Calibri Light" w:eastAsia="微软雅黑"/>
      <w:b/>
      <w:bCs/>
      <w:color w:val="auto"/>
      <w:sz w:val="28"/>
      <w:szCs w:val="32"/>
      <w:u w:val="none" w:color="auto"/>
    </w:rPr>
  </w:style>
  <w:style w:type="paragraph" w:styleId="38">
    <w:name w:val="annotation subject"/>
    <w:basedOn w:val="20"/>
    <w:next w:val="20"/>
    <w:link w:val="81"/>
    <w:semiHidden/>
    <w:qFormat/>
    <w:uiPriority w:val="0"/>
    <w:rPr>
      <w:b/>
      <w:bCs/>
    </w:rPr>
  </w:style>
  <w:style w:type="paragraph" w:styleId="39">
    <w:name w:val="Body Text First Indent"/>
    <w:basedOn w:val="21"/>
    <w:next w:val="1"/>
    <w:qFormat/>
    <w:uiPriority w:val="0"/>
    <w:pPr>
      <w:ind w:firstLine="420" w:firstLineChars="100"/>
    </w:pPr>
  </w:style>
  <w:style w:type="table" w:styleId="41">
    <w:name w:val="Table Grid"/>
    <w:basedOn w:val="4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qFormat/>
    <w:uiPriority w:val="0"/>
    <w:rPr>
      <w:b/>
    </w:rPr>
  </w:style>
  <w:style w:type="character" w:styleId="44">
    <w:name w:val="page number"/>
    <w:basedOn w:val="42"/>
    <w:qFormat/>
    <w:uiPriority w:val="0"/>
  </w:style>
  <w:style w:type="character" w:styleId="45">
    <w:name w:val="FollowedHyperlink"/>
    <w:qFormat/>
    <w:uiPriority w:val="0"/>
    <w:rPr>
      <w:color w:val="CC0000"/>
      <w:szCs w:val="21"/>
      <w:u w:val="none"/>
    </w:rPr>
  </w:style>
  <w:style w:type="character" w:styleId="46">
    <w:name w:val="Emphasis"/>
    <w:qFormat/>
    <w:uiPriority w:val="0"/>
    <w:rPr>
      <w:szCs w:val="21"/>
    </w:rPr>
  </w:style>
  <w:style w:type="character" w:styleId="47">
    <w:name w:val="HTML Definition"/>
    <w:qFormat/>
    <w:uiPriority w:val="0"/>
    <w:rPr>
      <w:szCs w:val="21"/>
    </w:rPr>
  </w:style>
  <w:style w:type="character" w:styleId="48">
    <w:name w:val="HTML Typewriter"/>
    <w:qFormat/>
    <w:uiPriority w:val="0"/>
    <w:rPr>
      <w:rFonts w:ascii="Courier New" w:hAnsi="Courier New" w:cs="Courier New"/>
      <w:sz w:val="20"/>
      <w:szCs w:val="21"/>
    </w:rPr>
  </w:style>
  <w:style w:type="character" w:styleId="49">
    <w:name w:val="HTML Acronym"/>
    <w:qFormat/>
    <w:uiPriority w:val="0"/>
    <w:rPr>
      <w:szCs w:val="21"/>
    </w:rPr>
  </w:style>
  <w:style w:type="character" w:styleId="50">
    <w:name w:val="HTML Variable"/>
    <w:qFormat/>
    <w:uiPriority w:val="0"/>
    <w:rPr>
      <w:szCs w:val="21"/>
    </w:rPr>
  </w:style>
  <w:style w:type="character" w:styleId="51">
    <w:name w:val="Hyperlink"/>
    <w:qFormat/>
    <w:uiPriority w:val="99"/>
    <w:rPr>
      <w:color w:val="333333"/>
      <w:u w:val="none"/>
    </w:rPr>
  </w:style>
  <w:style w:type="character" w:styleId="52">
    <w:name w:val="HTML Code"/>
    <w:qFormat/>
    <w:uiPriority w:val="0"/>
    <w:rPr>
      <w:rFonts w:ascii="Courier New" w:hAnsi="Courier New" w:eastAsia="Courier New" w:cs="Courier New"/>
      <w:sz w:val="20"/>
      <w:szCs w:val="21"/>
    </w:rPr>
  </w:style>
  <w:style w:type="character" w:styleId="53">
    <w:name w:val="annotation reference"/>
    <w:semiHidden/>
    <w:qFormat/>
    <w:uiPriority w:val="0"/>
    <w:rPr>
      <w:sz w:val="21"/>
      <w:szCs w:val="21"/>
    </w:rPr>
  </w:style>
  <w:style w:type="character" w:styleId="54">
    <w:name w:val="HTML Cite"/>
    <w:qFormat/>
    <w:uiPriority w:val="0"/>
    <w:rPr>
      <w:szCs w:val="21"/>
    </w:rPr>
  </w:style>
  <w:style w:type="character" w:styleId="55">
    <w:name w:val="HTML Keyboard"/>
    <w:qFormat/>
    <w:uiPriority w:val="0"/>
    <w:rPr>
      <w:rFonts w:ascii="Courier New" w:hAnsi="Courier New" w:eastAsia="Courier New" w:cs="Courier New"/>
      <w:sz w:val="20"/>
      <w:szCs w:val="21"/>
    </w:rPr>
  </w:style>
  <w:style w:type="character" w:styleId="56">
    <w:name w:val="HTML Sample"/>
    <w:qFormat/>
    <w:uiPriority w:val="0"/>
    <w:rPr>
      <w:rFonts w:ascii="Courier New" w:hAnsi="Courier New" w:eastAsia="Courier New" w:cs="Courier New"/>
      <w:szCs w:val="21"/>
    </w:rPr>
  </w:style>
  <w:style w:type="paragraph" w:customStyle="1" w:styleId="57">
    <w:name w:val="标4"/>
    <w:basedOn w:val="1"/>
    <w:qFormat/>
    <w:uiPriority w:val="0"/>
    <w:pPr>
      <w:adjustRightInd w:val="0"/>
      <w:spacing w:before="240" w:after="360" w:line="240" w:lineRule="exact"/>
      <w:outlineLvl w:val="3"/>
    </w:pPr>
    <w:rPr>
      <w:rFonts w:ascii="Arial" w:hAnsi="Arial" w:cs="Arial"/>
      <w:b/>
      <w:bCs/>
      <w:kern w:val="24"/>
      <w:szCs w:val="22"/>
    </w:rPr>
  </w:style>
  <w:style w:type="character" w:customStyle="1" w:styleId="58">
    <w:name w:val="正文文本缩进 Char"/>
    <w:link w:val="3"/>
    <w:qFormat/>
    <w:uiPriority w:val="0"/>
    <w:rPr>
      <w:kern w:val="2"/>
      <w:sz w:val="21"/>
      <w:szCs w:val="24"/>
    </w:rPr>
  </w:style>
  <w:style w:type="character" w:customStyle="1" w:styleId="59">
    <w:name w:val="标题 1 Char"/>
    <w:link w:val="6"/>
    <w:qFormat/>
    <w:uiPriority w:val="0"/>
    <w:rPr>
      <w:rFonts w:ascii="黑体" w:eastAsia="黑体"/>
      <w:sz w:val="32"/>
      <w:lang w:val="en-US" w:eastAsia="zh-CN" w:bidi="ar-SA"/>
    </w:rPr>
  </w:style>
  <w:style w:type="character" w:customStyle="1" w:styleId="60">
    <w:name w:val="标题 2 Char1"/>
    <w:link w:val="7"/>
    <w:qFormat/>
    <w:uiPriority w:val="0"/>
    <w:rPr>
      <w:rFonts w:eastAsia="宋体"/>
      <w:b/>
      <w:sz w:val="21"/>
      <w:lang w:val="en-US" w:eastAsia="zh-CN" w:bidi="ar-SA"/>
    </w:rPr>
  </w:style>
  <w:style w:type="character" w:customStyle="1" w:styleId="61">
    <w:name w:val="标题 3 Char"/>
    <w:link w:val="8"/>
    <w:qFormat/>
    <w:uiPriority w:val="0"/>
    <w:rPr>
      <w:rFonts w:eastAsia="宋体"/>
      <w:b/>
      <w:bCs/>
      <w:color w:val="000000"/>
      <w:sz w:val="21"/>
      <w:szCs w:val="32"/>
      <w:u w:val="none" w:color="000000"/>
      <w:lang w:val="en-US" w:eastAsia="zh-CN" w:bidi="ar-SA"/>
    </w:rPr>
  </w:style>
  <w:style w:type="character" w:customStyle="1" w:styleId="62">
    <w:name w:val="标题 4 Char"/>
    <w:link w:val="9"/>
    <w:qFormat/>
    <w:locked/>
    <w:uiPriority w:val="0"/>
    <w:rPr>
      <w:rFonts w:ascii="Arial" w:hAnsi="Arial" w:eastAsia="黑体"/>
      <w:b/>
      <w:bCs/>
      <w:color w:val="000000"/>
      <w:sz w:val="28"/>
      <w:szCs w:val="28"/>
      <w:u w:val="none" w:color="000000"/>
      <w:lang w:val="zh-CN" w:eastAsia="zh-CN" w:bidi="ar-SA"/>
    </w:rPr>
  </w:style>
  <w:style w:type="character" w:customStyle="1" w:styleId="63">
    <w:name w:val="标题 5 Char"/>
    <w:link w:val="10"/>
    <w:qFormat/>
    <w:locked/>
    <w:uiPriority w:val="0"/>
    <w:rPr>
      <w:rFonts w:eastAsia="宋体"/>
      <w:b/>
      <w:bCs/>
      <w:sz w:val="28"/>
      <w:szCs w:val="28"/>
      <w:lang w:val="zh-CN" w:eastAsia="zh-CN" w:bidi="ar-SA"/>
    </w:rPr>
  </w:style>
  <w:style w:type="character" w:customStyle="1" w:styleId="64">
    <w:name w:val="标题 6 Char"/>
    <w:link w:val="11"/>
    <w:semiHidden/>
    <w:qFormat/>
    <w:uiPriority w:val="9"/>
    <w:rPr>
      <w:rFonts w:ascii="Cambria" w:hAnsi="Cambria" w:eastAsia="宋体" w:cs="Times New Roman"/>
      <w:b/>
      <w:bCs/>
      <w:color w:val="000000"/>
      <w:sz w:val="24"/>
      <w:szCs w:val="24"/>
      <w:u w:val="none" w:color="000000"/>
    </w:rPr>
  </w:style>
  <w:style w:type="character" w:customStyle="1" w:styleId="65">
    <w:name w:val="标题 7 Char"/>
    <w:link w:val="12"/>
    <w:qFormat/>
    <w:uiPriority w:val="0"/>
    <w:rPr>
      <w:rFonts w:eastAsia="宋体"/>
      <w:b/>
      <w:bCs/>
      <w:sz w:val="24"/>
      <w:szCs w:val="24"/>
      <w:lang w:bidi="ar-SA"/>
    </w:rPr>
  </w:style>
  <w:style w:type="character" w:customStyle="1" w:styleId="66">
    <w:name w:val="标题 8 Char"/>
    <w:link w:val="13"/>
    <w:qFormat/>
    <w:uiPriority w:val="0"/>
    <w:rPr>
      <w:rFonts w:ascii="Arial" w:hAnsi="Arial" w:eastAsia="黑体"/>
      <w:sz w:val="24"/>
      <w:szCs w:val="24"/>
      <w:lang w:bidi="ar-SA"/>
    </w:rPr>
  </w:style>
  <w:style w:type="character" w:customStyle="1" w:styleId="67">
    <w:name w:val="标题 9 Char"/>
    <w:link w:val="14"/>
    <w:qFormat/>
    <w:uiPriority w:val="0"/>
    <w:rPr>
      <w:rFonts w:ascii="Arial" w:hAnsi="Arial" w:eastAsia="黑体"/>
      <w:sz w:val="21"/>
      <w:szCs w:val="21"/>
      <w:lang w:bidi="ar-SA"/>
    </w:rPr>
  </w:style>
  <w:style w:type="character" w:customStyle="1" w:styleId="68">
    <w:name w:val="文档结构图 Char"/>
    <w:link w:val="18"/>
    <w:semiHidden/>
    <w:qFormat/>
    <w:uiPriority w:val="0"/>
    <w:rPr>
      <w:color w:val="000000"/>
      <w:sz w:val="21"/>
      <w:u w:val="none" w:color="000000"/>
      <w:shd w:val="clear" w:color="auto" w:fill="000080"/>
    </w:rPr>
  </w:style>
  <w:style w:type="character" w:customStyle="1" w:styleId="69">
    <w:name w:val="引文目录标题 Char"/>
    <w:link w:val="19"/>
    <w:qFormat/>
    <w:uiPriority w:val="0"/>
    <w:rPr>
      <w:rFonts w:ascii="Arial" w:hAnsi="Arial"/>
      <w:color w:val="000000"/>
      <w:sz w:val="24"/>
      <w:u w:val="none" w:color="000000"/>
      <w:lang w:val="en-US" w:eastAsia="zh-CN" w:bidi="ar-SA"/>
    </w:rPr>
  </w:style>
  <w:style w:type="character" w:customStyle="1" w:styleId="70">
    <w:name w:val="批注文字 Char"/>
    <w:link w:val="20"/>
    <w:qFormat/>
    <w:uiPriority w:val="0"/>
    <w:rPr>
      <w:rFonts w:eastAsia="宋体"/>
      <w:color w:val="000000"/>
      <w:sz w:val="21"/>
      <w:u w:val="none" w:color="000000"/>
      <w:lang w:val="en-US" w:eastAsia="zh-CN" w:bidi="ar-SA"/>
    </w:rPr>
  </w:style>
  <w:style w:type="character" w:customStyle="1" w:styleId="71">
    <w:name w:val="正文文本 Char"/>
    <w:link w:val="21"/>
    <w:qFormat/>
    <w:uiPriority w:val="0"/>
    <w:rPr>
      <w:rFonts w:ascii="Arial" w:hAnsi="Arial" w:eastAsia="仿宋_GB2312"/>
      <w:color w:val="000000"/>
      <w:sz w:val="31"/>
      <w:u w:val="none" w:color="000000"/>
    </w:rPr>
  </w:style>
  <w:style w:type="character" w:customStyle="1" w:styleId="72">
    <w:name w:val="纯文本 Char2"/>
    <w:link w:val="25"/>
    <w:qFormat/>
    <w:uiPriority w:val="0"/>
    <w:rPr>
      <w:rFonts w:ascii="宋体" w:hAnsi="Courier New" w:eastAsia="宋体"/>
      <w:kern w:val="2"/>
      <w:sz w:val="21"/>
      <w:lang w:val="en-US" w:eastAsia="zh-CN" w:bidi="ar-SA"/>
    </w:rPr>
  </w:style>
  <w:style w:type="character" w:customStyle="1" w:styleId="73">
    <w:name w:val="日期 Char"/>
    <w:link w:val="26"/>
    <w:qFormat/>
    <w:uiPriority w:val="0"/>
    <w:rPr>
      <w:rFonts w:ascii="Arial" w:hAnsi="Arial" w:eastAsia="仿宋_GB2312"/>
      <w:kern w:val="2"/>
      <w:sz w:val="32"/>
      <w:lang w:val="en-US" w:eastAsia="zh-CN" w:bidi="ar-SA"/>
    </w:rPr>
  </w:style>
  <w:style w:type="character" w:customStyle="1" w:styleId="74">
    <w:name w:val="正文文本缩进 2 Char"/>
    <w:link w:val="27"/>
    <w:qFormat/>
    <w:uiPriority w:val="0"/>
    <w:rPr>
      <w:color w:val="000000"/>
      <w:sz w:val="21"/>
      <w:u w:val="none" w:color="000000"/>
    </w:rPr>
  </w:style>
  <w:style w:type="character" w:customStyle="1" w:styleId="75">
    <w:name w:val="批注框文本 Char1"/>
    <w:link w:val="28"/>
    <w:semiHidden/>
    <w:qFormat/>
    <w:uiPriority w:val="0"/>
    <w:rPr>
      <w:color w:val="000000"/>
      <w:sz w:val="18"/>
      <w:szCs w:val="18"/>
      <w:u w:val="none" w:color="000000"/>
    </w:rPr>
  </w:style>
  <w:style w:type="character" w:customStyle="1" w:styleId="76">
    <w:name w:val="页脚 Char"/>
    <w:link w:val="29"/>
    <w:qFormat/>
    <w:uiPriority w:val="0"/>
    <w:rPr>
      <w:color w:val="000000"/>
      <w:sz w:val="18"/>
      <w:szCs w:val="18"/>
      <w:u w:val="none" w:color="000000"/>
    </w:rPr>
  </w:style>
  <w:style w:type="character" w:customStyle="1" w:styleId="77">
    <w:name w:val="页眉 Char1"/>
    <w:link w:val="30"/>
    <w:qFormat/>
    <w:uiPriority w:val="0"/>
    <w:rPr>
      <w:rFonts w:eastAsia="宋体"/>
      <w:color w:val="000000"/>
      <w:sz w:val="18"/>
      <w:szCs w:val="18"/>
      <w:u w:val="none" w:color="000000"/>
      <w:lang w:val="en-US" w:eastAsia="zh-CN" w:bidi="ar-SA"/>
    </w:rPr>
  </w:style>
  <w:style w:type="character" w:customStyle="1" w:styleId="78">
    <w:name w:val="副标题 Char"/>
    <w:link w:val="32"/>
    <w:qFormat/>
    <w:locked/>
    <w:uiPriority w:val="0"/>
    <w:rPr>
      <w:rFonts w:ascii="Calibri Light" w:hAnsi="Calibri Light" w:eastAsia="宋体"/>
      <w:bCs/>
      <w:kern w:val="28"/>
      <w:sz w:val="21"/>
      <w:szCs w:val="32"/>
      <w:lang w:val="zh-CN" w:eastAsia="zh-CN" w:bidi="ar-SA"/>
    </w:rPr>
  </w:style>
  <w:style w:type="character" w:customStyle="1" w:styleId="79">
    <w:name w:val="正文文本缩进 3 Char"/>
    <w:link w:val="34"/>
    <w:qFormat/>
    <w:uiPriority w:val="0"/>
    <w:rPr>
      <w:color w:val="000000"/>
      <w:sz w:val="16"/>
      <w:szCs w:val="16"/>
      <w:u w:val="none" w:color="000000"/>
    </w:rPr>
  </w:style>
  <w:style w:type="character" w:customStyle="1" w:styleId="80">
    <w:name w:val="标题 Char"/>
    <w:link w:val="37"/>
    <w:qFormat/>
    <w:uiPriority w:val="0"/>
    <w:rPr>
      <w:rFonts w:ascii="Calibri Light" w:hAnsi="Calibri Light" w:eastAsia="微软雅黑"/>
      <w:b/>
      <w:bCs/>
      <w:sz w:val="28"/>
      <w:szCs w:val="32"/>
      <w:lang w:bidi="ar-SA"/>
    </w:rPr>
  </w:style>
  <w:style w:type="character" w:customStyle="1" w:styleId="81">
    <w:name w:val="批注主题 Char"/>
    <w:link w:val="38"/>
    <w:qFormat/>
    <w:uiPriority w:val="0"/>
    <w:rPr>
      <w:rFonts w:eastAsia="宋体"/>
      <w:b/>
      <w:bCs/>
      <w:color w:val="000000"/>
      <w:sz w:val="21"/>
      <w:u w:val="none" w:color="000000"/>
      <w:lang w:val="en-US" w:eastAsia="zh-CN" w:bidi="ar-SA"/>
    </w:rPr>
  </w:style>
  <w:style w:type="paragraph" w:customStyle="1" w:styleId="82">
    <w:name w:val="正文 New"/>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bidi="ar-SA"/>
    </w:rPr>
  </w:style>
  <w:style w:type="character" w:customStyle="1" w:styleId="83">
    <w:name w:val="Header Char"/>
    <w:qFormat/>
    <w:locked/>
    <w:uiPriority w:val="0"/>
    <w:rPr>
      <w:rFonts w:ascii="Times New Roman" w:hAnsi="Times New Roman" w:eastAsia="宋体" w:cs="Times New Roman"/>
      <w:sz w:val="18"/>
      <w:szCs w:val="18"/>
      <w:lang w:val="zh-CN" w:eastAsia="zh-CN"/>
    </w:rPr>
  </w:style>
  <w:style w:type="character" w:customStyle="1" w:styleId="84">
    <w:name w:val="正文缩进 Char Char"/>
    <w:qFormat/>
    <w:uiPriority w:val="0"/>
    <w:rPr>
      <w:rFonts w:eastAsia="宋体"/>
      <w:kern w:val="2"/>
      <w:sz w:val="21"/>
      <w:szCs w:val="24"/>
      <w:lang w:val="en-US" w:eastAsia="zh-CN" w:bidi="ar-SA"/>
    </w:rPr>
  </w:style>
  <w:style w:type="character" w:customStyle="1" w:styleId="85">
    <w:name w:val="Comment Text Char"/>
    <w:qFormat/>
    <w:locked/>
    <w:uiPriority w:val="0"/>
    <w:rPr>
      <w:rFonts w:ascii="等线" w:hAnsi="等线" w:eastAsia="等线" w:cs="Times New Roman"/>
      <w:lang w:val="zh-CN" w:eastAsia="zh-CN"/>
    </w:rPr>
  </w:style>
  <w:style w:type="character" w:customStyle="1" w:styleId="86">
    <w:name w:val="dis1"/>
    <w:qFormat/>
    <w:uiPriority w:val="0"/>
    <w:rPr>
      <w:sz w:val="21"/>
      <w:szCs w:val="21"/>
    </w:rPr>
  </w:style>
  <w:style w:type="character" w:customStyle="1" w:styleId="87">
    <w:name w:val="txtover1"/>
    <w:qFormat/>
    <w:uiPriority w:val="0"/>
    <w:rPr>
      <w:szCs w:val="21"/>
    </w:rPr>
  </w:style>
  <w:style w:type="character" w:customStyle="1" w:styleId="88">
    <w:name w:val="标题 2 Char"/>
    <w:qFormat/>
    <w:uiPriority w:val="0"/>
    <w:rPr>
      <w:rFonts w:eastAsia="宋体"/>
      <w:sz w:val="24"/>
      <w:lang w:val="en-US" w:eastAsia="zh-CN" w:bidi="ar-SA"/>
    </w:rPr>
  </w:style>
  <w:style w:type="character" w:customStyle="1" w:styleId="89">
    <w:name w:val="i-title"/>
    <w:qFormat/>
    <w:uiPriority w:val="0"/>
    <w:rPr>
      <w:szCs w:val="21"/>
    </w:rPr>
  </w:style>
  <w:style w:type="character" w:customStyle="1" w:styleId="90">
    <w:name w:val=" Char Char6"/>
    <w:qFormat/>
    <w:uiPriority w:val="0"/>
    <w:rPr>
      <w:rFonts w:ascii="Arial" w:hAnsi="Arial" w:eastAsia="仿宋_GB2312"/>
      <w:color w:val="000000"/>
      <w:sz w:val="31"/>
      <w:u w:val="none" w:color="000000"/>
      <w:lang w:bidi="ar-SA"/>
    </w:rPr>
  </w:style>
  <w:style w:type="character" w:customStyle="1" w:styleId="91">
    <w:name w:val=" Char Char27"/>
    <w:qFormat/>
    <w:uiPriority w:val="0"/>
    <w:rPr>
      <w:rFonts w:ascii="黑体" w:hAnsi="Calibri" w:eastAsia="黑体"/>
      <w:sz w:val="52"/>
      <w:lang w:val="en-US" w:eastAsia="zh-CN" w:bidi="ar-SA"/>
    </w:rPr>
  </w:style>
  <w:style w:type="character" w:customStyle="1" w:styleId="92">
    <w:name w:val="s_trbbx2"/>
    <w:qFormat/>
    <w:uiPriority w:val="0"/>
    <w:rPr>
      <w:szCs w:val="21"/>
      <w:bdr w:val="single" w:color="FF9000" w:sz="6" w:space="0"/>
      <w:shd w:val="clear" w:color="auto" w:fill="FFFAF0"/>
    </w:rPr>
  </w:style>
  <w:style w:type="character" w:customStyle="1" w:styleId="93">
    <w:name w:val="i-cont"/>
    <w:qFormat/>
    <w:uiPriority w:val="0"/>
    <w:rPr>
      <w:szCs w:val="21"/>
    </w:rPr>
  </w:style>
  <w:style w:type="character" w:customStyle="1" w:styleId="94">
    <w:name w:val="i-d-text"/>
    <w:qFormat/>
    <w:uiPriority w:val="0"/>
    <w:rPr>
      <w:szCs w:val="21"/>
    </w:rPr>
  </w:style>
  <w:style w:type="character" w:customStyle="1" w:styleId="95">
    <w:name w:val="selected"/>
    <w:qFormat/>
    <w:uiPriority w:val="0"/>
    <w:rPr>
      <w:shd w:val="clear" w:color="auto" w:fill="B00006"/>
    </w:rPr>
  </w:style>
  <w:style w:type="character" w:customStyle="1" w:styleId="96">
    <w:name w:val="Plain Text Char"/>
    <w:qFormat/>
    <w:locked/>
    <w:uiPriority w:val="0"/>
    <w:rPr>
      <w:rFonts w:ascii="宋体" w:cs="Times New Roman"/>
      <w:color w:val="000000"/>
      <w:u w:val="none" w:color="000000"/>
    </w:rPr>
  </w:style>
  <w:style w:type="character" w:customStyle="1" w:styleId="97">
    <w:name w:val="font51"/>
    <w:qFormat/>
    <w:uiPriority w:val="0"/>
    <w:rPr>
      <w:rFonts w:hint="eastAsia" w:ascii="宋体" w:hAnsi="宋体" w:eastAsia="宋体" w:cs="宋体"/>
      <w:color w:val="000000"/>
      <w:sz w:val="22"/>
      <w:szCs w:val="22"/>
      <w:u w:val="none"/>
    </w:rPr>
  </w:style>
  <w:style w:type="character" w:customStyle="1" w:styleId="98">
    <w:name w:val="layui-this"/>
    <w:qFormat/>
    <w:uiPriority w:val="0"/>
    <w:rPr>
      <w:bdr w:val="single" w:color="EEEEEE" w:sz="6" w:space="0"/>
      <w:shd w:val="clear" w:color="auto" w:fill="FFFFFF"/>
    </w:rPr>
  </w:style>
  <w:style w:type="character" w:customStyle="1" w:styleId="99">
    <w:name w:val="标题 字符"/>
    <w:qFormat/>
    <w:uiPriority w:val="0"/>
    <w:rPr>
      <w:rFonts w:ascii="Calibri Light" w:hAnsi="Calibri Light" w:eastAsia="微软雅黑"/>
      <w:b/>
      <w:bCs/>
      <w:sz w:val="28"/>
      <w:szCs w:val="32"/>
    </w:rPr>
  </w:style>
  <w:style w:type="character" w:customStyle="1" w:styleId="100">
    <w:name w:val="标题 2 字符"/>
    <w:qFormat/>
    <w:uiPriority w:val="0"/>
    <w:rPr>
      <w:rFonts w:ascii="Times New Roman" w:hAnsi="Times New Roman" w:eastAsia="宋体" w:cs="Times New Roman"/>
      <w:kern w:val="0"/>
      <w:sz w:val="24"/>
      <w:szCs w:val="20"/>
    </w:rPr>
  </w:style>
  <w:style w:type="character" w:customStyle="1" w:styleId="101">
    <w:name w:val="hover18"/>
    <w:qFormat/>
    <w:uiPriority w:val="0"/>
    <w:rPr>
      <w:color w:val="FFFFFF"/>
      <w:szCs w:val="21"/>
    </w:rPr>
  </w:style>
  <w:style w:type="character" w:customStyle="1" w:styleId="102">
    <w:name w:val="arrow_b"/>
    <w:qFormat/>
    <w:uiPriority w:val="0"/>
    <w:rPr>
      <w:szCs w:val="21"/>
    </w:rPr>
  </w:style>
  <w:style w:type="character" w:customStyle="1" w:styleId="103">
    <w:name w:val="txtover"/>
    <w:qFormat/>
    <w:uiPriority w:val="0"/>
    <w:rPr>
      <w:szCs w:val="21"/>
    </w:rPr>
  </w:style>
  <w:style w:type="character" w:customStyle="1" w:styleId="104">
    <w:name w:val="NormalCharacter"/>
    <w:semiHidden/>
    <w:qFormat/>
    <w:uiPriority w:val="0"/>
  </w:style>
  <w:style w:type="character" w:customStyle="1" w:styleId="105">
    <w:name w:val="article-label"/>
    <w:qFormat/>
    <w:uiPriority w:val="0"/>
    <w:rPr>
      <w:b/>
      <w:szCs w:val="21"/>
    </w:rPr>
  </w:style>
  <w:style w:type="character" w:customStyle="1" w:styleId="106">
    <w:name w:val="i-cont-detail"/>
    <w:qFormat/>
    <w:uiPriority w:val="0"/>
    <w:rPr>
      <w:szCs w:val="21"/>
    </w:rPr>
  </w:style>
  <w:style w:type="character" w:customStyle="1" w:styleId="107">
    <w:name w:val="pl6"/>
    <w:qFormat/>
    <w:uiPriority w:val="0"/>
    <w:rPr>
      <w:szCs w:val="21"/>
    </w:rPr>
  </w:style>
  <w:style w:type="character" w:customStyle="1" w:styleId="108">
    <w:name w:val="page_start"/>
    <w:qFormat/>
    <w:uiPriority w:val="0"/>
    <w:rPr>
      <w:szCs w:val="21"/>
      <w:bdr w:val="single" w:color="CCCCCC" w:sz="6" w:space="0"/>
    </w:rPr>
  </w:style>
  <w:style w:type="character" w:customStyle="1" w:styleId="109">
    <w:name w:val=" Char Char"/>
    <w:qFormat/>
    <w:uiPriority w:val="0"/>
    <w:rPr>
      <w:rFonts w:ascii="宋体" w:eastAsia="宋体"/>
      <w:kern w:val="2"/>
      <w:sz w:val="21"/>
    </w:rPr>
  </w:style>
  <w:style w:type="character" w:customStyle="1" w:styleId="110">
    <w:name w:val="Heading 7 Char"/>
    <w:qFormat/>
    <w:locked/>
    <w:uiPriority w:val="0"/>
    <w:rPr>
      <w:rFonts w:ascii="Times New Roman" w:hAnsi="Times New Roman" w:eastAsia="宋体" w:cs="Times New Roman"/>
      <w:b/>
      <w:sz w:val="24"/>
      <w:lang w:val="zh-CN" w:eastAsia="zh-CN"/>
    </w:rPr>
  </w:style>
  <w:style w:type="character" w:customStyle="1" w:styleId="111">
    <w:name w:val=" Char Char1"/>
    <w:qFormat/>
    <w:uiPriority w:val="0"/>
    <w:rPr>
      <w:rFonts w:ascii="Arial"/>
      <w:vanish/>
      <w:kern w:val="2"/>
      <w:sz w:val="16"/>
      <w:szCs w:val="24"/>
      <w:lang w:bidi="ar-SA"/>
    </w:rPr>
  </w:style>
  <w:style w:type="character" w:customStyle="1" w:styleId="112">
    <w:name w:val="标题 1 字符"/>
    <w:qFormat/>
    <w:uiPriority w:val="0"/>
    <w:rPr>
      <w:rFonts w:ascii="黑体" w:hAnsi="Times New Roman" w:eastAsia="黑体" w:cs="Times New Roman"/>
      <w:kern w:val="0"/>
      <w:sz w:val="52"/>
      <w:szCs w:val="20"/>
    </w:rPr>
  </w:style>
  <w:style w:type="character" w:customStyle="1" w:styleId="113">
    <w:name w:val="Heading 6 Char"/>
    <w:qFormat/>
    <w:locked/>
    <w:uiPriority w:val="0"/>
    <w:rPr>
      <w:rFonts w:ascii="Cambria" w:hAnsi="Cambria" w:eastAsia="宋体" w:cs="Times New Roman"/>
      <w:b/>
      <w:sz w:val="24"/>
      <w:lang w:val="zh-CN" w:eastAsia="zh-CN"/>
    </w:rPr>
  </w:style>
  <w:style w:type="character" w:customStyle="1" w:styleId="114">
    <w:name w:val="article-copytext"/>
    <w:qFormat/>
    <w:uiPriority w:val="0"/>
    <w:rPr>
      <w:rFonts w:ascii="Arial" w:hAnsi="Arial" w:cs="Arial"/>
      <w:szCs w:val="21"/>
    </w:rPr>
  </w:style>
  <w:style w:type="character" w:customStyle="1" w:styleId="115">
    <w:name w:val="正文（缩进） Char"/>
    <w:link w:val="116"/>
    <w:qFormat/>
    <w:uiPriority w:val="0"/>
    <w:rPr>
      <w:rFonts w:eastAsia="宋体"/>
      <w:kern w:val="2"/>
      <w:sz w:val="24"/>
      <w:szCs w:val="24"/>
      <w:lang w:val="en-US" w:eastAsia="zh-CN" w:bidi="ar-SA"/>
    </w:rPr>
  </w:style>
  <w:style w:type="paragraph" w:customStyle="1" w:styleId="116">
    <w:name w:val="正文（缩进）"/>
    <w:basedOn w:val="1"/>
    <w:link w:val="115"/>
    <w:qFormat/>
    <w:uiPriority w:val="0"/>
    <w:pPr>
      <w:widowControl w:val="0"/>
      <w:spacing w:before="156" w:beforeLines="50" w:after="156" w:afterLines="50" w:line="360" w:lineRule="auto"/>
      <w:ind w:firstLine="480" w:firstLineChars="200"/>
      <w:textAlignment w:val="auto"/>
    </w:pPr>
    <w:rPr>
      <w:color w:val="auto"/>
      <w:kern w:val="2"/>
      <w:sz w:val="24"/>
      <w:szCs w:val="24"/>
      <w:u w:val="none" w:color="auto"/>
    </w:rPr>
  </w:style>
  <w:style w:type="character" w:customStyle="1" w:styleId="117">
    <w:name w:val="标题 3 字符"/>
    <w:qFormat/>
    <w:uiPriority w:val="0"/>
    <w:rPr>
      <w:rFonts w:ascii="Times New Roman" w:hAnsi="Times New Roman" w:eastAsia="宋体" w:cs="Times New Roman"/>
      <w:b/>
      <w:bCs/>
      <w:color w:val="000000"/>
      <w:kern w:val="0"/>
      <w:sz w:val="32"/>
      <w:szCs w:val="32"/>
      <w:u w:val="none" w:color="000000"/>
    </w:rPr>
  </w:style>
  <w:style w:type="character" w:customStyle="1" w:styleId="118">
    <w:name w:val="Comment Subject Char"/>
    <w:qFormat/>
    <w:locked/>
    <w:uiPriority w:val="0"/>
    <w:rPr>
      <w:rFonts w:ascii="等线" w:hAnsi="等线" w:eastAsia="等线" w:cs="Times New Roman"/>
      <w:b/>
      <w:sz w:val="24"/>
      <w:lang w:val="zh-CN" w:eastAsia="zh-CN"/>
    </w:rPr>
  </w:style>
  <w:style w:type="character" w:customStyle="1" w:styleId="119">
    <w:name w:val="previous"/>
    <w:qFormat/>
    <w:uiPriority w:val="0"/>
    <w:rPr>
      <w:szCs w:val="21"/>
    </w:rPr>
  </w:style>
  <w:style w:type="character" w:customStyle="1" w:styleId="120">
    <w:name w:val="正文缩进 Char2"/>
    <w:qFormat/>
    <w:uiPriority w:val="0"/>
    <w:rPr>
      <w:rFonts w:eastAsia="宋体"/>
      <w:sz w:val="24"/>
      <w:lang w:val="en-US" w:eastAsia="zh-CN" w:bidi="ar-SA"/>
    </w:rPr>
  </w:style>
  <w:style w:type="character" w:customStyle="1" w:styleId="121">
    <w:name w:val="hover19"/>
    <w:qFormat/>
    <w:uiPriority w:val="0"/>
    <w:rPr>
      <w:color w:val="EB504C"/>
      <w:szCs w:val="21"/>
    </w:rPr>
  </w:style>
  <w:style w:type="character" w:customStyle="1" w:styleId="122">
    <w:name w:val="s_bbx"/>
    <w:qFormat/>
    <w:uiPriority w:val="0"/>
    <w:rPr>
      <w:szCs w:val="21"/>
      <w:bdr w:val="single" w:color="FF9000" w:sz="6" w:space="0"/>
      <w:shd w:val="clear" w:color="auto" w:fill="FFFAF0"/>
    </w:rPr>
  </w:style>
  <w:style w:type="character" w:customStyle="1" w:styleId="123">
    <w:name w:val="font31"/>
    <w:qFormat/>
    <w:uiPriority w:val="0"/>
    <w:rPr>
      <w:rFonts w:hint="eastAsia" w:ascii="宋体" w:hAnsi="宋体" w:eastAsia="宋体" w:cs="宋体"/>
      <w:color w:val="000000"/>
      <w:sz w:val="22"/>
      <w:szCs w:val="22"/>
      <w:u w:val="none"/>
    </w:rPr>
  </w:style>
  <w:style w:type="character" w:customStyle="1" w:styleId="124">
    <w:name w:val="批注主题 字符1"/>
    <w:semiHidden/>
    <w:qFormat/>
    <w:uiPriority w:val="99"/>
    <w:rPr>
      <w:rFonts w:ascii="Times New Roman" w:hAnsi="Times New Roman" w:eastAsia="宋体" w:cs="Times New Roman"/>
      <w:b/>
      <w:bCs/>
      <w:color w:val="000000"/>
      <w:kern w:val="0"/>
      <w:szCs w:val="20"/>
      <w:u w:val="none" w:color="000000"/>
    </w:rPr>
  </w:style>
  <w:style w:type="character" w:customStyle="1" w:styleId="125">
    <w:name w:val="【正文】 Char"/>
    <w:link w:val="126"/>
    <w:qFormat/>
    <w:locked/>
    <w:uiPriority w:val="0"/>
    <w:rPr>
      <w:sz w:val="24"/>
      <w:lang w:bidi="ar-SA"/>
    </w:rPr>
  </w:style>
  <w:style w:type="paragraph" w:customStyle="1" w:styleId="126">
    <w:name w:val="【正文】"/>
    <w:basedOn w:val="1"/>
    <w:link w:val="125"/>
    <w:qFormat/>
    <w:uiPriority w:val="0"/>
    <w:pPr>
      <w:widowControl w:val="0"/>
      <w:spacing w:line="360" w:lineRule="auto"/>
      <w:ind w:firstLine="480" w:firstLineChars="200"/>
      <w:textAlignment w:val="auto"/>
    </w:pPr>
    <w:rPr>
      <w:color w:val="auto"/>
      <w:sz w:val="24"/>
      <w:u w:val="none" w:color="auto"/>
    </w:rPr>
  </w:style>
  <w:style w:type="character" w:customStyle="1" w:styleId="127">
    <w:name w:val="日期 字符1"/>
    <w:semiHidden/>
    <w:qFormat/>
    <w:uiPriority w:val="99"/>
    <w:rPr>
      <w:rFonts w:ascii="Times New Roman" w:hAnsi="Times New Roman" w:eastAsia="宋体" w:cs="Times New Roman"/>
      <w:color w:val="000000"/>
      <w:kern w:val="0"/>
      <w:szCs w:val="20"/>
      <w:u w:val="none" w:color="000000"/>
    </w:rPr>
  </w:style>
  <w:style w:type="character" w:customStyle="1" w:styleId="128">
    <w:name w:val=" Char Char13"/>
    <w:qFormat/>
    <w:uiPriority w:val="0"/>
    <w:rPr>
      <w:rFonts w:ascii="宋体" w:hAnsi="Courier New" w:eastAsia="宋体"/>
      <w:kern w:val="2"/>
      <w:sz w:val="21"/>
      <w:lang w:val="en-US" w:eastAsia="zh-CN" w:bidi="ar-SA"/>
    </w:rPr>
  </w:style>
  <w:style w:type="character" w:customStyle="1" w:styleId="129">
    <w:name w:val="bds_more"/>
    <w:qFormat/>
    <w:uiPriority w:val="0"/>
    <w:rPr>
      <w:szCs w:val="21"/>
    </w:rPr>
  </w:style>
  <w:style w:type="character" w:customStyle="1" w:styleId="130">
    <w:name w:val="标题 9 字符"/>
    <w:qFormat/>
    <w:uiPriority w:val="0"/>
    <w:rPr>
      <w:rFonts w:ascii="Arial" w:hAnsi="Arial" w:eastAsia="黑体" w:cs="Times New Roman"/>
      <w:kern w:val="0"/>
      <w:szCs w:val="21"/>
    </w:rPr>
  </w:style>
  <w:style w:type="character" w:customStyle="1" w:styleId="131">
    <w:name w:val="纯文本 字符"/>
    <w:qFormat/>
    <w:uiPriority w:val="0"/>
    <w:rPr>
      <w:rFonts w:ascii="宋体" w:hAnsi="Courier New" w:eastAsia="宋体"/>
    </w:rPr>
  </w:style>
  <w:style w:type="character" w:customStyle="1" w:styleId="132">
    <w:name w:val="inq1"/>
    <w:qFormat/>
    <w:uiPriority w:val="0"/>
    <w:rPr>
      <w:szCs w:val="21"/>
    </w:rPr>
  </w:style>
  <w:style w:type="character" w:customStyle="1" w:styleId="133">
    <w:name w:val="apple-converted-space"/>
    <w:qFormat/>
    <w:uiPriority w:val="0"/>
    <w:rPr>
      <w:szCs w:val="21"/>
    </w:rPr>
  </w:style>
  <w:style w:type="character" w:customStyle="1" w:styleId="134">
    <w:name w:val=" Char Char19"/>
    <w:qFormat/>
    <w:uiPriority w:val="0"/>
    <w:rPr>
      <w:rFonts w:ascii="Arial" w:hAnsi="Arial" w:eastAsia="黑体"/>
      <w:sz w:val="21"/>
      <w:szCs w:val="21"/>
      <w:lang w:val="en-US" w:eastAsia="zh-CN" w:bidi="ar-SA"/>
    </w:rPr>
  </w:style>
  <w:style w:type="character" w:customStyle="1" w:styleId="135">
    <w:name w:val="price-down"/>
    <w:qFormat/>
    <w:uiPriority w:val="0"/>
    <w:rPr>
      <w:sz w:val="18"/>
      <w:szCs w:val="18"/>
    </w:rPr>
  </w:style>
  <w:style w:type="character" w:customStyle="1" w:styleId="136">
    <w:name w:val="security"/>
    <w:qFormat/>
    <w:uiPriority w:val="0"/>
    <w:rPr>
      <w:szCs w:val="21"/>
    </w:rPr>
  </w:style>
  <w:style w:type="character" w:customStyle="1" w:styleId="137">
    <w:name w:val="Heading 2 Char"/>
    <w:qFormat/>
    <w:locked/>
    <w:uiPriority w:val="0"/>
    <w:rPr>
      <w:rFonts w:eastAsia="宋体"/>
      <w:sz w:val="24"/>
      <w:lang w:val="zh-CN" w:eastAsia="zh-CN" w:bidi="ar-SA"/>
    </w:rPr>
  </w:style>
  <w:style w:type="character" w:customStyle="1" w:styleId="138">
    <w:name w:val="hover66"/>
    <w:qFormat/>
    <w:uiPriority w:val="0"/>
    <w:rPr>
      <w:color w:val="FFFFFF"/>
      <w:szCs w:val="21"/>
      <w:shd w:val="clear" w:color="auto" w:fill="3377AA"/>
    </w:rPr>
  </w:style>
  <w:style w:type="character" w:customStyle="1" w:styleId="139">
    <w:name w:val="font81"/>
    <w:qFormat/>
    <w:uiPriority w:val="0"/>
    <w:rPr>
      <w:rFonts w:hint="eastAsia" w:ascii="宋体" w:hAnsi="宋体" w:eastAsia="宋体" w:cs="宋体"/>
      <w:color w:val="FF0000"/>
      <w:sz w:val="22"/>
      <w:szCs w:val="22"/>
      <w:u w:val="none"/>
    </w:rPr>
  </w:style>
  <w:style w:type="character" w:customStyle="1" w:styleId="140">
    <w:name w:val="font61"/>
    <w:qFormat/>
    <w:uiPriority w:val="0"/>
    <w:rPr>
      <w:rFonts w:hint="eastAsia" w:ascii="宋体" w:hAnsi="宋体" w:eastAsia="宋体" w:cs="宋体"/>
      <w:color w:val="000000"/>
      <w:sz w:val="22"/>
      <w:szCs w:val="22"/>
      <w:u w:val="none"/>
    </w:rPr>
  </w:style>
  <w:style w:type="character" w:customStyle="1" w:styleId="141">
    <w:name w:val="reason"/>
    <w:qFormat/>
    <w:uiPriority w:val="0"/>
    <w:rPr>
      <w:color w:val="999999"/>
      <w:szCs w:val="21"/>
    </w:rPr>
  </w:style>
  <w:style w:type="character" w:customStyle="1" w:styleId="142">
    <w:name w:val="s_trbbx"/>
    <w:qFormat/>
    <w:uiPriority w:val="0"/>
    <w:rPr>
      <w:szCs w:val="21"/>
      <w:bdr w:val="single" w:color="FF9000" w:sz="6" w:space="0"/>
      <w:shd w:val="clear" w:color="auto" w:fill="FFFAF0"/>
    </w:rPr>
  </w:style>
  <w:style w:type="character" w:customStyle="1" w:styleId="143">
    <w:name w:val="标题 Char1"/>
    <w:qFormat/>
    <w:uiPriority w:val="0"/>
    <w:rPr>
      <w:rFonts w:ascii="Cambria" w:hAnsi="Cambria" w:cs="Times New Roman"/>
      <w:b/>
      <w:bCs/>
      <w:kern w:val="2"/>
      <w:sz w:val="32"/>
      <w:szCs w:val="32"/>
    </w:rPr>
  </w:style>
  <w:style w:type="character" w:customStyle="1" w:styleId="144">
    <w:name w:val="first-child"/>
    <w:basedOn w:val="42"/>
    <w:qFormat/>
    <w:uiPriority w:val="0"/>
  </w:style>
  <w:style w:type="character" w:customStyle="1" w:styleId="145">
    <w:name w:val="i-title-ot"/>
    <w:qFormat/>
    <w:uiPriority w:val="0"/>
    <w:rPr>
      <w:szCs w:val="21"/>
    </w:rPr>
  </w:style>
  <w:style w:type="character" w:customStyle="1" w:styleId="146">
    <w:name w:val="Heading 1 Char"/>
    <w:qFormat/>
    <w:locked/>
    <w:uiPriority w:val="0"/>
    <w:rPr>
      <w:rFonts w:ascii="Times New Roman" w:hAnsi="Times New Roman" w:eastAsia="宋体" w:cs="Times New Roman"/>
      <w:b/>
      <w:kern w:val="44"/>
      <w:sz w:val="44"/>
      <w:lang w:val="zh-CN" w:eastAsia="zh-CN"/>
    </w:rPr>
  </w:style>
  <w:style w:type="character" w:customStyle="1" w:styleId="147">
    <w:name w:val="bds_more1"/>
    <w:qFormat/>
    <w:uiPriority w:val="0"/>
    <w:rPr>
      <w:rFonts w:ascii="宋体 ! important" w:hAnsi="宋体 ! important" w:eastAsia="宋体 ! important" w:cs="宋体 ! important"/>
      <w:color w:val="454545"/>
      <w:sz w:val="18"/>
      <w:szCs w:val="18"/>
    </w:rPr>
  </w:style>
  <w:style w:type="character" w:customStyle="1" w:styleId="148">
    <w:name w:val="style22"/>
    <w:qFormat/>
    <w:uiPriority w:val="0"/>
    <w:rPr>
      <w:szCs w:val="21"/>
    </w:rPr>
  </w:style>
  <w:style w:type="character" w:customStyle="1" w:styleId="149">
    <w:name w:val=" Char Char5"/>
    <w:qFormat/>
    <w:uiPriority w:val="0"/>
    <w:rPr>
      <w:color w:val="000000"/>
      <w:sz w:val="16"/>
      <w:szCs w:val="16"/>
      <w:u w:val="none" w:color="000000"/>
      <w:lang w:bidi="ar-SA"/>
    </w:rPr>
  </w:style>
  <w:style w:type="character" w:customStyle="1" w:styleId="150">
    <w:name w:val="标题 8 字符"/>
    <w:qFormat/>
    <w:uiPriority w:val="0"/>
    <w:rPr>
      <w:rFonts w:ascii="Arial" w:hAnsi="Arial" w:eastAsia="黑体" w:cs="Times New Roman"/>
      <w:kern w:val="0"/>
      <w:sz w:val="24"/>
      <w:szCs w:val="24"/>
    </w:rPr>
  </w:style>
  <w:style w:type="character" w:customStyle="1" w:styleId="151">
    <w:name w:val="title3"/>
    <w:basedOn w:val="42"/>
    <w:qFormat/>
    <w:uiPriority w:val="0"/>
  </w:style>
  <w:style w:type="character" w:customStyle="1" w:styleId="152">
    <w:name w:val="font41"/>
    <w:basedOn w:val="42"/>
    <w:qFormat/>
    <w:uiPriority w:val="0"/>
    <w:rPr>
      <w:rFonts w:hint="eastAsia" w:ascii="宋体" w:hAnsi="宋体" w:eastAsia="宋体" w:cs="宋体"/>
      <w:color w:val="000000"/>
      <w:sz w:val="22"/>
      <w:szCs w:val="22"/>
      <w:u w:val="none"/>
    </w:rPr>
  </w:style>
  <w:style w:type="character" w:customStyle="1" w:styleId="153">
    <w:name w:val=" Char Char10"/>
    <w:qFormat/>
    <w:uiPriority w:val="0"/>
    <w:rPr>
      <w:rFonts w:eastAsia="宋体"/>
      <w:b/>
      <w:bCs/>
      <w:color w:val="000000"/>
      <w:sz w:val="21"/>
      <w:u w:val="none" w:color="000000"/>
      <w:lang w:val="en-US" w:eastAsia="zh-CN" w:bidi="ar-SA"/>
    </w:rPr>
  </w:style>
  <w:style w:type="character" w:customStyle="1" w:styleId="154">
    <w:name w:val=" Char Char16"/>
    <w:qFormat/>
    <w:uiPriority w:val="0"/>
    <w:rPr>
      <w:color w:val="000000"/>
      <w:sz w:val="18"/>
      <w:szCs w:val="18"/>
      <w:u w:val="none" w:color="000000"/>
      <w:lang w:bidi="ar-SA"/>
    </w:rPr>
  </w:style>
  <w:style w:type="character" w:customStyle="1" w:styleId="155">
    <w:name w:val="列出段落 Char"/>
    <w:link w:val="156"/>
    <w:qFormat/>
    <w:uiPriority w:val="99"/>
    <w:rPr>
      <w:kern w:val="2"/>
      <w:sz w:val="21"/>
      <w:szCs w:val="24"/>
    </w:rPr>
  </w:style>
  <w:style w:type="paragraph" w:styleId="156">
    <w:name w:val="List Paragraph"/>
    <w:basedOn w:val="1"/>
    <w:link w:val="155"/>
    <w:qFormat/>
    <w:uiPriority w:val="99"/>
    <w:pPr>
      <w:widowControl w:val="0"/>
      <w:spacing w:line="240" w:lineRule="auto"/>
      <w:ind w:firstLine="420" w:firstLineChars="200"/>
      <w:textAlignment w:val="auto"/>
    </w:pPr>
    <w:rPr>
      <w:color w:val="auto"/>
      <w:kern w:val="2"/>
      <w:szCs w:val="24"/>
      <w:u w:val="none" w:color="auto"/>
    </w:rPr>
  </w:style>
  <w:style w:type="character" w:customStyle="1" w:styleId="157">
    <w:name w:val="navigation1"/>
    <w:qFormat/>
    <w:uiPriority w:val="0"/>
    <w:rPr>
      <w:sz w:val="22"/>
      <w:szCs w:val="22"/>
    </w:rPr>
  </w:style>
  <w:style w:type="character" w:customStyle="1" w:styleId="158">
    <w:name w:val="Body Text Indent 2 Char"/>
    <w:qFormat/>
    <w:locked/>
    <w:uiPriority w:val="0"/>
    <w:rPr>
      <w:rFonts w:cs="Times New Roman"/>
      <w:sz w:val="24"/>
    </w:rPr>
  </w:style>
  <w:style w:type="character" w:customStyle="1" w:styleId="159">
    <w:name w:val="fafa_online2"/>
    <w:qFormat/>
    <w:uiPriority w:val="0"/>
    <w:rPr>
      <w:szCs w:val="21"/>
    </w:rPr>
  </w:style>
  <w:style w:type="character" w:customStyle="1" w:styleId="160">
    <w:name w:val="closed"/>
    <w:qFormat/>
    <w:uiPriority w:val="0"/>
    <w:rPr>
      <w:szCs w:val="21"/>
    </w:rPr>
  </w:style>
  <w:style w:type="character" w:customStyle="1" w:styleId="161">
    <w:name w:val=" Char Char11"/>
    <w:qFormat/>
    <w:uiPriority w:val="0"/>
    <w:rPr>
      <w:rFonts w:ascii="Arial" w:hAnsi="Arial" w:eastAsia="黑体"/>
      <w:b/>
      <w:bCs/>
      <w:sz w:val="24"/>
      <w:szCs w:val="24"/>
    </w:rPr>
  </w:style>
  <w:style w:type="character" w:customStyle="1" w:styleId="162">
    <w:name w:val="tags-warn"/>
    <w:qFormat/>
    <w:uiPriority w:val="0"/>
    <w:rPr>
      <w:color w:val="5C0909"/>
      <w:szCs w:val="21"/>
      <w:shd w:val="clear" w:color="auto" w:fill="F2C9C9"/>
    </w:rPr>
  </w:style>
  <w:style w:type="character" w:customStyle="1" w:styleId="163">
    <w:name w:val="正文（缩进） Char Char"/>
    <w:qFormat/>
    <w:uiPriority w:val="0"/>
    <w:rPr>
      <w:rFonts w:eastAsia="宋体"/>
      <w:kern w:val="2"/>
      <w:sz w:val="24"/>
      <w:szCs w:val="24"/>
      <w:lang w:val="en-US" w:eastAsia="zh-CN" w:bidi="ar-SA"/>
    </w:rPr>
  </w:style>
  <w:style w:type="character" w:customStyle="1" w:styleId="164">
    <w:name w:val=" Char Char21"/>
    <w:qFormat/>
    <w:uiPriority w:val="0"/>
    <w:rPr>
      <w:rFonts w:ascii="Calibri" w:hAnsi="Calibri" w:eastAsia="宋体"/>
      <w:b/>
      <w:bCs/>
      <w:sz w:val="24"/>
      <w:szCs w:val="24"/>
      <w:lang w:val="en-US" w:eastAsia="zh-CN" w:bidi="ar-SA"/>
    </w:rPr>
  </w:style>
  <w:style w:type="character" w:customStyle="1" w:styleId="165">
    <w:name w:val="o3ztbmydvgk1"/>
    <w:qFormat/>
    <w:uiPriority w:val="0"/>
    <w:rPr>
      <w:sz w:val="16"/>
      <w:szCs w:val="0"/>
    </w:rPr>
  </w:style>
  <w:style w:type="character" w:customStyle="1" w:styleId="166">
    <w:name w:val="font01"/>
    <w:qFormat/>
    <w:uiPriority w:val="0"/>
    <w:rPr>
      <w:rFonts w:hint="eastAsia" w:ascii="宋体" w:hAnsi="宋体" w:eastAsia="宋体" w:cs="宋体"/>
      <w:b/>
      <w:color w:val="000000"/>
      <w:sz w:val="22"/>
      <w:szCs w:val="22"/>
      <w:u w:val="none"/>
    </w:rPr>
  </w:style>
  <w:style w:type="character" w:customStyle="1" w:styleId="167">
    <w:name w:val=" Char Char9"/>
    <w:qFormat/>
    <w:uiPriority w:val="0"/>
    <w:rPr>
      <w:rFonts w:eastAsia="宋体"/>
      <w:color w:val="000000"/>
      <w:sz w:val="18"/>
      <w:szCs w:val="18"/>
      <w:u w:val="none" w:color="000000"/>
      <w:lang w:val="en-US" w:eastAsia="zh-CN" w:bidi="ar-SA"/>
    </w:rPr>
  </w:style>
  <w:style w:type="character" w:customStyle="1" w:styleId="168">
    <w:name w:val="标题 7 字符"/>
    <w:qFormat/>
    <w:uiPriority w:val="0"/>
    <w:rPr>
      <w:rFonts w:ascii="Times New Roman" w:hAnsi="Times New Roman" w:eastAsia="宋体" w:cs="Times New Roman"/>
      <w:b/>
      <w:bCs/>
      <w:kern w:val="0"/>
      <w:sz w:val="24"/>
      <w:szCs w:val="24"/>
    </w:rPr>
  </w:style>
  <w:style w:type="character" w:customStyle="1" w:styleId="169">
    <w:name w:val="正文缩进2格 Char Char"/>
    <w:link w:val="170"/>
    <w:qFormat/>
    <w:uiPriority w:val="0"/>
    <w:rPr>
      <w:rFonts w:ascii="仿宋_GB2312" w:hAnsi="宋体" w:eastAsia="仿宋_GB2312"/>
      <w:kern w:val="2"/>
      <w:sz w:val="31"/>
      <w:szCs w:val="28"/>
      <w:lang w:val="en-US" w:eastAsia="zh-CN" w:bidi="ar-SA"/>
    </w:rPr>
  </w:style>
  <w:style w:type="paragraph" w:customStyle="1" w:styleId="170">
    <w:name w:val="正文缩进2格"/>
    <w:basedOn w:val="1"/>
    <w:link w:val="169"/>
    <w:qFormat/>
    <w:uiPriority w:val="0"/>
    <w:pPr>
      <w:widowControl w:val="0"/>
      <w:spacing w:line="600" w:lineRule="exact"/>
      <w:ind w:firstLine="639" w:firstLineChars="206"/>
      <w:textAlignment w:val="auto"/>
    </w:pPr>
    <w:rPr>
      <w:rFonts w:ascii="仿宋_GB2312" w:hAnsi="宋体" w:eastAsia="仿宋_GB2312"/>
      <w:color w:val="auto"/>
      <w:kern w:val="2"/>
      <w:sz w:val="31"/>
      <w:szCs w:val="28"/>
      <w:u w:val="none" w:color="auto"/>
    </w:rPr>
  </w:style>
  <w:style w:type="character" w:customStyle="1" w:styleId="171">
    <w:name w:val="gray6"/>
    <w:qFormat/>
    <w:uiPriority w:val="0"/>
    <w:rPr>
      <w:strike/>
      <w:color w:val="9F9F9F"/>
      <w:szCs w:val="21"/>
    </w:rPr>
  </w:style>
  <w:style w:type="character" w:customStyle="1" w:styleId="172">
    <w:name w:val="red2"/>
    <w:qFormat/>
    <w:uiPriority w:val="0"/>
    <w:rPr>
      <w:color w:val="EB504C"/>
      <w:szCs w:val="21"/>
    </w:rPr>
  </w:style>
  <w:style w:type="character" w:customStyle="1" w:styleId="173">
    <w:name w:val="正文文本缩进 3 字符"/>
    <w:qFormat/>
    <w:uiPriority w:val="0"/>
    <w:rPr>
      <w:color w:val="000000"/>
      <w:sz w:val="16"/>
      <w:szCs w:val="16"/>
      <w:u w:val="none" w:color="000000"/>
    </w:rPr>
  </w:style>
  <w:style w:type="character" w:customStyle="1" w:styleId="174">
    <w:name w:val="正文文本缩进 3 字符1"/>
    <w:semiHidden/>
    <w:qFormat/>
    <w:uiPriority w:val="99"/>
    <w:rPr>
      <w:rFonts w:ascii="Times New Roman" w:hAnsi="Times New Roman" w:eastAsia="宋体" w:cs="Times New Roman"/>
      <w:color w:val="000000"/>
      <w:kern w:val="0"/>
      <w:sz w:val="16"/>
      <w:szCs w:val="16"/>
      <w:u w:val="none" w:color="000000"/>
    </w:rPr>
  </w:style>
  <w:style w:type="character" w:customStyle="1" w:styleId="175">
    <w:name w:val="close_d"/>
    <w:qFormat/>
    <w:uiPriority w:val="0"/>
    <w:rPr>
      <w:szCs w:val="21"/>
    </w:rPr>
  </w:style>
  <w:style w:type="character" w:customStyle="1" w:styleId="176">
    <w:name w:val="navigation"/>
    <w:qFormat/>
    <w:uiPriority w:val="0"/>
    <w:rPr>
      <w:szCs w:val="21"/>
    </w:rPr>
  </w:style>
  <w:style w:type="character" w:customStyle="1" w:styleId="177">
    <w:name w:val="p-star-gray"/>
    <w:qFormat/>
    <w:uiPriority w:val="0"/>
    <w:rPr>
      <w:szCs w:val="21"/>
    </w:rPr>
  </w:style>
  <w:style w:type="character" w:customStyle="1" w:styleId="178">
    <w:name w:val="bds_nopic"/>
    <w:qFormat/>
    <w:uiPriority w:val="0"/>
    <w:rPr>
      <w:szCs w:val="21"/>
    </w:rPr>
  </w:style>
  <w:style w:type="character" w:customStyle="1" w:styleId="179">
    <w:name w:val=" Char Char12"/>
    <w:qFormat/>
    <w:uiPriority w:val="0"/>
    <w:rPr>
      <w:kern w:val="2"/>
      <w:sz w:val="21"/>
      <w:szCs w:val="24"/>
      <w:lang w:bidi="ar-SA"/>
    </w:rPr>
  </w:style>
  <w:style w:type="character" w:customStyle="1" w:styleId="180">
    <w:name w:val="Char Char15"/>
    <w:qFormat/>
    <w:uiPriority w:val="0"/>
    <w:rPr>
      <w:rFonts w:ascii="黑体" w:eastAsia="黑体"/>
      <w:sz w:val="52"/>
    </w:rPr>
  </w:style>
  <w:style w:type="character" w:customStyle="1" w:styleId="181">
    <w:name w:val="正文不加 字符"/>
    <w:link w:val="182"/>
    <w:qFormat/>
    <w:locked/>
    <w:uiPriority w:val="0"/>
    <w:rPr>
      <w:rFonts w:ascii="宋体"/>
      <w:color w:val="000000"/>
      <w:kern w:val="2"/>
      <w:sz w:val="21"/>
      <w:lang w:bidi="ar-SA"/>
    </w:rPr>
  </w:style>
  <w:style w:type="paragraph" w:customStyle="1" w:styleId="182">
    <w:name w:val="正文不加"/>
    <w:basedOn w:val="1"/>
    <w:link w:val="181"/>
    <w:qFormat/>
    <w:uiPriority w:val="0"/>
    <w:pPr>
      <w:widowControl w:val="0"/>
      <w:snapToGrid w:val="0"/>
      <w:spacing w:line="360" w:lineRule="auto"/>
      <w:ind w:firstLine="200" w:firstLineChars="200"/>
      <w:textAlignment w:val="auto"/>
    </w:pPr>
    <w:rPr>
      <w:rFonts w:ascii="宋体"/>
      <w:kern w:val="2"/>
      <w:u w:val="none" w:color="auto"/>
    </w:rPr>
  </w:style>
  <w:style w:type="character" w:customStyle="1" w:styleId="183">
    <w:name w:val="纯文本 Char Char"/>
    <w:qFormat/>
    <w:uiPriority w:val="0"/>
    <w:rPr>
      <w:rFonts w:ascii="宋体" w:hAnsi="Courier New" w:cs="Courier New"/>
      <w:kern w:val="2"/>
      <w:sz w:val="21"/>
      <w:szCs w:val="21"/>
    </w:rPr>
  </w:style>
  <w:style w:type="character" w:customStyle="1" w:styleId="184">
    <w:name w:val="页眉 Char"/>
    <w:qFormat/>
    <w:uiPriority w:val="0"/>
    <w:rPr>
      <w:rFonts w:eastAsia="宋体"/>
      <w:color w:val="000000"/>
      <w:sz w:val="18"/>
      <w:szCs w:val="18"/>
      <w:u w:val="none" w:color="000000"/>
      <w:lang w:val="en-US" w:eastAsia="zh-CN" w:bidi="ar-SA"/>
    </w:rPr>
  </w:style>
  <w:style w:type="character" w:customStyle="1" w:styleId="185">
    <w:name w:val="enable1"/>
    <w:qFormat/>
    <w:uiPriority w:val="0"/>
    <w:rPr>
      <w:szCs w:val="21"/>
    </w:rPr>
  </w:style>
  <w:style w:type="character" w:customStyle="1" w:styleId="186">
    <w:name w:val="i-price-num"/>
    <w:qFormat/>
    <w:uiPriority w:val="0"/>
    <w:rPr>
      <w:b/>
      <w:color w:val="FF0000"/>
      <w:szCs w:val="21"/>
    </w:rPr>
  </w:style>
  <w:style w:type="character" w:customStyle="1" w:styleId="187">
    <w:name w:val="up"/>
    <w:qFormat/>
    <w:uiPriority w:val="0"/>
    <w:rPr>
      <w:szCs w:val="21"/>
    </w:rPr>
  </w:style>
  <w:style w:type="character" w:customStyle="1" w:styleId="188">
    <w:name w:val="i-date"/>
    <w:qFormat/>
    <w:uiPriority w:val="0"/>
    <w:rPr>
      <w:szCs w:val="21"/>
    </w:rPr>
  </w:style>
  <w:style w:type="character" w:customStyle="1" w:styleId="189">
    <w:name w:val="页眉 字符"/>
    <w:qFormat/>
    <w:uiPriority w:val="0"/>
    <w:rPr>
      <w:sz w:val="18"/>
      <w:szCs w:val="18"/>
    </w:rPr>
  </w:style>
  <w:style w:type="character" w:customStyle="1" w:styleId="190">
    <w:name w:val="enable2"/>
    <w:qFormat/>
    <w:uiPriority w:val="0"/>
    <w:rPr>
      <w:szCs w:val="21"/>
    </w:rPr>
  </w:style>
  <w:style w:type="character" w:customStyle="1" w:styleId="191">
    <w:name w:val="fafa_nonline"/>
    <w:qFormat/>
    <w:uiPriority w:val="0"/>
    <w:rPr>
      <w:szCs w:val="21"/>
    </w:rPr>
  </w:style>
  <w:style w:type="character" w:customStyle="1" w:styleId="192">
    <w:name w:val="bds_nopic1"/>
    <w:qFormat/>
    <w:uiPriority w:val="0"/>
    <w:rPr>
      <w:szCs w:val="21"/>
    </w:rPr>
  </w:style>
  <w:style w:type="character" w:customStyle="1" w:styleId="193">
    <w:name w:val="bds_nopic2"/>
    <w:qFormat/>
    <w:uiPriority w:val="0"/>
    <w:rPr>
      <w:szCs w:val="21"/>
    </w:rPr>
  </w:style>
  <w:style w:type="character" w:customStyle="1" w:styleId="194">
    <w:name w:val=" Char Char8"/>
    <w:qFormat/>
    <w:uiPriority w:val="0"/>
    <w:rPr>
      <w:rFonts w:ascii="Arial" w:hAnsi="Arial" w:eastAsia="仿宋_GB2312"/>
      <w:kern w:val="2"/>
      <w:sz w:val="32"/>
      <w:lang w:val="en-US" w:eastAsia="zh-CN" w:bidi="ar-SA"/>
    </w:rPr>
  </w:style>
  <w:style w:type="character" w:customStyle="1" w:styleId="195">
    <w:name w:val=" Char Char2"/>
    <w:qFormat/>
    <w:uiPriority w:val="0"/>
    <w:rPr>
      <w:rFonts w:ascii="Arial"/>
      <w:vanish/>
      <w:kern w:val="2"/>
      <w:sz w:val="16"/>
      <w:szCs w:val="24"/>
      <w:lang w:bidi="ar-SA"/>
    </w:rPr>
  </w:style>
  <w:style w:type="character" w:customStyle="1" w:styleId="196">
    <w:name w:val="正文缩进 Char"/>
    <w:qFormat/>
    <w:uiPriority w:val="0"/>
    <w:rPr>
      <w:rFonts w:eastAsia="宋体"/>
      <w:kern w:val="2"/>
      <w:sz w:val="21"/>
      <w:szCs w:val="24"/>
      <w:lang w:val="en-US" w:eastAsia="zh-CN" w:bidi="ar-SA"/>
    </w:rPr>
  </w:style>
  <w:style w:type="character" w:customStyle="1" w:styleId="197">
    <w:name w:val="font71"/>
    <w:qFormat/>
    <w:uiPriority w:val="0"/>
    <w:rPr>
      <w:rFonts w:hint="eastAsia" w:ascii="宋体" w:hAnsi="宋体" w:eastAsia="宋体" w:cs="宋体"/>
      <w:color w:val="FF0000"/>
      <w:sz w:val="22"/>
      <w:szCs w:val="22"/>
      <w:u w:val="none"/>
    </w:rPr>
  </w:style>
  <w:style w:type="character" w:customStyle="1" w:styleId="198">
    <w:name w:val="fafa_online"/>
    <w:qFormat/>
    <w:uiPriority w:val="0"/>
    <w:rPr>
      <w:szCs w:val="21"/>
    </w:rPr>
  </w:style>
  <w:style w:type="character" w:customStyle="1" w:styleId="199">
    <w:name w:val=" Char Char17"/>
    <w:qFormat/>
    <w:locked/>
    <w:uiPriority w:val="0"/>
    <w:rPr>
      <w:rFonts w:ascii="Calibri Light" w:hAnsi="Calibri Light" w:eastAsia="宋体"/>
      <w:bCs/>
      <w:kern w:val="28"/>
      <w:sz w:val="21"/>
      <w:szCs w:val="32"/>
      <w:lang w:val="zh-CN" w:eastAsia="zh-CN" w:bidi="ar-SA"/>
    </w:rPr>
  </w:style>
  <w:style w:type="character" w:customStyle="1" w:styleId="200">
    <w:name w:val="article-term"/>
    <w:qFormat/>
    <w:uiPriority w:val="0"/>
    <w:rPr>
      <w:szCs w:val="21"/>
    </w:rPr>
  </w:style>
  <w:style w:type="character" w:customStyle="1" w:styleId="201">
    <w:name w:val=" Char Char3"/>
    <w:qFormat/>
    <w:uiPriority w:val="0"/>
    <w:rPr>
      <w:rFonts w:eastAsia="宋体"/>
      <w:color w:val="000000"/>
      <w:sz w:val="21"/>
      <w:u w:val="none" w:color="000000"/>
      <w:lang w:val="en-US" w:eastAsia="zh-CN" w:bidi="ar-SA"/>
    </w:rPr>
  </w:style>
  <w:style w:type="character" w:customStyle="1" w:styleId="202">
    <w:name w:val="inq"/>
    <w:qFormat/>
    <w:uiPriority w:val="0"/>
    <w:rPr>
      <w:color w:val="333333"/>
      <w:szCs w:val="21"/>
    </w:rPr>
  </w:style>
  <w:style w:type="character" w:customStyle="1" w:styleId="203">
    <w:name w:val="font101"/>
    <w:qFormat/>
    <w:uiPriority w:val="0"/>
    <w:rPr>
      <w:rFonts w:hint="eastAsia" w:ascii="宋体" w:hAnsi="宋体" w:eastAsia="宋体" w:cs="宋体"/>
      <w:b/>
      <w:color w:val="000000"/>
      <w:sz w:val="22"/>
      <w:szCs w:val="22"/>
      <w:u w:val="none"/>
    </w:rPr>
  </w:style>
  <w:style w:type="character" w:customStyle="1" w:styleId="204">
    <w:name w:val="enable"/>
    <w:qFormat/>
    <w:uiPriority w:val="0"/>
    <w:rPr>
      <w:szCs w:val="21"/>
    </w:rPr>
  </w:style>
  <w:style w:type="character" w:customStyle="1" w:styleId="205">
    <w:name w:val="批注框文本 Char"/>
    <w:qFormat/>
    <w:uiPriority w:val="0"/>
    <w:rPr>
      <w:rFonts w:ascii="Times New Roman" w:hAnsi="Times New Roman" w:eastAsia="宋体" w:cs="Times New Roman"/>
      <w:kern w:val="2"/>
      <w:sz w:val="18"/>
      <w:szCs w:val="18"/>
    </w:rPr>
  </w:style>
  <w:style w:type="character" w:customStyle="1" w:styleId="206">
    <w:name w:val="article-highlight"/>
    <w:qFormat/>
    <w:uiPriority w:val="0"/>
    <w:rPr>
      <w:color w:val="FF0000"/>
      <w:szCs w:val="21"/>
    </w:rPr>
  </w:style>
  <w:style w:type="character" w:customStyle="1" w:styleId="207">
    <w:name w:val="Heading 3 Char"/>
    <w:qFormat/>
    <w:locked/>
    <w:uiPriority w:val="0"/>
    <w:rPr>
      <w:rFonts w:cs="Times New Roman"/>
      <w:b/>
      <w:bCs/>
      <w:color w:val="000000"/>
      <w:sz w:val="32"/>
      <w:szCs w:val="32"/>
      <w:u w:val="none" w:color="000000"/>
      <w:lang w:val="en-US" w:eastAsia="zh-CN" w:bidi="ar-SA"/>
    </w:rPr>
  </w:style>
  <w:style w:type="character" w:customStyle="1" w:styleId="208">
    <w:name w:val="enable3"/>
    <w:qFormat/>
    <w:uiPriority w:val="0"/>
    <w:rPr>
      <w:szCs w:val="21"/>
    </w:rPr>
  </w:style>
  <w:style w:type="character" w:customStyle="1" w:styleId="209">
    <w:name w:val="mid"/>
    <w:qFormat/>
    <w:uiPriority w:val="0"/>
    <w:rPr>
      <w:szCs w:val="21"/>
    </w:rPr>
  </w:style>
  <w:style w:type="character" w:customStyle="1" w:styleId="210">
    <w:name w:val="has-msg"/>
    <w:qFormat/>
    <w:uiPriority w:val="0"/>
    <w:rPr>
      <w:szCs w:val="21"/>
    </w:rPr>
  </w:style>
  <w:style w:type="character" w:customStyle="1" w:styleId="211">
    <w:name w:val="param-name"/>
    <w:qFormat/>
    <w:uiPriority w:val="0"/>
    <w:rPr>
      <w:szCs w:val="21"/>
    </w:rPr>
  </w:style>
  <w:style w:type="character" w:customStyle="1" w:styleId="212">
    <w:name w:val="纯文本 Char1"/>
    <w:qFormat/>
    <w:uiPriority w:val="0"/>
    <w:rPr>
      <w:rFonts w:ascii="宋体" w:hAnsi="Courier New" w:eastAsia="宋体"/>
      <w:kern w:val="2"/>
      <w:sz w:val="21"/>
      <w:lang w:val="en-US" w:eastAsia="zh-CN" w:bidi="ar-SA"/>
    </w:rPr>
  </w:style>
  <w:style w:type="character" w:customStyle="1" w:styleId="213">
    <w:name w:val="current"/>
    <w:qFormat/>
    <w:uiPriority w:val="0"/>
    <w:rPr>
      <w:b/>
      <w:color w:val="FFFFFF"/>
      <w:szCs w:val="21"/>
      <w:bdr w:val="single" w:color="E83336" w:sz="6" w:space="0"/>
      <w:shd w:val="clear" w:color="auto" w:fill="E83336"/>
    </w:rPr>
  </w:style>
  <w:style w:type="character" w:customStyle="1" w:styleId="214">
    <w:name w:val="批注文字 字符1"/>
    <w:semiHidden/>
    <w:qFormat/>
    <w:uiPriority w:val="99"/>
    <w:rPr>
      <w:rFonts w:ascii="Times New Roman" w:hAnsi="Times New Roman" w:eastAsia="宋体" w:cs="Times New Roman"/>
      <w:color w:val="000000"/>
      <w:kern w:val="0"/>
      <w:szCs w:val="20"/>
      <w:u w:val="none" w:color="000000"/>
    </w:rPr>
  </w:style>
  <w:style w:type="character" w:customStyle="1" w:styleId="215">
    <w:name w:val="fafa_phone"/>
    <w:qFormat/>
    <w:uiPriority w:val="0"/>
    <w:rPr>
      <w:szCs w:val="21"/>
    </w:rPr>
  </w:style>
  <w:style w:type="character" w:customStyle="1" w:styleId="216">
    <w:name w:val="current1"/>
    <w:qFormat/>
    <w:uiPriority w:val="0"/>
    <w:rPr>
      <w:b/>
      <w:color w:val="FFFFFF"/>
      <w:szCs w:val="21"/>
      <w:bdr w:val="single" w:color="E83336" w:sz="6" w:space="0"/>
      <w:shd w:val="clear" w:color="auto" w:fill="E83336"/>
    </w:rPr>
  </w:style>
  <w:style w:type="character" w:customStyle="1" w:styleId="217">
    <w:name w:val="p_in"/>
    <w:qFormat/>
    <w:uiPriority w:val="0"/>
    <w:rPr>
      <w:szCs w:val="21"/>
      <w:bdr w:val="single" w:color="CCCCCC" w:sz="6" w:space="0"/>
      <w:shd w:val="clear" w:color="auto" w:fill="FFFFFF"/>
    </w:rPr>
  </w:style>
  <w:style w:type="character" w:customStyle="1" w:styleId="218">
    <w:name w:val="info"/>
    <w:qFormat/>
    <w:uiPriority w:val="0"/>
    <w:rPr>
      <w:color w:val="666666"/>
      <w:szCs w:val="21"/>
    </w:rPr>
  </w:style>
  <w:style w:type="character" w:customStyle="1" w:styleId="219">
    <w:name w:val="Title Char"/>
    <w:qFormat/>
    <w:locked/>
    <w:uiPriority w:val="0"/>
    <w:rPr>
      <w:rFonts w:ascii="Cambria" w:hAnsi="Cambria" w:eastAsia="宋体"/>
      <w:b/>
      <w:bCs/>
      <w:kern w:val="2"/>
      <w:sz w:val="28"/>
      <w:szCs w:val="32"/>
      <w:lang w:val="zh-CN" w:eastAsia="zh-CN" w:bidi="ar-SA"/>
    </w:rPr>
  </w:style>
  <w:style w:type="character" w:customStyle="1" w:styleId="220">
    <w:name w:val="标题 6 字符"/>
    <w:qFormat/>
    <w:uiPriority w:val="9"/>
    <w:rPr>
      <w:rFonts w:ascii="Cambria" w:hAnsi="Cambria" w:eastAsia="宋体" w:cs="Times New Roman"/>
      <w:b/>
      <w:bCs/>
      <w:color w:val="000000"/>
      <w:kern w:val="0"/>
      <w:sz w:val="24"/>
      <w:szCs w:val="24"/>
      <w:u w:val="none" w:color="000000"/>
    </w:rPr>
  </w:style>
  <w:style w:type="character" w:customStyle="1" w:styleId="221">
    <w:name w:val=" Char Char23"/>
    <w:qFormat/>
    <w:locked/>
    <w:uiPriority w:val="0"/>
    <w:rPr>
      <w:rFonts w:eastAsia="宋体"/>
      <w:b/>
      <w:bCs/>
      <w:sz w:val="28"/>
      <w:szCs w:val="28"/>
      <w:lang w:val="zh-CN" w:eastAsia="zh-CN" w:bidi="ar-SA"/>
    </w:rPr>
  </w:style>
  <w:style w:type="character" w:customStyle="1" w:styleId="222">
    <w:name w:val="图表 Char"/>
    <w:link w:val="223"/>
    <w:qFormat/>
    <w:locked/>
    <w:uiPriority w:val="0"/>
    <w:rPr>
      <w:sz w:val="21"/>
      <w:lang w:bidi="ar-SA"/>
    </w:rPr>
  </w:style>
  <w:style w:type="paragraph" w:customStyle="1" w:styleId="223">
    <w:name w:val="图表"/>
    <w:basedOn w:val="1"/>
    <w:next w:val="1"/>
    <w:link w:val="222"/>
    <w:qFormat/>
    <w:uiPriority w:val="0"/>
    <w:pPr>
      <w:widowControl w:val="0"/>
      <w:spacing w:line="240" w:lineRule="auto"/>
      <w:jc w:val="center"/>
      <w:textAlignment w:val="auto"/>
    </w:pPr>
    <w:rPr>
      <w:color w:val="auto"/>
      <w:u w:val="none" w:color="auto"/>
    </w:rPr>
  </w:style>
  <w:style w:type="character" w:customStyle="1" w:styleId="224">
    <w:name w:val="批注框文本 字符1"/>
    <w:qFormat/>
    <w:uiPriority w:val="0"/>
    <w:rPr>
      <w:sz w:val="18"/>
    </w:rPr>
  </w:style>
  <w:style w:type="character" w:customStyle="1" w:styleId="225">
    <w:name w:val="spsel"/>
    <w:qFormat/>
    <w:uiPriority w:val="0"/>
    <w:rPr>
      <w:color w:val="EB504C"/>
      <w:szCs w:val="21"/>
    </w:rPr>
  </w:style>
  <w:style w:type="character" w:customStyle="1" w:styleId="226">
    <w:name w:val="纯文本 Char"/>
    <w:qFormat/>
    <w:uiPriority w:val="0"/>
    <w:rPr>
      <w:rFonts w:ascii="宋体" w:hAnsi="Courier New" w:cs="Courier New"/>
      <w:kern w:val="2"/>
      <w:sz w:val="21"/>
      <w:szCs w:val="21"/>
    </w:rPr>
  </w:style>
  <w:style w:type="character" w:customStyle="1" w:styleId="227">
    <w:name w:val=" Char Char26"/>
    <w:qFormat/>
    <w:uiPriority w:val="0"/>
    <w:rPr>
      <w:rFonts w:ascii="Calibri" w:hAnsi="Calibri" w:eastAsia="宋体"/>
      <w:sz w:val="24"/>
      <w:lang w:val="en-US" w:eastAsia="zh-CN" w:bidi="ar-SA"/>
    </w:rPr>
  </w:style>
  <w:style w:type="character" w:customStyle="1" w:styleId="228">
    <w:name w:val="批注主题 字符"/>
    <w:semiHidden/>
    <w:qFormat/>
    <w:uiPriority w:val="0"/>
    <w:rPr>
      <w:rFonts w:eastAsia="宋体"/>
      <w:b/>
      <w:bCs/>
      <w:color w:val="000000"/>
      <w:u w:val="none" w:color="000000"/>
    </w:rPr>
  </w:style>
  <w:style w:type="character" w:customStyle="1" w:styleId="229">
    <w:name w:val="subject1"/>
    <w:qFormat/>
    <w:uiPriority w:val="0"/>
    <w:rPr>
      <w:sz w:val="28"/>
      <w:szCs w:val="28"/>
      <w:shd w:val="clear" w:color="auto" w:fill="EEEEEE"/>
    </w:rPr>
  </w:style>
  <w:style w:type="character" w:customStyle="1" w:styleId="230">
    <w:name w:val="批注文字 字符"/>
    <w:qFormat/>
    <w:uiPriority w:val="0"/>
    <w:rPr>
      <w:rFonts w:eastAsia="宋体"/>
      <w:color w:val="000000"/>
      <w:sz w:val="21"/>
      <w:u w:val="none" w:color="000000"/>
      <w:lang w:val="en-US" w:eastAsia="zh-CN" w:bidi="ar-SA"/>
    </w:rPr>
  </w:style>
  <w:style w:type="character" w:customStyle="1" w:styleId="231">
    <w:name w:val="Balloon Text Char"/>
    <w:qFormat/>
    <w:locked/>
    <w:uiPriority w:val="0"/>
    <w:rPr>
      <w:rFonts w:ascii="Times New Roman" w:hAnsi="Times New Roman" w:eastAsia="宋体" w:cs="Times New Roman"/>
      <w:kern w:val="0"/>
      <w:sz w:val="18"/>
      <w:szCs w:val="18"/>
      <w:lang w:val="zh-CN" w:eastAsia="zh-CN"/>
    </w:rPr>
  </w:style>
  <w:style w:type="character" w:customStyle="1" w:styleId="232">
    <w:name w:val="Date Char"/>
    <w:qFormat/>
    <w:locked/>
    <w:uiPriority w:val="0"/>
    <w:rPr>
      <w:rFonts w:ascii="Arial" w:hAnsi="Arial" w:eastAsia="仿宋_GB2312" w:cs="Times New Roman"/>
      <w:color w:val="000000"/>
      <w:sz w:val="32"/>
      <w:u w:val="none" w:color="000000"/>
    </w:rPr>
  </w:style>
  <w:style w:type="character" w:customStyle="1" w:styleId="233">
    <w:name w:val="up2"/>
    <w:qFormat/>
    <w:uiPriority w:val="0"/>
    <w:rPr>
      <w:szCs w:val="21"/>
    </w:rPr>
  </w:style>
  <w:style w:type="character" w:customStyle="1" w:styleId="234">
    <w:name w:val="p-star"/>
    <w:qFormat/>
    <w:uiPriority w:val="0"/>
    <w:rPr>
      <w:szCs w:val="21"/>
    </w:rPr>
  </w:style>
  <w:style w:type="character" w:customStyle="1" w:styleId="235">
    <w:name w:val="submit"/>
    <w:qFormat/>
    <w:uiPriority w:val="0"/>
    <w:rPr>
      <w:szCs w:val="21"/>
    </w:rPr>
  </w:style>
  <w:style w:type="character" w:customStyle="1" w:styleId="236">
    <w:name w:val="pl7"/>
    <w:qFormat/>
    <w:uiPriority w:val="0"/>
    <w:rPr>
      <w:szCs w:val="21"/>
    </w:rPr>
  </w:style>
  <w:style w:type="character" w:customStyle="1" w:styleId="237">
    <w:name w:val="sel1"/>
    <w:qFormat/>
    <w:uiPriority w:val="0"/>
    <w:rPr>
      <w:color w:val="FFFFFF"/>
      <w:szCs w:val="21"/>
    </w:rPr>
  </w:style>
  <w:style w:type="character" w:customStyle="1" w:styleId="238">
    <w:name w:val="subject"/>
    <w:qFormat/>
    <w:uiPriority w:val="0"/>
    <w:rPr>
      <w:b/>
      <w:sz w:val="36"/>
      <w:szCs w:val="36"/>
    </w:rPr>
  </w:style>
  <w:style w:type="character" w:customStyle="1" w:styleId="239">
    <w:name w:val="p_title"/>
    <w:qFormat/>
    <w:uiPriority w:val="0"/>
    <w:rPr>
      <w:szCs w:val="21"/>
    </w:rPr>
  </w:style>
  <w:style w:type="character" w:customStyle="1" w:styleId="240">
    <w:name w:val="Body Text Indent Char"/>
    <w:qFormat/>
    <w:locked/>
    <w:uiPriority w:val="0"/>
    <w:rPr>
      <w:rFonts w:ascii="Times New Roman" w:hAnsi="Times New Roman" w:eastAsia="宋体" w:cs="Times New Roman"/>
      <w:sz w:val="24"/>
      <w:szCs w:val="24"/>
      <w:lang w:val="zh-CN" w:eastAsia="zh-CN"/>
    </w:rPr>
  </w:style>
  <w:style w:type="character" w:customStyle="1" w:styleId="241">
    <w:name w:val="正文文本缩进 2 字符"/>
    <w:qFormat/>
    <w:uiPriority w:val="0"/>
    <w:rPr>
      <w:rFonts w:cs="Times New Roman"/>
    </w:rPr>
  </w:style>
  <w:style w:type="character" w:customStyle="1" w:styleId="242">
    <w:name w:val="hover11"/>
    <w:qFormat/>
    <w:uiPriority w:val="0"/>
    <w:rPr>
      <w:color w:val="0090D7"/>
      <w:szCs w:val="21"/>
    </w:rPr>
  </w:style>
  <w:style w:type="character" w:customStyle="1" w:styleId="243">
    <w:name w:val="font11"/>
    <w:basedOn w:val="42"/>
    <w:qFormat/>
    <w:uiPriority w:val="0"/>
    <w:rPr>
      <w:rFonts w:hint="eastAsia" w:ascii="宋体" w:hAnsi="宋体" w:eastAsia="宋体" w:cs="宋体"/>
      <w:color w:val="000000"/>
      <w:sz w:val="24"/>
      <w:szCs w:val="24"/>
      <w:u w:val="none"/>
    </w:rPr>
  </w:style>
  <w:style w:type="character" w:customStyle="1" w:styleId="244">
    <w:name w:val="next"/>
    <w:qFormat/>
    <w:uiPriority w:val="0"/>
    <w:rPr>
      <w:szCs w:val="21"/>
    </w:rPr>
  </w:style>
  <w:style w:type="character" w:customStyle="1" w:styleId="245">
    <w:name w:val="wp_keywordlink"/>
    <w:qFormat/>
    <w:uiPriority w:val="0"/>
    <w:rPr>
      <w:szCs w:val="21"/>
    </w:rPr>
  </w:style>
  <w:style w:type="character" w:customStyle="1" w:styleId="246">
    <w:name w:val="displayarti"/>
    <w:qFormat/>
    <w:uiPriority w:val="0"/>
    <w:rPr>
      <w:color w:val="FFFFFF"/>
      <w:shd w:val="clear" w:color="auto" w:fill="A00000"/>
    </w:rPr>
  </w:style>
  <w:style w:type="character" w:customStyle="1" w:styleId="247">
    <w:name w:val=" Char Char20"/>
    <w:qFormat/>
    <w:uiPriority w:val="0"/>
    <w:rPr>
      <w:rFonts w:ascii="Arial" w:hAnsi="Arial" w:eastAsia="黑体"/>
      <w:sz w:val="24"/>
      <w:szCs w:val="24"/>
      <w:lang w:val="en-US" w:eastAsia="zh-CN" w:bidi="ar-SA"/>
    </w:rPr>
  </w:style>
  <w:style w:type="character" w:customStyle="1" w:styleId="248">
    <w:name w:val="bds_more2"/>
    <w:qFormat/>
    <w:uiPriority w:val="0"/>
    <w:rPr>
      <w:rFonts w:hint="eastAsia" w:ascii="宋体" w:hAnsi="宋体" w:eastAsia="宋体" w:cs="宋体"/>
      <w:szCs w:val="21"/>
    </w:rPr>
  </w:style>
  <w:style w:type="character" w:customStyle="1" w:styleId="249">
    <w:name w:val="Char Char11"/>
    <w:qFormat/>
    <w:uiPriority w:val="0"/>
    <w:rPr>
      <w:rFonts w:ascii="Arial" w:hAnsi="Arial" w:eastAsia="黑体"/>
      <w:b/>
      <w:bCs/>
      <w:sz w:val="24"/>
      <w:szCs w:val="24"/>
    </w:rPr>
  </w:style>
  <w:style w:type="character" w:customStyle="1" w:styleId="250">
    <w:name w:val="show_zss"/>
    <w:qFormat/>
    <w:uiPriority w:val="0"/>
    <w:rPr>
      <w:vanish/>
      <w:color w:val="FF6600"/>
      <w:szCs w:val="21"/>
    </w:rPr>
  </w:style>
  <w:style w:type="character" w:customStyle="1" w:styleId="251">
    <w:name w:val="txtline"/>
    <w:qFormat/>
    <w:uiPriority w:val="0"/>
    <w:rPr>
      <w:szCs w:val="21"/>
    </w:rPr>
  </w:style>
  <w:style w:type="character" w:customStyle="1" w:styleId="252">
    <w:name w:val=" Char Char14"/>
    <w:qFormat/>
    <w:uiPriority w:val="0"/>
    <w:rPr>
      <w:color w:val="000000"/>
      <w:sz w:val="21"/>
      <w:u w:val="none" w:color="000000"/>
      <w:lang w:bidi="ar-SA"/>
    </w:rPr>
  </w:style>
  <w:style w:type="character" w:customStyle="1" w:styleId="253">
    <w:name w:val="z-窗体顶端 Char"/>
    <w:link w:val="254"/>
    <w:qFormat/>
    <w:uiPriority w:val="0"/>
    <w:rPr>
      <w:rFonts w:ascii="Arial"/>
      <w:vanish/>
      <w:kern w:val="2"/>
      <w:sz w:val="16"/>
      <w:szCs w:val="24"/>
    </w:rPr>
  </w:style>
  <w:style w:type="paragraph" w:customStyle="1" w:styleId="254">
    <w:name w:val="_Style 252"/>
    <w:basedOn w:val="1"/>
    <w:next w:val="1"/>
    <w:link w:val="253"/>
    <w:qFormat/>
    <w:uiPriority w:val="0"/>
    <w:pPr>
      <w:widowControl w:val="0"/>
      <w:pBdr>
        <w:bottom w:val="single" w:color="auto" w:sz="6" w:space="1"/>
      </w:pBdr>
      <w:spacing w:line="240" w:lineRule="auto"/>
      <w:jc w:val="center"/>
      <w:textAlignment w:val="auto"/>
    </w:pPr>
    <w:rPr>
      <w:rFonts w:ascii="Arial"/>
      <w:vanish/>
      <w:color w:val="auto"/>
      <w:kern w:val="2"/>
      <w:sz w:val="16"/>
      <w:szCs w:val="24"/>
      <w:u w:val="none" w:color="auto"/>
    </w:rPr>
  </w:style>
  <w:style w:type="character" w:customStyle="1" w:styleId="255">
    <w:name w:val="now"/>
    <w:qFormat/>
    <w:uiPriority w:val="0"/>
    <w:rPr>
      <w:szCs w:val="21"/>
    </w:rPr>
  </w:style>
  <w:style w:type="character" w:customStyle="1" w:styleId="256">
    <w:name w:val="p_danw"/>
    <w:qFormat/>
    <w:uiPriority w:val="0"/>
    <w:rPr>
      <w:szCs w:val="21"/>
    </w:rPr>
  </w:style>
  <w:style w:type="character" w:customStyle="1" w:styleId="257">
    <w:name w:val="Body Text Char"/>
    <w:qFormat/>
    <w:locked/>
    <w:uiPriority w:val="0"/>
    <w:rPr>
      <w:rFonts w:ascii="Times New Roman" w:hAnsi="Times New Roman" w:eastAsia="宋体" w:cs="Times New Roman"/>
      <w:sz w:val="24"/>
      <w:szCs w:val="24"/>
      <w:lang w:val="zh-CN" w:eastAsia="zh-CN"/>
    </w:rPr>
  </w:style>
  <w:style w:type="character" w:customStyle="1" w:styleId="258">
    <w:name w:val="d-title"/>
    <w:qFormat/>
    <w:uiPriority w:val="0"/>
    <w:rPr>
      <w:b/>
      <w:szCs w:val="21"/>
    </w:rPr>
  </w:style>
  <w:style w:type="character" w:customStyle="1" w:styleId="259">
    <w:name w:val="日期 字符"/>
    <w:qFormat/>
    <w:uiPriority w:val="0"/>
    <w:rPr>
      <w:rFonts w:ascii="Arial" w:hAnsi="Arial" w:eastAsia="仿宋_GB2312"/>
      <w:sz w:val="32"/>
    </w:rPr>
  </w:style>
  <w:style w:type="character" w:customStyle="1" w:styleId="260">
    <w:name w:val="hover179"/>
    <w:qFormat/>
    <w:uiPriority w:val="0"/>
    <w:rPr>
      <w:color w:val="D50D00"/>
      <w:szCs w:val="21"/>
    </w:rPr>
  </w:style>
  <w:style w:type="character" w:customStyle="1" w:styleId="261">
    <w:name w:val="gpa"/>
    <w:qFormat/>
    <w:uiPriority w:val="0"/>
    <w:rPr>
      <w:rFonts w:ascii="Arial" w:hAnsi="Arial"/>
      <w:sz w:val="15"/>
    </w:rPr>
  </w:style>
  <w:style w:type="character" w:customStyle="1" w:styleId="262">
    <w:name w:val=" Char Char25"/>
    <w:qFormat/>
    <w:uiPriority w:val="0"/>
    <w:rPr>
      <w:rFonts w:ascii="Calibri" w:hAnsi="Calibri" w:eastAsia="宋体"/>
      <w:b/>
      <w:bCs/>
      <w:color w:val="000000"/>
      <w:sz w:val="32"/>
      <w:szCs w:val="32"/>
      <w:u w:val="none" w:color="000000"/>
      <w:lang w:val="en-US" w:eastAsia="zh-CN" w:bidi="ar-SA"/>
    </w:rPr>
  </w:style>
  <w:style w:type="character" w:customStyle="1" w:styleId="263">
    <w:name w:val=" Char Char7"/>
    <w:qFormat/>
    <w:uiPriority w:val="0"/>
    <w:rPr>
      <w:rFonts w:ascii="Calibri Light" w:hAnsi="Calibri Light" w:eastAsia="微软雅黑"/>
      <w:b/>
      <w:bCs/>
      <w:sz w:val="28"/>
      <w:szCs w:val="32"/>
      <w:lang w:bidi="ar-SA"/>
    </w:rPr>
  </w:style>
  <w:style w:type="character" w:customStyle="1" w:styleId="264">
    <w:name w:val="font21"/>
    <w:qFormat/>
    <w:uiPriority w:val="0"/>
    <w:rPr>
      <w:rFonts w:hint="eastAsia" w:ascii="宋体" w:hAnsi="宋体" w:eastAsia="宋体" w:cs="宋体"/>
      <w:color w:val="000000"/>
      <w:sz w:val="20"/>
      <w:szCs w:val="20"/>
      <w:u w:val="none"/>
    </w:rPr>
  </w:style>
  <w:style w:type="character" w:customStyle="1" w:styleId="265">
    <w:name w:val="Footer Char"/>
    <w:qFormat/>
    <w:locked/>
    <w:uiPriority w:val="0"/>
    <w:rPr>
      <w:rFonts w:ascii="Times New Roman" w:hAnsi="Times New Roman" w:eastAsia="宋体" w:cs="Times New Roman"/>
      <w:sz w:val="18"/>
      <w:szCs w:val="18"/>
      <w:lang w:val="zh-CN" w:eastAsia="zh-CN"/>
    </w:rPr>
  </w:style>
  <w:style w:type="character" w:customStyle="1" w:styleId="266">
    <w:name w:val="now1"/>
    <w:qFormat/>
    <w:uiPriority w:val="0"/>
    <w:rPr>
      <w:szCs w:val="21"/>
    </w:rPr>
  </w:style>
  <w:style w:type="character" w:customStyle="1" w:styleId="267">
    <w:name w:val="article-subject"/>
    <w:qFormat/>
    <w:uiPriority w:val="0"/>
    <w:rPr>
      <w:b/>
      <w:szCs w:val="21"/>
    </w:rPr>
  </w:style>
  <w:style w:type="character" w:customStyle="1" w:styleId="268">
    <w:name w:val="z-窗体底端 Char"/>
    <w:link w:val="269"/>
    <w:qFormat/>
    <w:uiPriority w:val="0"/>
    <w:rPr>
      <w:rFonts w:ascii="Arial"/>
      <w:vanish/>
      <w:kern w:val="2"/>
      <w:sz w:val="16"/>
      <w:szCs w:val="24"/>
    </w:rPr>
  </w:style>
  <w:style w:type="paragraph" w:customStyle="1" w:styleId="269">
    <w:name w:val="_Style 267"/>
    <w:basedOn w:val="1"/>
    <w:next w:val="1"/>
    <w:link w:val="268"/>
    <w:qFormat/>
    <w:uiPriority w:val="0"/>
    <w:pPr>
      <w:widowControl w:val="0"/>
      <w:pBdr>
        <w:top w:val="single" w:color="auto" w:sz="6" w:space="1"/>
      </w:pBdr>
      <w:spacing w:line="240" w:lineRule="auto"/>
      <w:jc w:val="center"/>
      <w:textAlignment w:val="auto"/>
    </w:pPr>
    <w:rPr>
      <w:rFonts w:ascii="Arial"/>
      <w:vanish/>
      <w:color w:val="auto"/>
      <w:kern w:val="2"/>
      <w:sz w:val="16"/>
      <w:szCs w:val="24"/>
      <w:u w:val="none" w:color="auto"/>
    </w:rPr>
  </w:style>
  <w:style w:type="character" w:customStyle="1" w:styleId="270">
    <w:name w:val=" Char Char15"/>
    <w:qFormat/>
    <w:uiPriority w:val="0"/>
    <w:rPr>
      <w:rFonts w:ascii="黑体" w:eastAsia="黑体"/>
      <w:sz w:val="52"/>
    </w:rPr>
  </w:style>
  <w:style w:type="character" w:customStyle="1" w:styleId="271">
    <w:name w:val="纯文本 字符1"/>
    <w:semiHidden/>
    <w:qFormat/>
    <w:uiPriority w:val="99"/>
    <w:rPr>
      <w:rFonts w:ascii="等线" w:hAnsi="Courier New" w:cs="Courier New"/>
      <w:color w:val="000000"/>
      <w:kern w:val="0"/>
      <w:szCs w:val="20"/>
      <w:u w:val="none" w:color="000000"/>
    </w:rPr>
  </w:style>
  <w:style w:type="character" w:customStyle="1" w:styleId="272">
    <w:name w:val="UserStyle_0"/>
    <w:link w:val="273"/>
    <w:semiHidden/>
    <w:qFormat/>
    <w:locked/>
    <w:uiPriority w:val="0"/>
  </w:style>
  <w:style w:type="paragraph" w:customStyle="1" w:styleId="273">
    <w:name w:val="BodyText"/>
    <w:basedOn w:val="1"/>
    <w:link w:val="272"/>
    <w:qFormat/>
    <w:uiPriority w:val="0"/>
    <w:pPr>
      <w:spacing w:after="120"/>
      <w:jc w:val="both"/>
      <w:textAlignment w:val="baseline"/>
    </w:pPr>
  </w:style>
  <w:style w:type="character" w:customStyle="1" w:styleId="274">
    <w:name w:val="标题 字符1"/>
    <w:qFormat/>
    <w:uiPriority w:val="10"/>
    <w:rPr>
      <w:rFonts w:ascii="等线 Light" w:hAnsi="等线 Light" w:eastAsia="等线 Light" w:cs="Times New Roman"/>
      <w:b/>
      <w:bCs/>
      <w:color w:val="000000"/>
      <w:kern w:val="0"/>
      <w:sz w:val="32"/>
      <w:szCs w:val="32"/>
      <w:u w:val="none" w:color="000000"/>
    </w:rPr>
  </w:style>
  <w:style w:type="character" w:customStyle="1" w:styleId="275">
    <w:name w:val="页眉 Char Char"/>
    <w:qFormat/>
    <w:uiPriority w:val="0"/>
    <w:rPr>
      <w:rFonts w:eastAsia="宋体"/>
      <w:color w:val="000000"/>
      <w:sz w:val="18"/>
      <w:szCs w:val="18"/>
      <w:u w:val="none" w:color="000000"/>
      <w:lang w:val="en-US" w:eastAsia="zh-CN" w:bidi="ar-SA"/>
    </w:rPr>
  </w:style>
  <w:style w:type="character" w:customStyle="1" w:styleId="276">
    <w:name w:val="font91"/>
    <w:qFormat/>
    <w:uiPriority w:val="0"/>
    <w:rPr>
      <w:rFonts w:hint="eastAsia" w:ascii="宋体" w:hAnsi="宋体" w:eastAsia="宋体" w:cs="宋体"/>
      <w:color w:val="000000"/>
      <w:sz w:val="32"/>
      <w:szCs w:val="32"/>
      <w:u w:val="none"/>
    </w:rPr>
  </w:style>
  <w:style w:type="character" w:customStyle="1" w:styleId="277">
    <w:name w:val=" Char Char24"/>
    <w:qFormat/>
    <w:locked/>
    <w:uiPriority w:val="0"/>
    <w:rPr>
      <w:rFonts w:ascii="Arial" w:hAnsi="Arial" w:eastAsia="黑体"/>
      <w:b/>
      <w:bCs/>
      <w:color w:val="000000"/>
      <w:sz w:val="28"/>
      <w:szCs w:val="28"/>
      <w:u w:val="none" w:color="000000"/>
      <w:lang w:val="zh-CN" w:eastAsia="zh-CN" w:bidi="ar-SA"/>
    </w:rPr>
  </w:style>
  <w:style w:type="paragraph" w:customStyle="1" w:styleId="278">
    <w:name w:val="正文文字1"/>
    <w:basedOn w:val="21"/>
    <w:qFormat/>
    <w:uiPriority w:val="0"/>
    <w:pPr>
      <w:adjustRightInd w:val="0"/>
      <w:snapToGrid/>
      <w:spacing w:line="360" w:lineRule="atLeast"/>
      <w:ind w:left="72" w:leftChars="30" w:right="72" w:rightChars="30"/>
    </w:pPr>
    <w:rPr>
      <w:rFonts w:ascii="Times New Roman" w:hAnsi="Times New Roman" w:eastAsia="宋体"/>
      <w:color w:val="auto"/>
      <w:sz w:val="21"/>
      <w:u w:val="none" w:color="auto"/>
    </w:rPr>
  </w:style>
  <w:style w:type="paragraph" w:customStyle="1" w:styleId="279">
    <w:name w:val="列出段落1"/>
    <w:basedOn w:val="1"/>
    <w:qFormat/>
    <w:uiPriority w:val="34"/>
    <w:pPr>
      <w:ind w:firstLine="420" w:firstLineChars="200"/>
    </w:pPr>
    <w:rPr>
      <w:szCs w:val="20"/>
    </w:rPr>
  </w:style>
  <w:style w:type="paragraph" w:customStyle="1" w:styleId="280">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paragraph" w:customStyle="1" w:styleId="281">
    <w:name w:val="正文 New New New New"/>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282">
    <w:name w:val="HtmlNormal"/>
    <w:basedOn w:val="1"/>
    <w:next w:val="1"/>
    <w:qFormat/>
    <w:uiPriority w:val="0"/>
    <w:pPr>
      <w:widowControl/>
      <w:spacing w:before="100" w:beforeAutospacing="1" w:after="100" w:afterAutospacing="1"/>
      <w:jc w:val="left"/>
      <w:textAlignment w:val="baseline"/>
    </w:pPr>
    <w:rPr>
      <w:rFonts w:ascii="宋体" w:hAnsi="宋体"/>
      <w:kern w:val="0"/>
      <w:sz w:val="24"/>
      <w:szCs w:val="24"/>
      <w:lang w:val="en-US" w:eastAsia="zh-CN" w:bidi="ar-SA"/>
    </w:rPr>
  </w:style>
  <w:style w:type="paragraph" w:customStyle="1" w:styleId="283">
    <w:name w:val="文档正文"/>
    <w:basedOn w:val="1"/>
    <w:qFormat/>
    <w:uiPriority w:val="0"/>
    <w:pPr>
      <w:widowControl w:val="0"/>
      <w:adjustRightInd w:val="0"/>
      <w:spacing w:line="312" w:lineRule="atLeast"/>
      <w:ind w:firstLine="567"/>
      <w:textAlignment w:val="auto"/>
    </w:pPr>
    <w:rPr>
      <w:rFonts w:ascii="Arial" w:eastAsia="长城仿宋"/>
      <w:color w:val="auto"/>
      <w:sz w:val="28"/>
      <w:u w:val="none" w:color="auto"/>
    </w:rPr>
  </w:style>
  <w:style w:type="paragraph" w:customStyle="1" w:styleId="284">
    <w:name w:val="Char Char Char Char"/>
    <w:basedOn w:val="1"/>
    <w:qFormat/>
    <w:uiPriority w:val="0"/>
    <w:pPr>
      <w:widowControl w:val="0"/>
      <w:spacing w:line="240" w:lineRule="auto"/>
      <w:textAlignment w:val="auto"/>
    </w:pPr>
    <w:rPr>
      <w:rFonts w:ascii="Tahoma" w:hAnsi="Tahoma"/>
      <w:color w:val="auto"/>
      <w:kern w:val="2"/>
      <w:sz w:val="24"/>
    </w:rPr>
  </w:style>
  <w:style w:type="paragraph" w:customStyle="1" w:styleId="285">
    <w:name w:val="Body Text Indent"/>
    <w:basedOn w:val="1"/>
    <w:qFormat/>
    <w:uiPriority w:val="0"/>
    <w:pPr>
      <w:spacing w:after="120" w:afterLines="0"/>
      <w:ind w:left="420" w:leftChars="200"/>
    </w:pPr>
    <w:rPr>
      <w:rFonts w:ascii="Times New Roman" w:hAnsi="Times New Roman" w:eastAsia="宋体" w:cs="Times New Roman"/>
      <w:color w:val="000000"/>
      <w:kern w:val="0"/>
      <w:szCs w:val="20"/>
      <w:u w:val="none" w:color="000000"/>
    </w:rPr>
  </w:style>
  <w:style w:type="paragraph" w:customStyle="1" w:styleId="286">
    <w:name w:val="默认段落字体 Para Char"/>
    <w:basedOn w:val="1"/>
    <w:qFormat/>
    <w:uiPriority w:val="0"/>
    <w:pPr>
      <w:widowControl w:val="0"/>
      <w:spacing w:line="240" w:lineRule="auto"/>
      <w:textAlignment w:val="auto"/>
    </w:pPr>
    <w:rPr>
      <w:color w:val="auto"/>
      <w:kern w:val="2"/>
      <w:szCs w:val="24"/>
      <w:u w:val="none" w:color="auto"/>
    </w:rPr>
  </w:style>
  <w:style w:type="paragraph" w:customStyle="1" w:styleId="287">
    <w:name w:val="List Paragraph1"/>
    <w:basedOn w:val="1"/>
    <w:qFormat/>
    <w:uiPriority w:val="0"/>
    <w:pPr>
      <w:widowControl w:val="0"/>
      <w:spacing w:line="312" w:lineRule="auto"/>
      <w:ind w:firstLine="420" w:firstLineChars="200"/>
      <w:textAlignment w:val="auto"/>
    </w:pPr>
    <w:rPr>
      <w:color w:val="auto"/>
      <w:sz w:val="20"/>
      <w:u w:val="none" w:color="auto"/>
    </w:rPr>
  </w:style>
  <w:style w:type="paragraph" w:customStyle="1" w:styleId="288">
    <w:name w:val="样式1"/>
    <w:basedOn w:val="1"/>
    <w:qFormat/>
    <w:uiPriority w:val="0"/>
    <w:pPr>
      <w:widowControl w:val="0"/>
      <w:spacing w:line="240" w:lineRule="auto"/>
      <w:textAlignment w:val="auto"/>
    </w:pPr>
    <w:rPr>
      <w:rFonts w:ascii="Arial" w:hAnsi="Arial" w:eastAsia="仿宋_GB2312"/>
      <w:color w:val="auto"/>
      <w:kern w:val="2"/>
      <w:sz w:val="32"/>
      <w:u w:val="none" w:color="auto"/>
    </w:rPr>
  </w:style>
  <w:style w:type="paragraph" w:customStyle="1" w:styleId="289">
    <w:name w:val="BodyText1I2"/>
    <w:basedOn w:val="290"/>
    <w:next w:val="1"/>
    <w:qFormat/>
    <w:uiPriority w:val="0"/>
    <w:pPr>
      <w:spacing w:after="120" w:line="360" w:lineRule="auto"/>
      <w:ind w:left="200" w:leftChars="200" w:firstLine="200" w:firstLineChars="200"/>
      <w:jc w:val="both"/>
      <w:textAlignment w:val="baseline"/>
    </w:pPr>
    <w:rPr>
      <w:rFonts w:ascii="宋体"/>
      <w:szCs w:val="20"/>
    </w:rPr>
  </w:style>
  <w:style w:type="paragraph" w:customStyle="1" w:styleId="290">
    <w:name w:val="BodyTextIndent"/>
    <w:basedOn w:val="1"/>
    <w:next w:val="291"/>
    <w:qFormat/>
    <w:uiPriority w:val="0"/>
    <w:pPr>
      <w:spacing w:after="120"/>
      <w:ind w:left="200" w:leftChars="200"/>
      <w:jc w:val="both"/>
      <w:textAlignment w:val="baseline"/>
    </w:pPr>
  </w:style>
  <w:style w:type="paragraph" w:customStyle="1" w:styleId="291">
    <w:name w:val="EnvelopeReturn"/>
    <w:basedOn w:val="1"/>
    <w:qFormat/>
    <w:uiPriority w:val="0"/>
    <w:pPr>
      <w:snapToGrid w:val="0"/>
      <w:jc w:val="both"/>
      <w:textAlignment w:val="baseline"/>
    </w:pPr>
    <w:rPr>
      <w:rFonts w:ascii="Arial" w:hAnsi="Arial"/>
      <w:kern w:val="2"/>
      <w:sz w:val="21"/>
      <w:szCs w:val="24"/>
      <w:lang w:val="en-US" w:eastAsia="zh-CN" w:bidi="ar-SA"/>
    </w:rPr>
  </w:style>
  <w:style w:type="paragraph" w:customStyle="1" w:styleId="292">
    <w:name w:val="_Style 2"/>
    <w:basedOn w:val="1"/>
    <w:qFormat/>
    <w:uiPriority w:val="0"/>
    <w:pPr>
      <w:ind w:firstLine="420" w:firstLineChars="200"/>
    </w:pPr>
  </w:style>
  <w:style w:type="paragraph" w:customStyle="1" w:styleId="293">
    <w:name w:val="Char Char Char Char Char Char Char1 Char"/>
    <w:basedOn w:val="1"/>
    <w:qFormat/>
    <w:uiPriority w:val="0"/>
    <w:pPr>
      <w:widowControl w:val="0"/>
      <w:spacing w:line="240" w:lineRule="auto"/>
      <w:textAlignment w:val="auto"/>
    </w:pPr>
    <w:rPr>
      <w:rFonts w:ascii="Tahoma" w:hAnsi="Tahoma"/>
      <w:color w:val="auto"/>
      <w:kern w:val="2"/>
      <w:sz w:val="24"/>
      <w:u w:val="none" w:color="auto"/>
    </w:rPr>
  </w:style>
  <w:style w:type="paragraph" w:customStyle="1" w:styleId="294">
    <w:name w:val=" Char Char Char Char"/>
    <w:basedOn w:val="1"/>
    <w:qFormat/>
    <w:uiPriority w:val="0"/>
    <w:pPr>
      <w:widowControl w:val="0"/>
      <w:spacing w:line="240" w:lineRule="auto"/>
      <w:textAlignment w:val="auto"/>
    </w:pPr>
    <w:rPr>
      <w:rFonts w:ascii="Tahoma" w:hAnsi="Tahoma"/>
      <w:color w:val="auto"/>
      <w:kern w:val="2"/>
      <w:sz w:val="24"/>
      <w:u w:val="none" w:color="auto"/>
    </w:rPr>
  </w:style>
  <w:style w:type="paragraph" w:customStyle="1" w:styleId="295">
    <w:name w:val="普通 (Web)"/>
    <w:basedOn w:val="1"/>
    <w:qFormat/>
    <w:uiPriority w:val="0"/>
    <w:pPr>
      <w:spacing w:before="100" w:beforeAutospacing="1" w:after="100" w:afterAutospacing="1" w:line="240" w:lineRule="auto"/>
      <w:jc w:val="left"/>
      <w:textAlignment w:val="auto"/>
    </w:pPr>
    <w:rPr>
      <w:rFonts w:ascii="宋体" w:hAnsi="宋体"/>
      <w:color w:val="auto"/>
      <w:sz w:val="24"/>
      <w:szCs w:val="24"/>
      <w:u w:val="none" w:color="auto"/>
    </w:rPr>
  </w:style>
  <w:style w:type="paragraph" w:customStyle="1" w:styleId="296">
    <w:name w:val="reader-word-layer"/>
    <w:basedOn w:val="1"/>
    <w:qFormat/>
    <w:uiPriority w:val="0"/>
    <w:pPr>
      <w:spacing w:before="100" w:beforeAutospacing="1" w:after="100" w:afterAutospacing="1" w:line="240" w:lineRule="auto"/>
      <w:jc w:val="left"/>
      <w:textAlignment w:val="auto"/>
    </w:pPr>
    <w:rPr>
      <w:rFonts w:ascii="宋体" w:hAnsi="宋体" w:cs="宋体"/>
      <w:color w:val="auto"/>
      <w:sz w:val="24"/>
      <w:szCs w:val="24"/>
      <w:u w:val="none" w:color="auto"/>
    </w:rPr>
  </w:style>
  <w:style w:type="paragraph" w:customStyle="1" w:styleId="297">
    <w:name w:val="UserStyle_29"/>
    <w:qFormat/>
    <w:uiPriority w:val="0"/>
    <w:pPr>
      <w:spacing w:line="440" w:lineRule="exact"/>
      <w:ind w:left="357" w:hanging="357"/>
      <w:jc w:val="both"/>
      <w:textAlignment w:val="baseline"/>
    </w:pPr>
    <w:rPr>
      <w:rFonts w:ascii="Times New Roman" w:hAnsi="Times New Roman" w:eastAsia="宋体" w:cs="Times New Roman"/>
      <w:kern w:val="2"/>
      <w:sz w:val="21"/>
      <w:szCs w:val="22"/>
      <w:lang w:val="en-US" w:eastAsia="zh-CN" w:bidi="ar-SA"/>
    </w:rPr>
  </w:style>
  <w:style w:type="paragraph" w:customStyle="1" w:styleId="298">
    <w:name w:val="PlainText"/>
    <w:basedOn w:val="1"/>
    <w:next w:val="1"/>
    <w:qFormat/>
    <w:uiPriority w:val="0"/>
    <w:pPr>
      <w:jc w:val="both"/>
      <w:textAlignment w:val="baseline"/>
    </w:pPr>
    <w:rPr>
      <w:rFonts w:ascii="宋体"/>
      <w:color w:val="000000"/>
      <w:kern w:val="2"/>
      <w:sz w:val="21"/>
      <w:szCs w:val="20"/>
      <w:lang w:val="en-US" w:eastAsia="zh-CN" w:bidi="ar-SA"/>
    </w:rPr>
  </w:style>
  <w:style w:type="paragraph" w:customStyle="1" w:styleId="299">
    <w:name w:val="样式 正文（缩进） + (中文) 楷体_GB2312"/>
    <w:basedOn w:val="116"/>
    <w:qFormat/>
    <w:uiPriority w:val="0"/>
    <w:pPr>
      <w:ind w:left="1" w:leftChars="-1" w:hanging="3" w:hangingChars="1"/>
      <w:jc w:val="center"/>
    </w:pPr>
    <w:rPr>
      <w:rFonts w:ascii="宋体" w:hAnsi="宋体"/>
      <w:b/>
      <w:bCs/>
      <w:sz w:val="28"/>
      <w:szCs w:val="28"/>
    </w:rPr>
  </w:style>
  <w:style w:type="paragraph" w:customStyle="1" w:styleId="300">
    <w:name w:val="p0 New"/>
    <w:basedOn w:val="1"/>
    <w:qFormat/>
    <w:uiPriority w:val="0"/>
    <w:pPr>
      <w:spacing w:line="240" w:lineRule="auto"/>
      <w:jc w:val="left"/>
      <w:textAlignment w:val="auto"/>
    </w:pPr>
    <w:rPr>
      <w:rFonts w:ascii="宋体" w:hAnsi="宋体" w:cs="宋体"/>
      <w:color w:val="auto"/>
      <w:sz w:val="18"/>
      <w:szCs w:val="18"/>
      <w:u w:val="none" w:color="auto"/>
    </w:rPr>
  </w:style>
  <w:style w:type="paragraph" w:customStyle="1" w:styleId="301">
    <w:name w:val="flName"/>
    <w:basedOn w:val="1"/>
    <w:qFormat/>
    <w:uiPriority w:val="0"/>
    <w:pPr>
      <w:widowControl w:val="0"/>
      <w:adjustRightInd w:val="0"/>
      <w:spacing w:before="320" w:after="160" w:line="360" w:lineRule="atLeast"/>
      <w:jc w:val="center"/>
    </w:pPr>
    <w:rPr>
      <w:rFonts w:ascii="Arial" w:eastAsia="黑体"/>
      <w:color w:val="auto"/>
      <w:sz w:val="32"/>
      <w:u w:val="none" w:color="auto"/>
    </w:rPr>
  </w:style>
  <w:style w:type="paragraph" w:customStyle="1" w:styleId="302">
    <w:name w:val="List Paragraph2"/>
    <w:basedOn w:val="1"/>
    <w:qFormat/>
    <w:uiPriority w:val="0"/>
    <w:pPr>
      <w:widowControl w:val="0"/>
      <w:spacing w:line="240" w:lineRule="auto"/>
      <w:ind w:firstLine="420" w:firstLineChars="200"/>
      <w:textAlignment w:val="auto"/>
    </w:pPr>
    <w:rPr>
      <w:rFonts w:ascii="Calibri" w:hAnsi="Calibri"/>
      <w:color w:val="auto"/>
      <w:kern w:val="2"/>
      <w:szCs w:val="22"/>
      <w:u w:val="none" w:color="auto"/>
    </w:rPr>
  </w:style>
  <w:style w:type="paragraph" w:customStyle="1" w:styleId="303">
    <w:name w:val="字元 字元 字元 字元 字元"/>
    <w:basedOn w:val="1"/>
    <w:qFormat/>
    <w:uiPriority w:val="0"/>
    <w:pPr>
      <w:widowControl w:val="0"/>
      <w:spacing w:line="240" w:lineRule="auto"/>
      <w:textAlignment w:val="auto"/>
    </w:pPr>
    <w:rPr>
      <w:rFonts w:ascii="Times New Roman" w:hAnsi="Times New Roman"/>
      <w:color w:val="auto"/>
      <w:kern w:val="2"/>
      <w:u w:val="none" w:color="auto"/>
    </w:rPr>
  </w:style>
  <w:style w:type="paragraph" w:customStyle="1" w:styleId="304">
    <w:name w:val="Char"/>
    <w:basedOn w:val="1"/>
    <w:qFormat/>
    <w:uiPriority w:val="0"/>
    <w:pPr>
      <w:widowControl w:val="0"/>
      <w:spacing w:line="240" w:lineRule="auto"/>
      <w:textAlignment w:val="auto"/>
    </w:pPr>
    <w:rPr>
      <w:rFonts w:ascii="仿宋_GB2312" w:eastAsia="仿宋_GB2312"/>
      <w:b/>
      <w:color w:val="auto"/>
      <w:kern w:val="2"/>
      <w:sz w:val="32"/>
      <w:szCs w:val="32"/>
      <w:u w:val="none" w:color="auto"/>
    </w:rPr>
  </w:style>
  <w:style w:type="paragraph" w:customStyle="1" w:styleId="305">
    <w:name w:val=" Char Char Char Char Char Char"/>
    <w:basedOn w:val="1"/>
    <w:qFormat/>
    <w:uiPriority w:val="0"/>
    <w:pPr>
      <w:widowControl w:val="0"/>
      <w:spacing w:line="240" w:lineRule="auto"/>
      <w:textAlignment w:val="auto"/>
    </w:pPr>
    <w:rPr>
      <w:color w:val="auto"/>
      <w:kern w:val="2"/>
      <w:szCs w:val="21"/>
      <w:u w:val="none" w:color="auto"/>
    </w:rPr>
  </w:style>
  <w:style w:type="paragraph" w:customStyle="1" w:styleId="306">
    <w:name w:val="列出段落11"/>
    <w:basedOn w:val="1"/>
    <w:qFormat/>
    <w:uiPriority w:val="0"/>
    <w:pPr>
      <w:widowControl w:val="0"/>
      <w:spacing w:after="120" w:line="360" w:lineRule="auto"/>
      <w:ind w:firstLine="420" w:firstLineChars="200"/>
      <w:textAlignment w:val="auto"/>
    </w:pPr>
    <w:rPr>
      <w:color w:val="auto"/>
      <w:kern w:val="2"/>
      <w:szCs w:val="22"/>
      <w:u w:val="none" w:color="auto"/>
    </w:rPr>
  </w:style>
  <w:style w:type="paragraph" w:customStyle="1" w:styleId="307">
    <w:name w:val="缺省文本"/>
    <w:basedOn w:val="1"/>
    <w:qFormat/>
    <w:uiPriority w:val="0"/>
    <w:pPr>
      <w:widowControl w:val="0"/>
      <w:autoSpaceDE w:val="0"/>
      <w:autoSpaceDN w:val="0"/>
      <w:adjustRightInd w:val="0"/>
      <w:spacing w:line="240" w:lineRule="auto"/>
      <w:jc w:val="left"/>
      <w:textAlignment w:val="auto"/>
    </w:pPr>
    <w:rPr>
      <w:color w:val="auto"/>
      <w:sz w:val="24"/>
      <w:u w:val="none" w:color="auto"/>
    </w:rPr>
  </w:style>
  <w:style w:type="paragraph" w:customStyle="1" w:styleId="308">
    <w:name w:val="UserStyle_18"/>
    <w:basedOn w:val="1"/>
    <w:qFormat/>
    <w:uiPriority w:val="0"/>
    <w:pPr>
      <w:widowControl/>
      <w:snapToGrid w:val="0"/>
      <w:ind w:firstLine="560"/>
      <w:jc w:val="left"/>
      <w:textAlignment w:val="baseline"/>
    </w:pPr>
    <w:rPr>
      <w:rFonts w:ascii="仿宋_GB2312"/>
      <w:color w:val="191919"/>
      <w:kern w:val="2"/>
      <w:sz w:val="28"/>
      <w:szCs w:val="28"/>
      <w:lang w:val="en-US" w:eastAsia="zh-CN" w:bidi="ar-SA"/>
    </w:rPr>
  </w:style>
  <w:style w:type="paragraph" w:customStyle="1" w:styleId="309">
    <w:name w:val="图表题注"/>
    <w:basedOn w:val="17"/>
    <w:next w:val="16"/>
    <w:qFormat/>
    <w:uiPriority w:val="0"/>
    <w:pPr>
      <w:spacing w:before="152" w:after="160"/>
      <w:jc w:val="center"/>
    </w:pPr>
    <w:rPr>
      <w:rFonts w:ascii="Times New Roman" w:hAnsi="Times New Roman" w:eastAsia="宋体"/>
      <w:sz w:val="21"/>
    </w:rPr>
  </w:style>
  <w:style w:type="paragraph" w:customStyle="1" w:styleId="310">
    <w:name w:val="p0"/>
    <w:basedOn w:val="1"/>
    <w:qFormat/>
    <w:uiPriority w:val="0"/>
    <w:pPr>
      <w:spacing w:line="240" w:lineRule="auto"/>
      <w:textAlignment w:val="auto"/>
    </w:pPr>
    <w:rPr>
      <w:rFonts w:ascii="Calibri" w:hAnsi="Calibri" w:cs="宋体"/>
      <w:color w:val="auto"/>
      <w:szCs w:val="21"/>
      <w:u w:val="none" w:color="auto"/>
    </w:rPr>
  </w:style>
  <w:style w:type="paragraph" w:customStyle="1" w:styleId="311">
    <w:name w:val="（无样式）"/>
    <w:basedOn w:val="1"/>
    <w:qFormat/>
    <w:uiPriority w:val="0"/>
    <w:pPr>
      <w:numPr>
        <w:ilvl w:val="0"/>
        <w:numId w:val="5"/>
      </w:numPr>
      <w:spacing w:line="360" w:lineRule="auto"/>
      <w:ind w:firstLine="0"/>
      <w:textAlignment w:val="auto"/>
    </w:pPr>
    <w:rPr>
      <w:rFonts w:ascii="Times New Roman" w:hAnsi="Times New Roman"/>
      <w:color w:val="auto"/>
      <w:kern w:val="2"/>
      <w:sz w:val="24"/>
      <w:u w:val="none" w:color="auto"/>
    </w:rPr>
  </w:style>
  <w:style w:type="paragraph" w:customStyle="1" w:styleId="312">
    <w:name w:val="节标题"/>
    <w:basedOn w:val="1"/>
    <w:next w:val="1"/>
    <w:qFormat/>
    <w:uiPriority w:val="0"/>
    <w:pPr>
      <w:spacing w:line="289" w:lineRule="atLeast"/>
      <w:jc w:val="center"/>
    </w:pPr>
    <w:rPr>
      <w:sz w:val="28"/>
    </w:rPr>
  </w:style>
  <w:style w:type="paragraph" w:customStyle="1" w:styleId="313">
    <w:name w:val="Default Paragraph Font Para Char"/>
    <w:basedOn w:val="1"/>
    <w:qFormat/>
    <w:uiPriority w:val="0"/>
    <w:pPr>
      <w:spacing w:after="160" w:line="240" w:lineRule="exact"/>
      <w:jc w:val="left"/>
      <w:textAlignment w:val="auto"/>
    </w:pPr>
    <w:rPr>
      <w:rFonts w:ascii="Verdana" w:hAnsi="Verdana"/>
      <w:color w:val="auto"/>
      <w:sz w:val="20"/>
      <w:u w:val="none" w:color="auto"/>
      <w:lang w:eastAsia="en-US"/>
    </w:rPr>
  </w:style>
  <w:style w:type="paragraph" w:customStyle="1" w:styleId="314">
    <w:name w:val="style1"/>
    <w:basedOn w:val="1"/>
    <w:qFormat/>
    <w:uiPriority w:val="0"/>
    <w:pPr>
      <w:spacing w:before="100" w:beforeAutospacing="1" w:after="100" w:afterAutospacing="1" w:line="240" w:lineRule="auto"/>
      <w:jc w:val="left"/>
      <w:textAlignment w:val="auto"/>
    </w:pPr>
    <w:rPr>
      <w:rFonts w:ascii="Times" w:hAnsi="Times"/>
      <w:color w:val="auto"/>
      <w:sz w:val="20"/>
      <w:u w:val="none" w:color="auto"/>
    </w:rPr>
  </w:style>
  <w:style w:type="paragraph" w:customStyle="1" w:styleId="315">
    <w:name w:val="样式"/>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316">
    <w:name w:val="列表2"/>
    <w:basedOn w:val="1"/>
    <w:next w:val="1"/>
    <w:qFormat/>
    <w:uiPriority w:val="0"/>
    <w:pPr>
      <w:widowControl w:val="0"/>
      <w:numPr>
        <w:ilvl w:val="0"/>
        <w:numId w:val="6"/>
      </w:numPr>
      <w:spacing w:line="200" w:lineRule="atLeast"/>
      <w:textAlignment w:val="auto"/>
    </w:pPr>
    <w:rPr>
      <w:rFonts w:ascii="Times New Roman" w:hAnsi="Times New Roman" w:eastAsia="仿宋"/>
      <w:color w:val="auto"/>
      <w:kern w:val="2"/>
      <w:sz w:val="28"/>
      <w:szCs w:val="24"/>
      <w:u w:val="none" w:color="auto"/>
    </w:rPr>
  </w:style>
  <w:style w:type="paragraph" w:customStyle="1" w:styleId="317">
    <w:name w:val="_Style 5"/>
    <w:basedOn w:val="1"/>
    <w:qFormat/>
    <w:uiPriority w:val="34"/>
    <w:pPr>
      <w:ind w:firstLine="420" w:firstLineChars="200"/>
    </w:pPr>
    <w:rPr>
      <w:rFonts w:ascii="Calibri" w:hAnsi="Calibri"/>
      <w:szCs w:val="22"/>
    </w:rPr>
  </w:style>
  <w:style w:type="paragraph" w:customStyle="1" w:styleId="318">
    <w:name w:val="ullist1"/>
    <w:basedOn w:val="33"/>
    <w:qFormat/>
    <w:uiPriority w:val="0"/>
    <w:pPr>
      <w:spacing w:before="90" w:after="90"/>
      <w:ind w:left="1290" w:hanging="420"/>
    </w:pPr>
    <w:rPr>
      <w:sz w:val="24"/>
    </w:rPr>
  </w:style>
  <w:style w:type="paragraph" w:customStyle="1" w:styleId="319">
    <w:name w:val="D&amp;L"/>
    <w:basedOn w:val="30"/>
    <w:qFormat/>
    <w:uiPriority w:val="0"/>
    <w:pPr>
      <w:widowControl w:val="0"/>
      <w:pBdr>
        <w:bottom w:val="thinThickSmallGap" w:color="auto" w:sz="18" w:space="1"/>
      </w:pBdr>
      <w:adjustRightInd w:val="0"/>
      <w:snapToGrid/>
    </w:pPr>
    <w:rPr>
      <w:rFonts w:ascii="Calibri" w:hAnsi="Calibri"/>
      <w:color w:val="auto"/>
      <w:sz w:val="24"/>
      <w:szCs w:val="20"/>
      <w:u w:val="none" w:color="auto"/>
    </w:rPr>
  </w:style>
  <w:style w:type="paragraph" w:customStyle="1" w:styleId="320">
    <w:name w:val="p"/>
    <w:basedOn w:val="1"/>
    <w:qFormat/>
    <w:uiPriority w:val="0"/>
    <w:pPr>
      <w:spacing w:before="100" w:beforeAutospacing="1" w:after="100" w:afterAutospacing="1" w:line="240" w:lineRule="auto"/>
      <w:jc w:val="left"/>
      <w:textAlignment w:val="auto"/>
    </w:pPr>
    <w:rPr>
      <w:rFonts w:ascii="宋体" w:hAnsi="宋体" w:cs="宋体"/>
      <w:color w:val="auto"/>
      <w:sz w:val="24"/>
      <w:szCs w:val="24"/>
      <w:u w:val="none" w:color="auto"/>
    </w:rPr>
  </w:style>
  <w:style w:type="paragraph" w:customStyle="1" w:styleId="321">
    <w:name w:val="Table Paragraph"/>
    <w:basedOn w:val="1"/>
    <w:qFormat/>
    <w:uiPriority w:val="1"/>
  </w:style>
  <w:style w:type="paragraph" w:customStyle="1" w:styleId="322">
    <w:name w:val="Body Text First Indent 2"/>
    <w:basedOn w:val="285"/>
    <w:qFormat/>
    <w:uiPriority w:val="0"/>
    <w:pPr>
      <w:ind w:firstLine="420" w:firstLineChars="200"/>
    </w:pPr>
  </w:style>
  <w:style w:type="paragraph" w:customStyle="1" w:styleId="323">
    <w:name w:val="&quot;msonormal&quot;"/>
    <w:basedOn w:val="1"/>
    <w:qFormat/>
    <w:uiPriority w:val="0"/>
    <w:pPr>
      <w:spacing w:before="100" w:beforeAutospacing="1" w:after="100" w:afterAutospacing="1" w:line="240" w:lineRule="auto"/>
      <w:jc w:val="left"/>
      <w:textAlignment w:val="auto"/>
    </w:pPr>
    <w:rPr>
      <w:rFonts w:ascii="宋体" w:hAnsi="宋体" w:cs="宋体"/>
      <w:color w:val="auto"/>
      <w:sz w:val="24"/>
      <w:szCs w:val="24"/>
      <w:u w:val="none" w:color="auto"/>
    </w:rPr>
  </w:style>
  <w:style w:type="paragraph" w:customStyle="1" w:styleId="324">
    <w:name w:val="_Style 322"/>
    <w:basedOn w:val="6"/>
    <w:next w:val="1"/>
    <w:qFormat/>
    <w:uiPriority w:val="0"/>
    <w:pPr>
      <w:keepLines/>
      <w:tabs>
        <w:tab w:val="clear" w:pos="432"/>
      </w:tabs>
      <w:spacing w:before="240" w:line="259" w:lineRule="auto"/>
      <w:ind w:left="0" w:firstLine="0"/>
      <w:jc w:val="left"/>
      <w:outlineLvl w:val="9"/>
    </w:pPr>
    <w:rPr>
      <w:rFonts w:ascii="Cambria" w:hAnsi="Cambria" w:eastAsia="宋体"/>
      <w:color w:val="365F91"/>
      <w:sz w:val="32"/>
      <w:szCs w:val="32"/>
    </w:rPr>
  </w:style>
  <w:style w:type="paragraph" w:customStyle="1" w:styleId="325">
    <w:name w:val="正文文字2"/>
    <w:basedOn w:val="21"/>
    <w:qFormat/>
    <w:uiPriority w:val="0"/>
    <w:pPr>
      <w:adjustRightInd w:val="0"/>
      <w:snapToGrid/>
      <w:spacing w:after="60" w:line="360" w:lineRule="atLeast"/>
      <w:ind w:left="72" w:leftChars="30" w:right="72" w:rightChars="30"/>
      <w:jc w:val="center"/>
    </w:pPr>
    <w:rPr>
      <w:rFonts w:hAnsi="Times New Roman" w:eastAsia="黑体"/>
      <w:color w:val="auto"/>
      <w:sz w:val="21"/>
      <w:u w:val="none" w:color="auto"/>
    </w:rPr>
  </w:style>
  <w:style w:type="paragraph" w:customStyle="1" w:styleId="326">
    <w:name w:val="_Style 3"/>
    <w:basedOn w:val="1"/>
    <w:qFormat/>
    <w:uiPriority w:val="34"/>
    <w:pPr>
      <w:ind w:firstLine="420" w:firstLineChars="200"/>
    </w:pPr>
    <w:rPr>
      <w:rFonts w:ascii="Calibri" w:hAnsi="Calibri"/>
      <w:szCs w:val="22"/>
    </w:rPr>
  </w:style>
  <w:style w:type="paragraph" w:customStyle="1" w:styleId="32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328">
    <w:name w:val="列表段落1"/>
    <w:basedOn w:val="1"/>
    <w:qFormat/>
    <w:uiPriority w:val="0"/>
    <w:pPr>
      <w:widowControl w:val="0"/>
      <w:spacing w:line="360" w:lineRule="auto"/>
      <w:ind w:firstLine="420"/>
      <w:textAlignment w:val="auto"/>
    </w:pPr>
    <w:rPr>
      <w:rFonts w:ascii="Times New Roman" w:hAnsi="Times New Roman"/>
      <w:kern w:val="2"/>
      <w:sz w:val="24"/>
      <w:szCs w:val="21"/>
      <w:u w:val="none" w:color="auto"/>
    </w:rPr>
  </w:style>
  <w:style w:type="paragraph" w:customStyle="1" w:styleId="329">
    <w:name w:val="_Style 4"/>
    <w:basedOn w:val="1"/>
    <w:qFormat/>
    <w:uiPriority w:val="0"/>
    <w:pPr>
      <w:widowControl w:val="0"/>
      <w:adjustRightInd w:val="0"/>
      <w:spacing w:line="240" w:lineRule="auto"/>
      <w:ind w:firstLine="420" w:firstLineChars="200"/>
      <w:jc w:val="left"/>
    </w:pPr>
    <w:rPr>
      <w:rFonts w:ascii="Times New Roman" w:hAnsi="Times New Roman"/>
      <w:color w:val="auto"/>
      <w:u w:val="none" w:color="auto"/>
    </w:rPr>
  </w:style>
  <w:style w:type="paragraph" w:customStyle="1" w:styleId="330">
    <w:name w:val="msonormal paragraphindent"/>
    <w:basedOn w:val="1"/>
    <w:qFormat/>
    <w:uiPriority w:val="0"/>
    <w:pPr>
      <w:spacing w:line="240" w:lineRule="auto"/>
      <w:jc w:val="left"/>
      <w:textAlignment w:val="auto"/>
    </w:pPr>
    <w:rPr>
      <w:rFonts w:ascii="宋体" w:hAnsi="宋体" w:cs="宋体"/>
      <w:color w:val="auto"/>
      <w:sz w:val="18"/>
      <w:szCs w:val="18"/>
      <w:u w:val="none" w:color="auto"/>
    </w:rPr>
  </w:style>
  <w:style w:type="paragraph" w:customStyle="1" w:styleId="331">
    <w:name w:val="1 Char Char Char Char"/>
    <w:basedOn w:val="1"/>
    <w:qFormat/>
    <w:uiPriority w:val="0"/>
    <w:pPr>
      <w:widowControl w:val="0"/>
      <w:spacing w:after="160" w:line="240" w:lineRule="exact"/>
      <w:textAlignment w:val="auto"/>
    </w:pPr>
    <w:rPr>
      <w:color w:val="auto"/>
      <w:kern w:val="2"/>
      <w:szCs w:val="24"/>
      <w:u w:val="none" w:color="auto"/>
    </w:rPr>
  </w:style>
  <w:style w:type="paragraph" w:customStyle="1" w:styleId="332">
    <w:name w:val="列出段落2"/>
    <w:basedOn w:val="1"/>
    <w:qFormat/>
    <w:uiPriority w:val="34"/>
    <w:pPr>
      <w:ind w:firstLine="420" w:firstLineChars="200"/>
    </w:pPr>
  </w:style>
  <w:style w:type="paragraph" w:customStyle="1" w:styleId="333">
    <w:name w:val="正文缩进1"/>
    <w:basedOn w:val="1"/>
    <w:next w:val="18"/>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334">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5">
    <w:name w:val="Plain Text"/>
    <w:basedOn w:val="1"/>
    <w:qFormat/>
    <w:uiPriority w:val="0"/>
    <w:pPr>
      <w:adjustRightInd w:val="0"/>
    </w:pPr>
    <w:rPr>
      <w:rFonts w:ascii="宋体" w:hAnsi="Courier New" w:eastAsia="楷体_GB2312"/>
      <w:sz w:val="28"/>
    </w:rPr>
  </w:style>
  <w:style w:type="paragraph" w:customStyle="1" w:styleId="336">
    <w:name w:val="标题3-副本"/>
    <w:basedOn w:val="32"/>
    <w:qFormat/>
    <w:uiPriority w:val="0"/>
    <w:pPr>
      <w:numPr>
        <w:ilvl w:val="0"/>
        <w:numId w:val="0"/>
      </w:numPr>
      <w:ind w:left="840"/>
    </w:pPr>
  </w:style>
  <w:style w:type="paragraph" w:customStyle="1" w:styleId="337">
    <w:name w:val="Char Char Char Char Char Char"/>
    <w:basedOn w:val="1"/>
    <w:qFormat/>
    <w:uiPriority w:val="0"/>
    <w:pPr>
      <w:widowControl w:val="0"/>
      <w:spacing w:line="240" w:lineRule="auto"/>
      <w:textAlignment w:val="auto"/>
    </w:pPr>
    <w:rPr>
      <w:color w:val="auto"/>
      <w:kern w:val="2"/>
      <w:szCs w:val="21"/>
    </w:rPr>
  </w:style>
  <w:style w:type="paragraph" w:customStyle="1" w:styleId="338">
    <w:name w:val="Char Char Char Char Char Char Char"/>
    <w:basedOn w:val="1"/>
    <w:qFormat/>
    <w:uiPriority w:val="0"/>
    <w:pPr>
      <w:widowControl w:val="0"/>
      <w:tabs>
        <w:tab w:val="left" w:pos="432"/>
      </w:tabs>
      <w:spacing w:line="240" w:lineRule="auto"/>
      <w:ind w:left="432" w:hanging="432"/>
      <w:textAlignment w:val="auto"/>
    </w:pPr>
    <w:rPr>
      <w:rFonts w:ascii="Tahoma" w:hAnsi="Tahoma"/>
      <w:color w:val="auto"/>
      <w:kern w:val="2"/>
      <w:sz w:val="24"/>
      <w:u w:val="none" w:color="auto"/>
    </w:rPr>
  </w:style>
  <w:style w:type="paragraph" w:customStyle="1" w:styleId="339">
    <w:name w:val="Biao00"/>
    <w:qFormat/>
    <w:uiPriority w:val="0"/>
    <w:pPr>
      <w:widowControl w:val="0"/>
      <w:spacing w:line="0" w:lineRule="atLeast"/>
      <w:jc w:val="center"/>
    </w:pPr>
    <w:rPr>
      <w:rFonts w:ascii="Arial" w:hAnsi="Arial" w:eastAsia="仿宋_GB2312" w:cs="Times New Roman"/>
      <w:bCs/>
      <w:w w:val="90"/>
      <w:kern w:val="18"/>
      <w:sz w:val="24"/>
      <w:szCs w:val="24"/>
      <w:lang w:val="en-US" w:eastAsia="zh-CN" w:bidi="ar-SA"/>
    </w:rPr>
  </w:style>
  <w:style w:type="paragraph" w:customStyle="1" w:styleId="340">
    <w:name w:val="标题4"/>
    <w:basedOn w:val="1"/>
    <w:qFormat/>
    <w:uiPriority w:val="0"/>
    <w:pPr>
      <w:widowControl w:val="0"/>
      <w:numPr>
        <w:ilvl w:val="0"/>
        <w:numId w:val="7"/>
      </w:numPr>
      <w:spacing w:line="360" w:lineRule="auto"/>
      <w:ind w:left="720" w:leftChars="300"/>
      <w:jc w:val="left"/>
      <w:textAlignment w:val="auto"/>
    </w:pPr>
    <w:rPr>
      <w:rFonts w:ascii="宋体" w:hAnsi="宋体"/>
      <w:color w:val="auto"/>
      <w:kern w:val="2"/>
      <w:sz w:val="18"/>
      <w:szCs w:val="18"/>
      <w:u w:val="none" w:color="auto"/>
    </w:rPr>
  </w:style>
  <w:style w:type="table" w:customStyle="1" w:styleId="341">
    <w:name w:val="Table Normal"/>
    <w:unhideWhenUsed/>
    <w:qFormat/>
    <w:uiPriority w:val="2"/>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21173</Words>
  <Characters>22419</Characters>
  <Lines>268</Lines>
  <Paragraphs>75</Paragraphs>
  <TotalTime>8</TotalTime>
  <ScaleCrop>false</ScaleCrop>
  <LinksUpToDate>false</LinksUpToDate>
  <CharactersWithSpaces>24234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2022-08-02T09:59:00Z</dcterms:created>
  <dc:creator>Administrator</dc:creator>
  <cp:lastModifiedBy>好奇害死汪</cp:lastModifiedBy>
  <cp:lastPrinted>2023-12-19T01:42:00Z</cp:lastPrinted>
  <dcterms:modified xsi:type="dcterms:W3CDTF">2023-12-20T01:56:42Z</dcterms:modified>
  <dc:subject>(代理机构名称）作者名称</dc:subject>
  <dc:title>项目编号：MASCG-HD2011030</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B29F651A61B04C198D9E9C8841B5302E_13</vt:lpwstr>
  </property>
</Properties>
</file>