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方正小标宋简体"/>
          <w:b/>
          <w:bCs/>
          <w:color w:val="000000"/>
          <w:sz w:val="44"/>
          <w:szCs w:val="44"/>
        </w:rPr>
      </w:pPr>
      <w:r>
        <w:rPr>
          <w:rFonts w:hint="eastAsia" w:ascii="宋体" w:hAnsi="宋体" w:cs="方正小标宋简体"/>
          <w:b/>
          <w:bCs/>
          <w:color w:val="000000"/>
          <w:sz w:val="44"/>
          <w:szCs w:val="44"/>
        </w:rPr>
        <w:t>滁州大剧院监控中心及新生路停车场道闸迁移服务采购项目</w:t>
      </w:r>
      <w:r>
        <w:rPr>
          <w:rFonts w:hint="eastAsia" w:ascii="宋体" w:hAnsi="宋体" w:cs="方正小标宋简体"/>
          <w:b/>
          <w:bCs/>
          <w:color w:val="000000"/>
          <w:sz w:val="44"/>
          <w:szCs w:val="44"/>
          <w:lang w:eastAsia="zh-CN"/>
        </w:rPr>
        <w:t>（</w:t>
      </w:r>
      <w:r>
        <w:rPr>
          <w:rFonts w:hint="eastAsia" w:ascii="宋体" w:hAnsi="宋体" w:cs="方正小标宋简体"/>
          <w:b/>
          <w:bCs/>
          <w:color w:val="000000"/>
          <w:sz w:val="44"/>
          <w:szCs w:val="44"/>
          <w:lang w:val="en-US" w:eastAsia="zh-CN"/>
        </w:rPr>
        <w:t>三次</w:t>
      </w:r>
      <w:r>
        <w:rPr>
          <w:rFonts w:hint="eastAsia" w:ascii="宋体" w:hAnsi="宋体" w:cs="方正小标宋简体"/>
          <w:b/>
          <w:bCs/>
          <w:color w:val="000000"/>
          <w:sz w:val="44"/>
          <w:szCs w:val="44"/>
          <w:lang w:eastAsia="zh-CN"/>
        </w:rPr>
        <w:t>）</w:t>
      </w:r>
      <w:r>
        <w:rPr>
          <w:rFonts w:hint="eastAsia" w:ascii="宋体" w:hAnsi="宋体" w:cs="方正小标宋简体"/>
          <w:b/>
          <w:bCs/>
          <w:color w:val="000000"/>
          <w:sz w:val="44"/>
          <w:szCs w:val="44"/>
        </w:rPr>
        <w:t>招标文件</w:t>
      </w:r>
    </w:p>
    <w:p>
      <w:pPr>
        <w:pStyle w:val="16"/>
        <w:ind w:left="0" w:leftChars="0" w:firstLine="640" w:firstLineChars="200"/>
        <w:rPr>
          <w:rFonts w:ascii="仿宋" w:hAnsi="仿宋" w:eastAsia="仿宋"/>
        </w:rPr>
      </w:pPr>
    </w:p>
    <w:p>
      <w:pPr>
        <w:pStyle w:val="16"/>
        <w:ind w:left="0" w:leftChars="0" w:firstLine="640" w:firstLineChars="200"/>
        <w:rPr>
          <w:rFonts w:ascii="仿宋" w:hAnsi="仿宋" w:eastAsia="仿宋"/>
        </w:rPr>
      </w:pPr>
      <w:r>
        <w:rPr>
          <w:rFonts w:hint="eastAsia" w:ascii="仿宋" w:hAnsi="仿宋" w:eastAsia="仿宋"/>
        </w:rPr>
        <w:t>滁州市城泊车辆服务有限公司所属滁州大剧院监控中心及新生路停车场道闸迁移服务采购项目</w:t>
      </w:r>
      <w:r>
        <w:rPr>
          <w:rFonts w:hint="eastAsia" w:ascii="仿宋" w:hAnsi="仿宋" w:eastAsia="仿宋"/>
          <w:lang w:eastAsia="zh-CN"/>
        </w:rPr>
        <w:t>（</w:t>
      </w:r>
      <w:r>
        <w:rPr>
          <w:rFonts w:hint="eastAsia" w:ascii="仿宋" w:hAnsi="仿宋" w:eastAsia="仿宋"/>
          <w:lang w:val="en-US" w:eastAsia="zh-CN"/>
        </w:rPr>
        <w:t>三次</w:t>
      </w:r>
      <w:r>
        <w:rPr>
          <w:rFonts w:hint="eastAsia" w:ascii="仿宋" w:hAnsi="仿宋" w:eastAsia="仿宋"/>
          <w:lang w:eastAsia="zh-CN"/>
        </w:rPr>
        <w:t>）</w:t>
      </w:r>
      <w:r>
        <w:rPr>
          <w:rFonts w:hint="eastAsia" w:ascii="仿宋" w:hAnsi="仿宋" w:eastAsia="仿宋"/>
        </w:rPr>
        <w:t>的潜在投标人可在中国扬子集团网站（http://www.yangzigroup.cn/）或滁州市工投公司公众号获取招标文件。</w:t>
      </w:r>
    </w:p>
    <w:p>
      <w:pPr>
        <w:pStyle w:val="16"/>
        <w:ind w:left="0" w:leftChars="0" w:firstLine="643" w:firstLineChars="200"/>
        <w:rPr>
          <w:b/>
          <w:bCs/>
        </w:rPr>
      </w:pPr>
      <w:r>
        <w:rPr>
          <w:rFonts w:hint="eastAsia"/>
          <w:b/>
          <w:bCs/>
        </w:rPr>
        <w:t>一、项目基本情况</w:t>
      </w:r>
    </w:p>
    <w:p>
      <w:pPr>
        <w:pStyle w:val="16"/>
        <w:ind w:left="0" w:leftChars="0" w:firstLine="640" w:firstLineChars="200"/>
        <w:rPr>
          <w:rFonts w:ascii="仿宋" w:hAnsi="仿宋" w:eastAsia="仿宋"/>
        </w:rPr>
      </w:pPr>
      <w:r>
        <w:rPr>
          <w:rFonts w:hint="eastAsia" w:ascii="仿宋" w:hAnsi="仿宋" w:eastAsia="仿宋"/>
        </w:rPr>
        <w:t>项目名称：滁州大剧院监控中心及新生路停车场道闸迁移服务采购项目</w:t>
      </w:r>
      <w:r>
        <w:rPr>
          <w:rFonts w:hint="eastAsia" w:ascii="仿宋" w:hAnsi="仿宋" w:eastAsia="仿宋"/>
          <w:lang w:eastAsia="zh-CN"/>
        </w:rPr>
        <w:t>（</w:t>
      </w:r>
      <w:r>
        <w:rPr>
          <w:rFonts w:hint="eastAsia" w:ascii="仿宋" w:hAnsi="仿宋" w:eastAsia="仿宋"/>
          <w:lang w:val="en-US" w:eastAsia="zh-CN"/>
        </w:rPr>
        <w:t>三次</w:t>
      </w:r>
      <w:r>
        <w:rPr>
          <w:rFonts w:hint="eastAsia" w:ascii="仿宋" w:hAnsi="仿宋" w:eastAsia="仿宋"/>
          <w:lang w:eastAsia="zh-CN"/>
        </w:rPr>
        <w:t>）</w:t>
      </w:r>
      <w:r>
        <w:rPr>
          <w:rFonts w:hint="eastAsia" w:ascii="仿宋" w:hAnsi="仿宋" w:eastAsia="仿宋"/>
        </w:rPr>
        <w:t>。</w:t>
      </w:r>
    </w:p>
    <w:p>
      <w:pPr>
        <w:pStyle w:val="16"/>
        <w:ind w:left="0" w:leftChars="0" w:firstLine="640" w:firstLineChars="200"/>
        <w:rPr>
          <w:rFonts w:ascii="仿宋" w:hAnsi="仿宋" w:eastAsia="仿宋"/>
        </w:rPr>
      </w:pPr>
      <w:r>
        <w:rPr>
          <w:rFonts w:hint="eastAsia" w:ascii="仿宋" w:hAnsi="仿宋" w:eastAsia="仿宋"/>
        </w:rPr>
        <w:t>总预算：</w:t>
      </w:r>
      <w:r>
        <w:rPr>
          <w:rFonts w:ascii="仿宋" w:hAnsi="仿宋" w:eastAsia="仿宋"/>
        </w:rPr>
        <w:t>15000</w:t>
      </w:r>
      <w:r>
        <w:rPr>
          <w:rFonts w:hint="eastAsia" w:ascii="仿宋" w:hAnsi="仿宋" w:eastAsia="仿宋"/>
        </w:rPr>
        <w:t>元（含税）。</w:t>
      </w:r>
    </w:p>
    <w:p>
      <w:pPr>
        <w:pStyle w:val="16"/>
        <w:ind w:left="0" w:leftChars="0" w:firstLine="640" w:firstLineChars="200"/>
        <w:rPr>
          <w:rFonts w:ascii="仿宋" w:hAnsi="仿宋" w:eastAsia="仿宋"/>
        </w:rPr>
      </w:pPr>
      <w:r>
        <w:rPr>
          <w:rFonts w:hint="eastAsia" w:ascii="仿宋" w:hAnsi="仿宋" w:eastAsia="仿宋"/>
        </w:rPr>
        <w:t>最高限价：</w:t>
      </w:r>
      <w:r>
        <w:rPr>
          <w:rFonts w:ascii="仿宋" w:hAnsi="仿宋" w:eastAsia="仿宋"/>
        </w:rPr>
        <w:t>15000</w:t>
      </w:r>
      <w:r>
        <w:rPr>
          <w:rFonts w:hint="eastAsia" w:ascii="仿宋" w:hAnsi="仿宋" w:eastAsia="仿宋"/>
        </w:rPr>
        <w:t>元（含税），高于最高投标限价的，按无效标处理。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项目概况：位于大剧院地下停车场内的监控中心需要迁移至扬子宾馆停车场内的管理用房。监控中心建于2</w:t>
      </w:r>
      <w:r>
        <w:rPr>
          <w:rFonts w:ascii="仿宋" w:hAnsi="仿宋" w:eastAsia="仿宋"/>
          <w:sz w:val="32"/>
          <w:szCs w:val="32"/>
        </w:rPr>
        <w:t>019</w:t>
      </w:r>
      <w:r>
        <w:rPr>
          <w:rFonts w:hint="eastAsia" w:ascii="仿宋" w:hAnsi="仿宋" w:eastAsia="仿宋"/>
          <w:sz w:val="32"/>
          <w:szCs w:val="32"/>
        </w:rPr>
        <w:t>年，目前在用视频监控约</w:t>
      </w:r>
      <w:r>
        <w:rPr>
          <w:rFonts w:ascii="仿宋" w:hAnsi="仿宋" w:eastAsia="仿宋"/>
          <w:sz w:val="32"/>
          <w:szCs w:val="32"/>
        </w:rPr>
        <w:t>200</w:t>
      </w:r>
      <w:r>
        <w:rPr>
          <w:rFonts w:hint="eastAsia" w:ascii="仿宋" w:hAnsi="仿宋" w:eastAsia="仿宋"/>
          <w:sz w:val="32"/>
          <w:szCs w:val="32"/>
        </w:rPr>
        <w:t>路，网络设备、服务器、监控屏幕、电脑、办公设备若干。因业务特殊性，电话、视频等业务无法停顿，要求迁移过程做到切换不间断、业务不停顿、用户无感知。同时在迁移方案设计和实施中利用现有设备，优化精简原有网络和视频架构，降低后期使用故障率等风险。</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新生路停车场道闸迁移改造，需拆除出入口道闸对出口进行封闭，将设备迁移至原入口处，重做进出口设备安全岛，安装道闸等设备并调试运行。</w:t>
      </w:r>
    </w:p>
    <w:p>
      <w:pPr>
        <w:pStyle w:val="16"/>
        <w:ind w:left="0" w:leftChars="0" w:firstLine="643" w:firstLineChars="200"/>
        <w:rPr>
          <w:b/>
          <w:bCs/>
        </w:rPr>
      </w:pPr>
      <w:r>
        <w:rPr>
          <w:rFonts w:hint="eastAsia"/>
          <w:b/>
          <w:bCs/>
        </w:rPr>
        <w:t>二、投标人资质要求</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6"/>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本项目不接受联合体投标。</w:t>
      </w:r>
    </w:p>
    <w:p>
      <w:pPr>
        <w:pStyle w:val="16"/>
        <w:ind w:left="0" w:leftChars="0" w:firstLine="640" w:firstLineChars="200"/>
        <w:rPr>
          <w:rFonts w:ascii="仿宋" w:hAnsi="仿宋" w:eastAsia="仿宋"/>
        </w:rPr>
      </w:pPr>
      <w:r>
        <w:rPr>
          <w:rFonts w:hint="eastAsia" w:ascii="仿宋" w:hAnsi="仿宋" w:eastAsia="仿宋"/>
        </w:rPr>
        <w:t>3. 投标人信誉要求：投标人不得存在以下情形且需提供相关证明材料和承诺书。</w:t>
      </w:r>
    </w:p>
    <w:p>
      <w:pPr>
        <w:pStyle w:val="16"/>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6"/>
        <w:ind w:left="0" w:leftChars="0" w:firstLine="640" w:firstLineChars="200"/>
        <w:rPr>
          <w:rFonts w:ascii="仿宋" w:hAnsi="仿宋" w:eastAsia="仿宋"/>
        </w:rPr>
      </w:pPr>
      <w:r>
        <w:rPr>
          <w:rFonts w:hint="eastAsia" w:ascii="仿宋" w:hAnsi="仿宋" w:eastAsia="仿宋"/>
        </w:rPr>
        <w:t>②投标人或其法定代表人或拟派项目经理（项目负责人）前三年有行贿犯罪行为的；</w:t>
      </w:r>
    </w:p>
    <w:p>
      <w:pPr>
        <w:pStyle w:val="16"/>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6"/>
        <w:ind w:left="0" w:leftChars="0" w:firstLine="640" w:firstLineChars="200"/>
        <w:rPr>
          <w:rFonts w:ascii="仿宋" w:hAnsi="仿宋" w:eastAsia="仿宋"/>
        </w:rPr>
      </w:pPr>
      <w:r>
        <w:rPr>
          <w:rFonts w:hint="eastAsia" w:ascii="仿宋" w:hAnsi="仿宋" w:eastAsia="仿宋"/>
        </w:rPr>
        <w:t>④投标人被税务部门列入重大税收违法案件当事人的；</w:t>
      </w:r>
    </w:p>
    <w:p>
      <w:pPr>
        <w:pStyle w:val="16"/>
        <w:ind w:left="0" w:leftChars="0" w:firstLine="640" w:firstLineChars="200"/>
        <w:rPr>
          <w:rFonts w:ascii="仿宋" w:hAnsi="仿宋" w:eastAsia="仿宋"/>
        </w:rPr>
      </w:pPr>
      <w:r>
        <w:rPr>
          <w:rFonts w:hint="eastAsia" w:ascii="仿宋" w:hAnsi="仿宋" w:eastAsia="仿宋"/>
        </w:rPr>
        <w:t>⑤投标人被政府采购监管部门列入政府采购严重违法失信行为记录名单的；</w:t>
      </w:r>
    </w:p>
    <w:p>
      <w:pPr>
        <w:pStyle w:val="16"/>
        <w:ind w:left="0" w:leftChars="0" w:firstLine="640" w:firstLineChars="200"/>
        <w:rPr>
          <w:rFonts w:ascii="仿宋" w:hAnsi="仿宋" w:eastAsia="仿宋"/>
        </w:rPr>
      </w:pPr>
      <w:r>
        <w:rPr>
          <w:rFonts w:hint="eastAsia" w:ascii="仿宋" w:hAnsi="仿宋" w:eastAsia="仿宋"/>
        </w:rPr>
        <w:t>⑥在“信用中国”网站上披露仍在公示期的严重失信行为的；</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、投标人所属分公司、办事处等分支机构存在第2款信誉要求①-⑥项情形之一的，接受投标人参加本项目。</w:t>
      </w:r>
    </w:p>
    <w:p>
      <w:pPr>
        <w:pStyle w:val="16"/>
        <w:ind w:left="0" w:leftChars="0" w:firstLine="640" w:firstLineChars="200"/>
        <w:rPr>
          <w:rFonts w:ascii="仿宋" w:hAnsi="仿宋" w:eastAsia="仿宋"/>
        </w:rPr>
      </w:pPr>
      <w:r>
        <w:rPr>
          <w:rFonts w:hint="eastAsia" w:ascii="仿宋" w:hAnsi="仿宋" w:eastAsia="仿宋"/>
        </w:rPr>
        <w:t>备注：第2、3条按照“关于联合惩戒失信行为加强信用查询管理的通知”查询或承诺。</w:t>
      </w:r>
    </w:p>
    <w:p>
      <w:pPr>
        <w:pStyle w:val="16"/>
        <w:ind w:left="0" w:leftChars="0" w:firstLine="643" w:firstLineChars="200"/>
        <w:rPr>
          <w:b/>
          <w:bCs/>
        </w:rPr>
      </w:pPr>
      <w:r>
        <w:rPr>
          <w:rFonts w:hint="eastAsia"/>
          <w:b/>
          <w:bCs/>
        </w:rPr>
        <w:t>三、迁移技术要求</w:t>
      </w:r>
    </w:p>
    <w:p>
      <w:pPr>
        <w:ind w:firstLine="640" w:firstLineChars="200"/>
        <w:rPr>
          <w:rFonts w:ascii="仿宋" w:hAnsi="仿宋" w:eastAsia="仿宋"/>
          <w:sz w:val="32"/>
          <w:szCs w:val="32"/>
        </w:rPr>
      </w:pPr>
      <w:r>
        <w:rPr>
          <w:rFonts w:hint="eastAsia" w:ascii="仿宋" w:hAnsi="仿宋" w:eastAsia="仿宋"/>
          <w:sz w:val="32"/>
          <w:szCs w:val="32"/>
        </w:rPr>
        <w:t>（一）迁移要求</w:t>
      </w:r>
    </w:p>
    <w:p>
      <w:pPr>
        <w:ind w:firstLine="640" w:firstLineChars="200"/>
        <w:rPr>
          <w:rFonts w:ascii="仿宋" w:hAnsi="仿宋" w:eastAsia="仿宋"/>
          <w:sz w:val="32"/>
          <w:szCs w:val="32"/>
        </w:rPr>
      </w:pPr>
      <w:r>
        <w:rPr>
          <w:rFonts w:hint="eastAsia" w:ascii="仿宋" w:hAnsi="仿宋" w:eastAsia="仿宋"/>
          <w:sz w:val="32"/>
          <w:szCs w:val="32"/>
        </w:rPr>
        <w:t>1、实现无间断迁移，即各监控画面不可在新老监控中心中断超过1</w:t>
      </w:r>
      <w:r>
        <w:rPr>
          <w:rFonts w:ascii="仿宋" w:hAnsi="仿宋" w:eastAsia="仿宋"/>
          <w:sz w:val="32"/>
          <w:szCs w:val="32"/>
        </w:rPr>
        <w:t>0</w:t>
      </w:r>
      <w:r>
        <w:rPr>
          <w:rFonts w:hint="eastAsia" w:ascii="仿宋" w:hAnsi="仿宋" w:eastAsia="仿宋"/>
          <w:sz w:val="32"/>
          <w:szCs w:val="32"/>
        </w:rPr>
        <w:t>分钟。</w:t>
      </w:r>
    </w:p>
    <w:p>
      <w:pPr>
        <w:ind w:firstLine="640" w:firstLineChars="200"/>
        <w:rPr>
          <w:rFonts w:ascii="仿宋" w:hAnsi="仿宋" w:eastAsia="仿宋"/>
          <w:sz w:val="32"/>
          <w:szCs w:val="32"/>
        </w:rPr>
      </w:pPr>
      <w:r>
        <w:rPr>
          <w:rFonts w:hint="eastAsia" w:ascii="仿宋" w:hAnsi="仿宋" w:eastAsia="仿宋"/>
          <w:sz w:val="32"/>
          <w:szCs w:val="32"/>
        </w:rPr>
        <w:t>2、为满足无间断迁移要求，所需要的设施设备及相关备件由中标方提供，迁移动作自开始至完成时间不超过2</w:t>
      </w:r>
      <w:r>
        <w:rPr>
          <w:rFonts w:ascii="仿宋" w:hAnsi="仿宋" w:eastAsia="仿宋"/>
          <w:sz w:val="32"/>
          <w:szCs w:val="32"/>
        </w:rPr>
        <w:t>4</w:t>
      </w:r>
      <w:r>
        <w:rPr>
          <w:rFonts w:hint="eastAsia" w:ascii="仿宋" w:hAnsi="仿宋" w:eastAsia="仿宋"/>
          <w:sz w:val="32"/>
          <w:szCs w:val="32"/>
        </w:rPr>
        <w:t>小时。</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、所有迁移设备必须做好张贴标识标签工作，搬迁前制定进度计划表，经招标单位审核通过后，按业务类别和业务重要性、分阶段进行搬迁、调试、测试。</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、搬迁结束后提供网络布线图和相关设备的功能说明材料。</w:t>
      </w:r>
    </w:p>
    <w:p>
      <w:pPr>
        <w:ind w:firstLine="640" w:firstLineChars="200"/>
        <w:rPr>
          <w:rFonts w:ascii="仿宋" w:hAnsi="仿宋" w:eastAsia="仿宋"/>
          <w:sz w:val="32"/>
          <w:szCs w:val="32"/>
        </w:rPr>
      </w:pPr>
      <w:r>
        <w:rPr>
          <w:rFonts w:hint="eastAsia" w:ascii="仿宋" w:hAnsi="仿宋" w:eastAsia="仿宋"/>
          <w:sz w:val="32"/>
          <w:szCs w:val="32"/>
        </w:rPr>
        <w:t>（二）搬迁准备条件</w:t>
      </w:r>
    </w:p>
    <w:p>
      <w:pPr>
        <w:ind w:firstLine="640" w:firstLineChars="200"/>
        <w:rPr>
          <w:rFonts w:ascii="仿宋" w:hAnsi="仿宋" w:eastAsia="仿宋"/>
          <w:sz w:val="32"/>
          <w:szCs w:val="32"/>
        </w:rPr>
      </w:pPr>
      <w:r>
        <w:rPr>
          <w:rFonts w:hint="eastAsia" w:ascii="仿宋" w:hAnsi="仿宋" w:eastAsia="仿宋"/>
          <w:sz w:val="32"/>
          <w:szCs w:val="32"/>
        </w:rPr>
        <w:t>1、评估新监控中心所需带宽，开通互联网专线1条用于搭建全新VPN网关或者网络优化，搭建完成且顺利通过测试。</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、老监控中心利用现有专线搭建1条链路与新监控中心连接，用于传输已完成迁移点位的图像至老监控中心。</w:t>
      </w:r>
    </w:p>
    <w:p>
      <w:pPr>
        <w:ind w:firstLine="640" w:firstLineChars="200"/>
        <w:rPr>
          <w:rFonts w:ascii="仿宋" w:hAnsi="仿宋" w:eastAsia="仿宋"/>
          <w:sz w:val="32"/>
          <w:szCs w:val="32"/>
        </w:rPr>
      </w:pPr>
      <w:r>
        <w:rPr>
          <w:rFonts w:hint="eastAsia" w:ascii="仿宋" w:hAnsi="仿宋" w:eastAsia="仿宋"/>
          <w:sz w:val="32"/>
          <w:szCs w:val="32"/>
        </w:rPr>
        <w:t>3、迁移所需的笔记本电脑、串口线、车辆及人员。</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、现有涉及到网络设备及监控设备的账号密码。</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、交付前端点位机房位置及房门钥匙或门禁密码。</w:t>
      </w:r>
    </w:p>
    <w:p>
      <w:pPr>
        <w:ind w:firstLine="640" w:firstLineChars="200"/>
        <w:rPr>
          <w:rFonts w:ascii="仿宋" w:hAnsi="仿宋" w:eastAsia="仿宋"/>
          <w:sz w:val="32"/>
          <w:szCs w:val="32"/>
        </w:rPr>
      </w:pPr>
      <w:r>
        <w:rPr>
          <w:rFonts w:hint="eastAsia" w:ascii="仿宋" w:hAnsi="仿宋" w:eastAsia="仿宋"/>
          <w:sz w:val="32"/>
          <w:szCs w:val="32"/>
        </w:rPr>
        <w:t>（三）搬迁步骤</w:t>
      </w:r>
    </w:p>
    <w:p>
      <w:pPr>
        <w:ind w:firstLine="640" w:firstLineChars="200"/>
        <w:rPr>
          <w:rFonts w:ascii="仿宋" w:hAnsi="仿宋" w:eastAsia="仿宋"/>
          <w:sz w:val="32"/>
          <w:szCs w:val="32"/>
        </w:rPr>
      </w:pPr>
      <w:r>
        <w:rPr>
          <w:rFonts w:hint="eastAsia" w:ascii="仿宋" w:hAnsi="仿宋" w:eastAsia="仿宋"/>
          <w:sz w:val="32"/>
          <w:szCs w:val="32"/>
        </w:rPr>
        <w:t>1、老监控中心所有图像上云，保证各停车场实时监看或安装两台电脑并安装IVMS4200软件专用于迁移后点位的图像预览，并派驻施工人员现场保障。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、新监控中心所有图像上云，保证各停车场实时监看或安装两台电脑并安装IVMS4200软件专用于迁移后点位的图像预览，并派驻施工人员现场保障。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、备份所有设备原始配置。</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、迁移所有监控点位至IVMS4200进行监控预览及回放。</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一组施工人员前往前端点位先将设备参数进行备份后进行切换VPN网络的调测或者网络优化并配合后端人员将监控画面回传，网络调测不通或者监控不能正常回传的及时回退原有配置并保障回退后原有网络监控的正常。</w:t>
      </w:r>
    </w:p>
    <w:p>
      <w:pPr>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、派驻人员实时监测网络及监控回传质量，有问题及时处理。</w:t>
      </w:r>
    </w:p>
    <w:p>
      <w:pPr>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、待所有前端施工结束测试完成并通过试运行确保没有问题后再开始老监控中心的迁移工作。</w:t>
      </w:r>
    </w:p>
    <w:p>
      <w:pPr>
        <w:ind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、将监控中心所有监控在招标人的指导下使用IVMS4200进行压缩精简至现有8块屏幕上显示。</w:t>
      </w:r>
    </w:p>
    <w:p>
      <w:pPr>
        <w:ind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、拆除8块屏幕迁移至新监控中心完成安装调测。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10、拆除1台解码器并迁移至新监控中心完成安装调测。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11、拆除现有海康ISC平台服务器并迁移至新监控中心完成安装调测。</w:t>
      </w:r>
    </w:p>
    <w:p>
      <w:pPr>
        <w:ind w:firstLine="640" w:firstLineChars="200"/>
        <w:rPr>
          <w:rFonts w:ascii="仿宋" w:hAnsi="仿宋" w:eastAsia="仿宋"/>
          <w:sz w:val="32"/>
          <w:szCs w:val="32"/>
        </w:rPr>
      </w:pPr>
      <w:r>
        <w:rPr>
          <w:rFonts w:ascii="仿宋" w:hAnsi="仿宋" w:eastAsia="仿宋"/>
          <w:sz w:val="32"/>
          <w:szCs w:val="32"/>
        </w:rPr>
        <w:t>12</w:t>
      </w:r>
      <w:r>
        <w:rPr>
          <w:rFonts w:hint="eastAsia" w:ascii="仿宋" w:hAnsi="仿宋" w:eastAsia="仿宋"/>
          <w:sz w:val="32"/>
          <w:szCs w:val="32"/>
        </w:rPr>
        <w:t>、恢复原有监控及网络、道闸管理电脑等使用风格。</w:t>
      </w:r>
    </w:p>
    <w:p>
      <w:pPr>
        <w:ind w:firstLine="640" w:firstLineChars="200"/>
        <w:rPr>
          <w:rFonts w:ascii="仿宋" w:hAnsi="仿宋" w:eastAsia="仿宋"/>
          <w:sz w:val="32"/>
          <w:szCs w:val="32"/>
        </w:rPr>
      </w:pPr>
      <w:r>
        <w:rPr>
          <w:rFonts w:ascii="仿宋" w:hAnsi="仿宋" w:eastAsia="仿宋"/>
          <w:sz w:val="32"/>
          <w:szCs w:val="32"/>
        </w:rPr>
        <w:t>13</w:t>
      </w:r>
      <w:r>
        <w:rPr>
          <w:rFonts w:hint="eastAsia" w:ascii="仿宋" w:hAnsi="仿宋" w:eastAsia="仿宋"/>
          <w:sz w:val="32"/>
          <w:szCs w:val="32"/>
        </w:rPr>
        <w:t>、值班人员移步至新监控中心工作。</w:t>
      </w:r>
    </w:p>
    <w:p>
      <w:pPr>
        <w:ind w:firstLine="640" w:firstLineChars="200"/>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、断开老监控中心网络连接及设备供电同时观察对新监控中心影响，没问题则进行剩余设备迁移归类工作。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5</w:t>
      </w:r>
      <w:r>
        <w:rPr>
          <w:rFonts w:hint="eastAsia" w:ascii="仿宋" w:hAnsi="仿宋" w:eastAsia="仿宋"/>
          <w:sz w:val="32"/>
          <w:szCs w:val="32"/>
        </w:rPr>
        <w:t>、新生路停车场先拆除出入口道闸，封闭出口通道，根据招标方要求重做进出口设备安全岛，将进出口道闸设备安装至新安全岛上，调试进出口摄像等设备恢复停车场道闸功能，进行调试运行。</w:t>
      </w:r>
    </w:p>
    <w:p>
      <w:pPr>
        <w:ind w:firstLine="640" w:firstLineChars="200"/>
        <w:rPr>
          <w:rFonts w:ascii="仿宋" w:hAnsi="仿宋" w:eastAsia="仿宋"/>
          <w:sz w:val="32"/>
          <w:szCs w:val="32"/>
        </w:rPr>
      </w:pPr>
      <w:r>
        <w:rPr>
          <w:rFonts w:hint="eastAsia" w:ascii="仿宋" w:hAnsi="仿宋" w:eastAsia="仿宋"/>
          <w:sz w:val="32"/>
          <w:szCs w:val="32"/>
        </w:rPr>
        <w:t>（四）搬迁后工作</w:t>
      </w:r>
    </w:p>
    <w:p>
      <w:pPr>
        <w:ind w:firstLine="640" w:firstLineChars="200"/>
        <w:rPr>
          <w:rFonts w:ascii="仿宋" w:hAnsi="仿宋" w:eastAsia="仿宋"/>
          <w:sz w:val="32"/>
          <w:szCs w:val="32"/>
        </w:rPr>
      </w:pPr>
      <w:r>
        <w:rPr>
          <w:rFonts w:hint="eastAsia" w:ascii="仿宋" w:hAnsi="仿宋" w:eastAsia="仿宋"/>
          <w:sz w:val="32"/>
          <w:szCs w:val="32"/>
        </w:rPr>
        <w:t>1、搬迁后进入设备试运行阶段，试运行计划15天，前7天乙方实行驻场7*8小时保障加外场7*24小时方式保障监控中心迁移后遇到的监控及网络故障，后8天实行1个小时内上门的方式处理所遇故障。</w:t>
      </w:r>
    </w:p>
    <w:p>
      <w:pPr>
        <w:ind w:firstLine="640" w:firstLineChars="200"/>
        <w:rPr>
          <w:rFonts w:ascii="仿宋" w:hAnsi="仿宋" w:eastAsia="仿宋"/>
          <w:sz w:val="32"/>
          <w:szCs w:val="32"/>
        </w:rPr>
      </w:pPr>
      <w:r>
        <w:rPr>
          <w:rFonts w:hint="eastAsia" w:ascii="仿宋" w:hAnsi="仿宋" w:eastAsia="仿宋"/>
          <w:sz w:val="32"/>
          <w:szCs w:val="32"/>
        </w:rPr>
        <w:t>2、交接搬迁后网络结构、设备链接等资料、前端点位钥匙、账号密码等。</w:t>
      </w:r>
    </w:p>
    <w:p>
      <w:pPr>
        <w:ind w:firstLine="640" w:firstLineChars="200"/>
        <w:rPr>
          <w:rFonts w:ascii="仿宋" w:hAnsi="仿宋" w:eastAsia="仿宋"/>
          <w:sz w:val="32"/>
          <w:szCs w:val="32"/>
        </w:rPr>
      </w:pPr>
      <w:r>
        <w:rPr>
          <w:rFonts w:hint="eastAsia" w:ascii="仿宋" w:hAnsi="仿宋" w:eastAsia="仿宋"/>
          <w:sz w:val="32"/>
          <w:szCs w:val="32"/>
        </w:rPr>
        <w:t>3、15天试运行结束后转入2个小时内响应，4个小时内上门服务的售后服务阶段。</w:t>
      </w:r>
    </w:p>
    <w:p>
      <w:pPr>
        <w:pStyle w:val="16"/>
        <w:ind w:left="0" w:leftChars="0" w:firstLine="643" w:firstLineChars="200"/>
        <w:rPr>
          <w:b/>
          <w:bCs/>
        </w:rPr>
      </w:pPr>
      <w:r>
        <w:rPr>
          <w:rFonts w:hint="eastAsia"/>
          <w:b/>
          <w:bCs/>
        </w:rPr>
        <w:t>四、质保、工期及付款约定</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质量要求：投标方应保证服务质量，如经甲方审核验收不达标，由中标方承担结果，并按照合同要求执行。试运行计划15天，前7天乙方实行驻场7*8小时保障加外场7*24小时方式保障监控中心迁移后遇到的监控及网络故障，后8天实行1个小时内上门的方式处理所遇故障。15天试运行结束后转入2个小时内响应，4个小时内上门服务的售后服务阶段。监控设备和道闸迁移完工验收后提供一年质保服务。以上质保与服务包含在项目总价内，不另行收费。</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工期要求：合同签订后</w:t>
      </w:r>
      <w:r>
        <w:rPr>
          <w:rFonts w:ascii="仿宋" w:hAnsi="仿宋" w:eastAsia="仿宋"/>
          <w:sz w:val="32"/>
          <w:szCs w:val="32"/>
        </w:rPr>
        <w:t>7</w:t>
      </w:r>
      <w:r>
        <w:rPr>
          <w:rFonts w:hint="eastAsia" w:ascii="仿宋" w:hAnsi="仿宋" w:eastAsia="仿宋"/>
          <w:sz w:val="32"/>
          <w:szCs w:val="32"/>
        </w:rPr>
        <w:t>个工作日内实施迁移，迁移动作开始2</w:t>
      </w:r>
      <w:r>
        <w:rPr>
          <w:rFonts w:ascii="仿宋" w:hAnsi="仿宋" w:eastAsia="仿宋"/>
          <w:sz w:val="32"/>
          <w:szCs w:val="32"/>
        </w:rPr>
        <w:t>4</w:t>
      </w:r>
      <w:r>
        <w:rPr>
          <w:rFonts w:hint="eastAsia" w:ascii="仿宋" w:hAnsi="仿宋" w:eastAsia="仿宋"/>
          <w:sz w:val="32"/>
          <w:szCs w:val="32"/>
        </w:rPr>
        <w:t>小时内完成安装、调试，各控画面中断最长不超过1</w:t>
      </w:r>
      <w:r>
        <w:rPr>
          <w:rFonts w:ascii="仿宋" w:hAnsi="仿宋" w:eastAsia="仿宋"/>
          <w:sz w:val="32"/>
          <w:szCs w:val="32"/>
        </w:rPr>
        <w:t>0</w:t>
      </w:r>
      <w:r>
        <w:rPr>
          <w:rFonts w:hint="eastAsia" w:ascii="仿宋" w:hAnsi="仿宋" w:eastAsia="仿宋"/>
          <w:sz w:val="32"/>
          <w:szCs w:val="32"/>
        </w:rPr>
        <w:t>分钟。迁移动作开始后因乙方因素造成完工延期，按</w:t>
      </w:r>
      <w:r>
        <w:rPr>
          <w:rFonts w:ascii="仿宋" w:hAnsi="仿宋" w:eastAsia="仿宋"/>
          <w:sz w:val="32"/>
          <w:szCs w:val="32"/>
        </w:rPr>
        <w:t>500</w:t>
      </w:r>
      <w:r>
        <w:rPr>
          <w:rFonts w:hint="eastAsia" w:ascii="仿宋" w:hAnsi="仿宋" w:eastAsia="仿宋"/>
          <w:sz w:val="32"/>
          <w:szCs w:val="32"/>
        </w:rPr>
        <w:t>元/1</w:t>
      </w:r>
      <w:r>
        <w:rPr>
          <w:rFonts w:ascii="仿宋" w:hAnsi="仿宋" w:eastAsia="仿宋"/>
          <w:sz w:val="32"/>
          <w:szCs w:val="32"/>
        </w:rPr>
        <w:t>2</w:t>
      </w:r>
      <w:r>
        <w:rPr>
          <w:rFonts w:hint="eastAsia" w:ascii="仿宋" w:hAnsi="仿宋" w:eastAsia="仿宋"/>
          <w:sz w:val="32"/>
          <w:szCs w:val="32"/>
        </w:rPr>
        <w:t>小时处以违约金。迁移过程中因乙方因素造成监控画面中断超过1</w:t>
      </w:r>
      <w:r>
        <w:rPr>
          <w:rFonts w:ascii="仿宋" w:hAnsi="仿宋" w:eastAsia="仿宋"/>
          <w:sz w:val="32"/>
          <w:szCs w:val="32"/>
        </w:rPr>
        <w:t>0</w:t>
      </w:r>
      <w:r>
        <w:rPr>
          <w:rFonts w:hint="eastAsia" w:ascii="仿宋" w:hAnsi="仿宋" w:eastAsia="仿宋"/>
          <w:sz w:val="32"/>
          <w:szCs w:val="32"/>
        </w:rPr>
        <w:t>分钟，超时部分按</w:t>
      </w:r>
      <w:r>
        <w:rPr>
          <w:rFonts w:ascii="仿宋" w:hAnsi="仿宋" w:eastAsia="仿宋"/>
          <w:sz w:val="32"/>
          <w:szCs w:val="32"/>
        </w:rPr>
        <w:t>500</w:t>
      </w:r>
      <w:r>
        <w:rPr>
          <w:rFonts w:hint="eastAsia" w:ascii="仿宋" w:hAnsi="仿宋" w:eastAsia="仿宋"/>
          <w:sz w:val="32"/>
          <w:szCs w:val="32"/>
        </w:rPr>
        <w:t>元/</w:t>
      </w:r>
      <w:r>
        <w:rPr>
          <w:rFonts w:ascii="仿宋" w:hAnsi="仿宋" w:eastAsia="仿宋"/>
          <w:sz w:val="32"/>
          <w:szCs w:val="32"/>
        </w:rPr>
        <w:t>10</w:t>
      </w:r>
      <w:r>
        <w:rPr>
          <w:rFonts w:hint="eastAsia" w:ascii="仿宋" w:hAnsi="仿宋" w:eastAsia="仿宋"/>
          <w:sz w:val="32"/>
          <w:szCs w:val="32"/>
        </w:rPr>
        <w:t>分钟处以违约金。其他因乙方因素造成故障和风险损失，全部由乙方承担。</w:t>
      </w:r>
    </w:p>
    <w:p>
      <w:pPr>
        <w:pStyle w:val="16"/>
        <w:ind w:left="0" w:leftChars="0" w:firstLine="640" w:firstLineChars="200"/>
        <w:rPr>
          <w:rFonts w:ascii="仿宋" w:hAnsi="仿宋" w:eastAsia="仿宋"/>
        </w:rPr>
      </w:pPr>
      <w:r>
        <w:rPr>
          <w:rFonts w:hint="eastAsia" w:ascii="仿宋" w:hAnsi="仿宋" w:eastAsia="仿宋"/>
        </w:rPr>
        <w:t>付款约定：设备全部迁移安装结束，经过试运行无问题验收后中标方按照国家相关法律提供足额合法且符合税法规定的增值税专用发票，支付合同价的95%，一年后无质量问题支付合同价的5%。</w:t>
      </w:r>
    </w:p>
    <w:p>
      <w:pPr>
        <w:pStyle w:val="16"/>
        <w:ind w:left="0" w:leftChars="0" w:firstLine="643" w:firstLineChars="200"/>
        <w:rPr>
          <w:b/>
          <w:bCs/>
        </w:rPr>
      </w:pPr>
      <w:r>
        <w:rPr>
          <w:rFonts w:hint="eastAsia"/>
          <w:b/>
          <w:bCs/>
        </w:rPr>
        <w:t>五、投标保证金金额及缴纳账户</w:t>
      </w:r>
    </w:p>
    <w:p>
      <w:pPr>
        <w:pStyle w:val="16"/>
        <w:ind w:left="0" w:leftChars="0" w:firstLine="640" w:firstLineChars="200"/>
        <w:rPr>
          <w:rFonts w:ascii="仿宋" w:hAnsi="仿宋" w:eastAsia="仿宋"/>
        </w:rPr>
      </w:pPr>
      <w:r>
        <w:rPr>
          <w:rFonts w:hint="eastAsia" w:ascii="仿宋" w:hAnsi="仿宋" w:eastAsia="仿宋"/>
        </w:rPr>
        <w:t>本项目不要求提交投标保证金。</w:t>
      </w:r>
    </w:p>
    <w:p>
      <w:pPr>
        <w:pStyle w:val="16"/>
        <w:ind w:left="0" w:leftChars="0" w:firstLine="643" w:firstLineChars="200"/>
        <w:rPr>
          <w:b/>
          <w:bCs/>
        </w:rPr>
      </w:pPr>
      <w:r>
        <w:rPr>
          <w:rFonts w:hint="eastAsia"/>
          <w:b/>
          <w:bCs/>
        </w:rPr>
        <w:t>六、评标方法</w:t>
      </w:r>
    </w:p>
    <w:p>
      <w:pPr>
        <w:pStyle w:val="16"/>
        <w:ind w:left="0" w:leftChars="0" w:firstLine="640" w:firstLineChars="200"/>
        <w:rPr>
          <w:rFonts w:ascii="仿宋" w:hAnsi="仿宋" w:eastAsia="仿宋"/>
        </w:rPr>
      </w:pPr>
      <w:r>
        <w:rPr>
          <w:rFonts w:hint="eastAsia" w:ascii="仿宋" w:hAnsi="仿宋" w:eastAsia="仿宋"/>
        </w:rPr>
        <w:t>采取满足三家以上有效投标单位，招标人组织评标小组，采用经评审的最低价法。经评审的最低价法，是指投标文件满足交易文件全部实质性要求且投标报价扣除可抵扣进项税后的金额最低的供应商为中标候选人的评标方法。</w:t>
      </w:r>
    </w:p>
    <w:p>
      <w:pPr>
        <w:pStyle w:val="16"/>
        <w:ind w:left="0" w:leftChars="0" w:firstLine="643" w:firstLineChars="200"/>
        <w:rPr>
          <w:b/>
          <w:bCs/>
        </w:rPr>
      </w:pPr>
      <w:r>
        <w:rPr>
          <w:rFonts w:hint="eastAsia"/>
          <w:b/>
          <w:bCs/>
        </w:rPr>
        <w:t>七、</w:t>
      </w:r>
      <w:bookmarkStart w:id="0" w:name="_Hlk151582491"/>
      <w:r>
        <w:rPr>
          <w:rFonts w:hint="eastAsia"/>
          <w:b/>
          <w:bCs/>
        </w:rPr>
        <w:t>公告期限、开标时间和地点</w:t>
      </w:r>
    </w:p>
    <w:p>
      <w:pPr>
        <w:pStyle w:val="16"/>
        <w:ind w:left="0" w:leftChars="0" w:firstLine="640" w:firstLineChars="200"/>
        <w:rPr>
          <w:rFonts w:ascii="仿宋" w:hAnsi="仿宋" w:eastAsia="仿宋"/>
        </w:rPr>
      </w:pPr>
      <w:r>
        <w:rPr>
          <w:rFonts w:hint="eastAsia" w:ascii="仿宋" w:hAnsi="仿宋" w:eastAsia="仿宋"/>
        </w:rPr>
        <w:t>公告期限：2023年</w:t>
      </w:r>
      <w:r>
        <w:rPr>
          <w:rFonts w:ascii="仿宋" w:hAnsi="仿宋" w:eastAsia="仿宋"/>
        </w:rPr>
        <w:t>1</w:t>
      </w:r>
      <w:r>
        <w:rPr>
          <w:rFonts w:hint="eastAsia" w:ascii="仿宋" w:hAnsi="仿宋" w:eastAsia="仿宋"/>
          <w:lang w:val="en-US" w:eastAsia="zh-CN"/>
        </w:rPr>
        <w:t>2</w:t>
      </w:r>
      <w:r>
        <w:rPr>
          <w:rFonts w:hint="eastAsia" w:ascii="仿宋" w:hAnsi="仿宋" w:eastAsia="仿宋"/>
        </w:rPr>
        <w:t>月</w:t>
      </w:r>
      <w:r>
        <w:rPr>
          <w:rFonts w:hint="eastAsia" w:ascii="仿宋" w:hAnsi="仿宋" w:eastAsia="仿宋"/>
          <w:lang w:val="en-US" w:eastAsia="zh-CN"/>
        </w:rPr>
        <w:t>20</w:t>
      </w:r>
      <w:r>
        <w:rPr>
          <w:rFonts w:hint="eastAsia" w:ascii="仿宋" w:hAnsi="仿宋" w:eastAsia="仿宋"/>
        </w:rPr>
        <w:t>日至2023年</w:t>
      </w:r>
      <w:r>
        <w:rPr>
          <w:rFonts w:ascii="仿宋" w:hAnsi="仿宋" w:eastAsia="仿宋"/>
        </w:rPr>
        <w:t>1</w:t>
      </w:r>
      <w:r>
        <w:rPr>
          <w:rFonts w:hint="eastAsia" w:ascii="仿宋" w:hAnsi="仿宋" w:eastAsia="仿宋"/>
        </w:rPr>
        <w:t>2月</w:t>
      </w:r>
      <w:r>
        <w:rPr>
          <w:rFonts w:hint="eastAsia" w:ascii="仿宋" w:hAnsi="仿宋" w:eastAsia="仿宋"/>
          <w:lang w:val="en-US" w:eastAsia="zh-CN"/>
        </w:rPr>
        <w:t>25</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时止。</w:t>
      </w:r>
    </w:p>
    <w:p>
      <w:pPr>
        <w:pStyle w:val="16"/>
        <w:ind w:left="0" w:leftChars="0" w:firstLine="640" w:firstLineChars="200"/>
        <w:rPr>
          <w:rFonts w:ascii="仿宋" w:hAnsi="仿宋" w:eastAsia="仿宋"/>
        </w:rPr>
      </w:pPr>
      <w:r>
        <w:rPr>
          <w:rFonts w:hint="eastAsia" w:ascii="仿宋" w:hAnsi="仿宋" w:eastAsia="仿宋"/>
        </w:rPr>
        <w:t>开标时间：2023年</w:t>
      </w:r>
      <w:r>
        <w:rPr>
          <w:rFonts w:ascii="仿宋" w:hAnsi="仿宋" w:eastAsia="仿宋"/>
        </w:rPr>
        <w:t>1</w:t>
      </w:r>
      <w:r>
        <w:rPr>
          <w:rFonts w:hint="eastAsia" w:ascii="仿宋" w:hAnsi="仿宋" w:eastAsia="仿宋"/>
        </w:rPr>
        <w:t>2月</w:t>
      </w:r>
      <w:r>
        <w:rPr>
          <w:rFonts w:hint="eastAsia" w:ascii="仿宋" w:hAnsi="仿宋" w:eastAsia="仿宋"/>
          <w:lang w:val="en-US" w:eastAsia="zh-CN"/>
        </w:rPr>
        <w:t>25</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时。潜在投标人应在截止时间前将投标文件密封送至或邮寄至下文开标地点，过期无效。</w:t>
      </w:r>
    </w:p>
    <w:p>
      <w:pPr>
        <w:pStyle w:val="16"/>
        <w:ind w:left="0" w:leftChars="0" w:firstLine="640" w:firstLineChars="200"/>
        <w:rPr>
          <w:rFonts w:ascii="仿宋" w:hAnsi="仿宋" w:eastAsia="仿宋"/>
        </w:rPr>
      </w:pPr>
      <w:r>
        <w:rPr>
          <w:rFonts w:hint="eastAsia" w:ascii="仿宋" w:hAnsi="仿宋" w:eastAsia="仿宋"/>
        </w:rPr>
        <w:t>开标地点：滁州市中都大道1598号城投大厦13楼会议室。</w:t>
      </w:r>
      <w:bookmarkEnd w:id="0"/>
    </w:p>
    <w:p>
      <w:pPr>
        <w:pStyle w:val="16"/>
        <w:ind w:left="0" w:leftChars="0" w:firstLine="643" w:firstLineChars="200"/>
        <w:rPr>
          <w:b/>
          <w:bCs/>
        </w:rPr>
      </w:pPr>
      <w:r>
        <w:rPr>
          <w:rFonts w:hint="eastAsia"/>
          <w:b/>
          <w:bCs/>
        </w:rPr>
        <w:t>八、投标文件内容包括：</w:t>
      </w:r>
    </w:p>
    <w:p>
      <w:pPr>
        <w:pStyle w:val="16"/>
        <w:ind w:left="0" w:leftChars="0" w:firstLine="640" w:firstLineChars="200"/>
        <w:rPr>
          <w:rFonts w:ascii="仿宋" w:hAnsi="仿宋" w:eastAsia="仿宋"/>
        </w:rPr>
      </w:pPr>
      <w:r>
        <w:rPr>
          <w:rFonts w:hint="eastAsia" w:ascii="仿宋" w:hAnsi="仿宋" w:eastAsia="仿宋"/>
        </w:rPr>
        <w:t>1.资信投标文件；（见附件1）</w:t>
      </w:r>
    </w:p>
    <w:p>
      <w:pPr>
        <w:pStyle w:val="16"/>
        <w:ind w:left="0" w:leftChars="0" w:firstLine="640" w:firstLineChars="200"/>
        <w:rPr>
          <w:rFonts w:ascii="仿宋" w:hAnsi="仿宋" w:eastAsia="仿宋"/>
        </w:rPr>
      </w:pPr>
      <w:r>
        <w:rPr>
          <w:rFonts w:hint="eastAsia" w:ascii="仿宋" w:hAnsi="仿宋" w:eastAsia="仿宋"/>
        </w:rPr>
        <w:t>2.商务技术、报价投标文件；（见附件2）</w:t>
      </w:r>
    </w:p>
    <w:p>
      <w:pPr>
        <w:pStyle w:val="16"/>
        <w:ind w:left="0" w:leftChars="0" w:firstLine="640" w:firstLineChars="200"/>
        <w:rPr>
          <w:rFonts w:ascii="仿宋" w:hAnsi="仿宋" w:eastAsia="仿宋"/>
        </w:rPr>
      </w:pPr>
      <w:r>
        <w:rPr>
          <w:rFonts w:hint="eastAsia" w:ascii="仿宋" w:hAnsi="仿宋" w:eastAsia="仿宋"/>
        </w:rPr>
        <w:t>3.供应商认为需要提供的其他证明材料；</w:t>
      </w:r>
    </w:p>
    <w:p>
      <w:pPr>
        <w:pStyle w:val="16"/>
        <w:ind w:left="0" w:leftChars="0" w:firstLine="643" w:firstLineChars="200"/>
        <w:rPr>
          <w:b/>
          <w:bCs/>
        </w:rPr>
      </w:pPr>
      <w:r>
        <w:rPr>
          <w:rFonts w:hint="eastAsia"/>
          <w:b/>
          <w:bCs/>
        </w:rPr>
        <w:t>九、投标文件的装订与密封：</w:t>
      </w:r>
    </w:p>
    <w:p>
      <w:pPr>
        <w:pStyle w:val="16"/>
        <w:ind w:left="0" w:leftChars="0" w:firstLine="640" w:firstLineChars="200"/>
      </w:pPr>
      <w:r>
        <w:rPr>
          <w:rFonts w:hint="eastAsia" w:ascii="仿宋" w:hAnsi="仿宋" w:eastAsia="仿宋"/>
        </w:rPr>
        <w:t>投标文件资料装订成册，投标文件为正本1份、副本1份。资信文件、商务技术文件与报价文件应分别装袋密封，正本、副本密封于一袋内，均需加盖公章，投标文件须密封，并在封条上加盖投标人公章，否则作无效标处理。</w:t>
      </w:r>
    </w:p>
    <w:p>
      <w:pPr>
        <w:pStyle w:val="16"/>
        <w:ind w:left="0" w:leftChars="0" w:firstLine="643" w:firstLineChars="200"/>
        <w:rPr>
          <w:b/>
          <w:bCs/>
        </w:rPr>
      </w:pPr>
      <w:bookmarkStart w:id="1" w:name="_Hlk151582666"/>
      <w:r>
        <w:rPr>
          <w:rFonts w:hint="eastAsia"/>
          <w:b/>
          <w:bCs/>
        </w:rPr>
        <w:t>十、履约保证金</w:t>
      </w:r>
    </w:p>
    <w:p>
      <w:pPr>
        <w:pStyle w:val="16"/>
        <w:ind w:left="0" w:leftChars="0" w:firstLine="640" w:firstLineChars="200"/>
        <w:rPr>
          <w:rFonts w:ascii="仿宋" w:hAnsi="仿宋" w:eastAsia="仿宋"/>
        </w:rPr>
      </w:pPr>
      <w:r>
        <w:rPr>
          <w:rFonts w:hint="eastAsia" w:ascii="仿宋" w:hAnsi="仿宋" w:eastAsia="仿宋"/>
        </w:rPr>
        <w:t>本项目不采用。</w:t>
      </w:r>
    </w:p>
    <w:p>
      <w:pPr>
        <w:pStyle w:val="16"/>
        <w:ind w:left="0" w:leftChars="0" w:firstLine="643" w:firstLineChars="200"/>
        <w:rPr>
          <w:b/>
          <w:bCs/>
        </w:rPr>
      </w:pPr>
      <w:r>
        <w:rPr>
          <w:rFonts w:hint="eastAsia"/>
          <w:b/>
          <w:bCs/>
        </w:rPr>
        <w:t>十一、联系人、联系方式及监督电话</w:t>
      </w:r>
    </w:p>
    <w:p>
      <w:pPr>
        <w:pStyle w:val="16"/>
        <w:ind w:left="0" w:leftChars="0" w:firstLine="640" w:firstLineChars="200"/>
        <w:rPr>
          <w:rFonts w:ascii="仿宋" w:hAnsi="仿宋" w:eastAsia="仿宋"/>
        </w:rPr>
      </w:pPr>
      <w:r>
        <w:rPr>
          <w:rFonts w:hint="eastAsia" w:ascii="仿宋" w:hAnsi="仿宋" w:eastAsia="仿宋"/>
        </w:rPr>
        <w:t>联系人：黄工；联系方式：18900501257；</w:t>
      </w:r>
    </w:p>
    <w:p>
      <w:pPr>
        <w:pStyle w:val="16"/>
        <w:ind w:left="0" w:leftChars="0" w:firstLine="640" w:firstLineChars="200"/>
        <w:rPr>
          <w:rFonts w:ascii="仿宋" w:hAnsi="仿宋" w:eastAsia="仿宋"/>
        </w:rPr>
      </w:pPr>
      <w:r>
        <w:rPr>
          <w:rFonts w:hint="eastAsia" w:ascii="仿宋" w:hAnsi="仿宋" w:eastAsia="仿宋"/>
        </w:rPr>
        <w:t>监督电话：0550-3017855。</w:t>
      </w:r>
    </w:p>
    <w:bookmarkEnd w:id="1"/>
    <w:p>
      <w:pPr>
        <w:pStyle w:val="16"/>
        <w:ind w:left="0" w:leftChars="0" w:firstLine="643" w:firstLineChars="200"/>
        <w:rPr>
          <w:b/>
          <w:bCs/>
        </w:rPr>
      </w:pPr>
      <w:r>
        <w:rPr>
          <w:rFonts w:hint="eastAsia"/>
          <w:b/>
          <w:bCs/>
        </w:rPr>
        <w:t>十二、重要说明</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逾期送达或者未送达指定地点的参选文件，招标人不予受理。</w:t>
      </w:r>
    </w:p>
    <w:p>
      <w:pPr>
        <w:pStyle w:val="16"/>
        <w:ind w:left="0" w:leftChars="0" w:firstLine="640" w:firstLineChars="200"/>
        <w:rPr>
          <w:rFonts w:ascii="仿宋" w:hAnsi="仿宋" w:eastAsia="仿宋"/>
        </w:rPr>
      </w:pPr>
      <w:r>
        <w:rPr>
          <w:rFonts w:ascii="仿宋" w:hAnsi="仿宋" w:eastAsia="仿宋"/>
        </w:rPr>
        <w:t>2.</w:t>
      </w:r>
      <w:r>
        <w:rPr>
          <w:rFonts w:hint="eastAsia" w:ascii="仿宋" w:hAnsi="仿宋" w:eastAsia="仿宋"/>
        </w:rPr>
        <w:t>中选人需根据招标人确认的内容执行。</w:t>
      </w:r>
    </w:p>
    <w:p>
      <w:pPr>
        <w:pStyle w:val="16"/>
        <w:ind w:left="0" w:leftChars="0" w:firstLine="640" w:firstLineChars="200"/>
        <w:rPr>
          <w:rFonts w:ascii="仿宋" w:hAnsi="仿宋" w:eastAsia="仿宋"/>
        </w:rPr>
      </w:pPr>
      <w:r>
        <w:rPr>
          <w:rFonts w:ascii="仿宋" w:hAnsi="仿宋" w:eastAsia="仿宋"/>
        </w:rPr>
        <w:t>3.</w:t>
      </w:r>
      <w:r>
        <w:rPr>
          <w:rFonts w:hint="eastAsia" w:ascii="仿宋" w:hAnsi="仿宋" w:eastAsia="仿宋"/>
        </w:rPr>
        <w:t>中选人需自行解决物流、运输等。</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中选人施工完毕后，须经招标人验收通过。</w:t>
      </w:r>
    </w:p>
    <w:p>
      <w:pPr>
        <w:pStyle w:val="16"/>
        <w:ind w:left="0" w:leftChars="0" w:firstLine="640" w:firstLineChars="200"/>
        <w:rPr>
          <w:rFonts w:ascii="仿宋" w:hAnsi="仿宋" w:eastAsia="仿宋"/>
        </w:rPr>
      </w:pPr>
      <w:r>
        <w:rPr>
          <w:rFonts w:hint="eastAsia" w:ascii="仿宋" w:hAnsi="仿宋" w:eastAsia="仿宋"/>
        </w:rPr>
        <w:t>5</w:t>
      </w:r>
      <w:r>
        <w:rPr>
          <w:rFonts w:ascii="仿宋" w:hAnsi="仿宋" w:eastAsia="仿宋"/>
        </w:rPr>
        <w:t>.</w:t>
      </w:r>
      <w:r>
        <w:rPr>
          <w:rFonts w:hint="eastAsia" w:ascii="仿宋" w:hAnsi="仿宋" w:eastAsia="仿宋"/>
        </w:rPr>
        <w:t>该项目不得分包、转包。</w:t>
      </w:r>
    </w:p>
    <w:p/>
    <w:p>
      <w:pPr>
        <w:pStyle w:val="16"/>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6"/>
        <w:ind w:left="0" w:leftChars="0" w:firstLine="640" w:firstLineChars="200"/>
        <w:rPr>
          <w:rFonts w:ascii="仿宋" w:hAnsi="仿宋" w:eastAsia="仿宋"/>
        </w:rPr>
      </w:pPr>
      <w:r>
        <w:rPr>
          <w:rFonts w:hint="eastAsia" w:ascii="仿宋" w:hAnsi="仿宋" w:eastAsia="仿宋"/>
        </w:rPr>
        <w:t xml:space="preserve">                               2023年1</w:t>
      </w:r>
      <w:r>
        <w:rPr>
          <w:rFonts w:hint="eastAsia" w:ascii="仿宋" w:hAnsi="仿宋" w:eastAsia="仿宋"/>
          <w:lang w:val="en-US" w:eastAsia="zh-CN"/>
        </w:rPr>
        <w:t>2</w:t>
      </w:r>
      <w:r>
        <w:rPr>
          <w:rFonts w:hint="eastAsia" w:ascii="仿宋" w:hAnsi="仿宋" w:eastAsia="仿宋"/>
        </w:rPr>
        <w:t>月</w:t>
      </w:r>
      <w:r>
        <w:rPr>
          <w:rFonts w:hint="eastAsia" w:ascii="仿宋" w:hAnsi="仿宋" w:eastAsia="仿宋"/>
          <w:lang w:val="en-US" w:eastAsia="zh-CN"/>
        </w:rPr>
        <w:t>20</w:t>
      </w:r>
      <w:bookmarkStart w:id="18" w:name="_GoBack"/>
      <w:bookmarkEnd w:id="18"/>
      <w:r>
        <w:rPr>
          <w:rFonts w:hint="eastAsia" w:ascii="仿宋" w:hAnsi="仿宋" w:eastAsia="仿宋"/>
        </w:rPr>
        <w:t>日</w:t>
      </w:r>
    </w:p>
    <w:p>
      <w:pPr>
        <w:pStyle w:val="16"/>
      </w:pPr>
    </w:p>
    <w:p/>
    <w:p>
      <w:pPr>
        <w:pStyle w:val="16"/>
      </w:pPr>
    </w:p>
    <w:p/>
    <w:p>
      <w:pPr>
        <w:pStyle w:val="16"/>
      </w:pPr>
    </w:p>
    <w:p/>
    <w:p>
      <w:pPr>
        <w:pStyle w:val="16"/>
      </w:pPr>
    </w:p>
    <w:p/>
    <w:p>
      <w:pPr>
        <w:pStyle w:val="16"/>
      </w:pPr>
    </w:p>
    <w:p/>
    <w:p>
      <w:pPr>
        <w:pStyle w:val="16"/>
      </w:pPr>
    </w:p>
    <w:p/>
    <w:p>
      <w:pPr>
        <w:pStyle w:val="16"/>
      </w:pPr>
    </w:p>
    <w:p/>
    <w:p>
      <w:pPr>
        <w:pStyle w:val="16"/>
      </w:pPr>
    </w:p>
    <w:p>
      <w:pPr>
        <w:jc w:val="left"/>
        <w:rPr>
          <w:rFonts w:hint="eastAsia" w:ascii="宋体" w:hAnsi="宋体" w:cs="宋体"/>
          <w:b/>
          <w:sz w:val="28"/>
          <w:szCs w:val="28"/>
        </w:rPr>
      </w:pPr>
    </w:p>
    <w:p>
      <w:pPr>
        <w:jc w:val="left"/>
        <w:rPr>
          <w:rFonts w:ascii="宋体" w:hAnsi="宋体" w:cs="宋体"/>
          <w:b/>
          <w:sz w:val="28"/>
          <w:szCs w:val="28"/>
        </w:rPr>
      </w:pPr>
      <w:r>
        <w:rPr>
          <w:rFonts w:hint="eastAsia" w:ascii="宋体" w:hAnsi="宋体" w:cs="宋体"/>
          <w:b/>
          <w:sz w:val="28"/>
          <w:szCs w:val="28"/>
        </w:rPr>
        <w:t>附件1</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bookmarkStart w:id="2" w:name="_Toc18692"/>
      <w:bookmarkStart w:id="3" w:name="_Toc12389"/>
      <w:r>
        <w:rPr>
          <w:rFonts w:hint="eastAsia" w:ascii="宋体" w:hAnsi="宋体" w:cs="宋体"/>
          <w:bCs/>
          <w:sz w:val="28"/>
          <w:szCs w:val="28"/>
        </w:rPr>
        <w:t>项目名称</w:t>
      </w:r>
      <w:bookmarkEnd w:id="2"/>
      <w:bookmarkEnd w:id="3"/>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4" w:name="_Toc1854"/>
      <w:bookmarkStart w:id="5" w:name="_Toc29089"/>
      <w:r>
        <w:rPr>
          <w:rFonts w:hint="eastAsia" w:ascii="宋体" w:hAnsi="宋体" w:cs="宋体"/>
          <w:bCs/>
          <w:sz w:val="28"/>
          <w:szCs w:val="28"/>
        </w:rPr>
        <w:t>（投标文件一）</w:t>
      </w:r>
      <w:bookmarkEnd w:id="4"/>
      <w:bookmarkEnd w:id="5"/>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bookmarkStart w:id="6" w:name="_Toc19766"/>
      <w:bookmarkStart w:id="7" w:name="_Toc27793"/>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bookmarkEnd w:id="6"/>
      <w:bookmarkEnd w:id="7"/>
    </w:p>
    <w:p>
      <w:pPr>
        <w:spacing w:line="360" w:lineRule="auto"/>
        <w:jc w:val="center"/>
        <w:rPr>
          <w:rFonts w:ascii="宋体" w:hAnsi="宋体" w:cs="宋体"/>
          <w:bCs/>
          <w:sz w:val="28"/>
          <w:szCs w:val="28"/>
        </w:rPr>
      </w:pPr>
      <w:bookmarkStart w:id="8" w:name="_Toc9255"/>
      <w:bookmarkStart w:id="9" w:name="_Toc17049"/>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bookmarkEnd w:id="8"/>
      <w:bookmarkEnd w:id="9"/>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bookmarkStart w:id="10" w:name="_Toc15461"/>
      <w:bookmarkStart w:id="11" w:name="_Toc19368"/>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bookmarkEnd w:id="10"/>
      <w:bookmarkEnd w:id="11"/>
    </w:p>
    <w:p>
      <w:pPr>
        <w:pageBreakBefore/>
        <w:ind w:firstLine="4216" w:firstLineChars="1400"/>
        <w:rPr>
          <w:rFonts w:ascii="宋体" w:hAnsi="宋体" w:cs="宋体"/>
          <w:b/>
          <w:sz w:val="30"/>
          <w:szCs w:val="30"/>
        </w:rPr>
      </w:pPr>
      <w:bookmarkStart w:id="12" w:name="_Toc3397"/>
      <w:bookmarkStart w:id="13" w:name="_Toc2203"/>
      <w:r>
        <w:rPr>
          <w:rFonts w:hint="eastAsia" w:ascii="宋体" w:hAnsi="宋体" w:cs="宋体"/>
          <w:b/>
          <w:sz w:val="30"/>
          <w:szCs w:val="30"/>
        </w:rPr>
        <w:t>目   录</w:t>
      </w:r>
      <w:bookmarkEnd w:id="12"/>
      <w:bookmarkEnd w:id="13"/>
    </w:p>
    <w:p>
      <w:pPr>
        <w:spacing w:line="440" w:lineRule="exact"/>
        <w:ind w:firstLine="420" w:firstLineChars="200"/>
        <w:rPr>
          <w:rFonts w:ascii="宋体" w:hAnsi="Times New Roman"/>
          <w:szCs w:val="21"/>
        </w:rPr>
      </w:pPr>
      <w:r>
        <w:rPr>
          <w:rFonts w:hint="eastAsia" w:ascii="宋体" w:hAnsi="Times New Roman"/>
          <w:szCs w:val="21"/>
        </w:rPr>
        <w:t>（1）法人代表身份证明及其有效身份证（或法定代表人授权委托书及其有效身份证）；</w:t>
      </w:r>
      <w:r>
        <w:rPr>
          <w:rFonts w:ascii="宋体" w:hAnsi="Times New Roman"/>
          <w:szCs w:val="21"/>
        </w:rPr>
        <w:t xml:space="preserve"> </w:t>
      </w:r>
    </w:p>
    <w:p>
      <w:pPr>
        <w:spacing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line="440" w:lineRule="exact"/>
        <w:ind w:firstLine="420" w:firstLineChars="200"/>
        <w:rPr>
          <w:rFonts w:ascii="宋体" w:hAnsi="Times New Roman"/>
          <w:szCs w:val="21"/>
        </w:rPr>
      </w:pPr>
      <w:r>
        <w:rPr>
          <w:rFonts w:hint="eastAsia" w:ascii="宋体" w:hAnsi="Times New Roman"/>
          <w:szCs w:val="21"/>
        </w:rPr>
        <w:t>（3）诚信投标承诺书；</w:t>
      </w:r>
    </w:p>
    <w:p>
      <w:pPr>
        <w:spacing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6"/>
        <w:spacing w:line="440" w:lineRule="exact"/>
      </w:pPr>
    </w:p>
    <w:p>
      <w:pPr>
        <w:spacing w:line="440" w:lineRule="exact"/>
        <w:ind w:firstLine="420" w:firstLineChars="200"/>
        <w:jc w:val="left"/>
        <w:rPr>
          <w:rFonts w:ascii="宋体" w:hAnsi="宋体" w:cs="宋体"/>
          <w:bCs/>
          <w:szCs w:val="21"/>
        </w:rPr>
      </w:pPr>
    </w:p>
    <w:p>
      <w:pPr>
        <w:spacing w:line="480" w:lineRule="auto"/>
        <w:rPr>
          <w:rFonts w:ascii="宋体" w:hAnsi="宋体" w:cs="宋体"/>
          <w:bCs/>
          <w:szCs w:val="21"/>
        </w:rPr>
      </w:pPr>
    </w:p>
    <w:p>
      <w:pPr>
        <w:pStyle w:val="13"/>
        <w:ind w:left="420" w:firstLine="420"/>
        <w:rPr>
          <w:rFonts w:hAnsi="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0"/>
      </w:pPr>
    </w:p>
    <w:p/>
    <w:p>
      <w:pPr>
        <w:pStyle w:val="16"/>
      </w:pPr>
    </w:p>
    <w:p/>
    <w:p>
      <w:pPr>
        <w:pStyle w:val="16"/>
      </w:pPr>
    </w:p>
    <w:p>
      <w:pPr>
        <w:spacing w:line="360" w:lineRule="auto"/>
        <w:jc w:val="center"/>
        <w:rPr>
          <w:rFonts w:ascii="宋体"/>
          <w:b/>
          <w:sz w:val="28"/>
          <w:szCs w:val="28"/>
        </w:rPr>
      </w:pPr>
      <w:r>
        <w:rPr>
          <w:rFonts w:hint="eastAsia"/>
          <w:b/>
          <w:sz w:val="28"/>
          <w:szCs w:val="28"/>
        </w:rPr>
        <w:t>法定代表人身份证明或授权委托书</w:t>
      </w:r>
    </w:p>
    <w:p>
      <w:pPr>
        <w:pStyle w:val="24"/>
        <w:spacing w:before="312" w:beforeLines="100" w:after="312" w:afterLines="10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line="480" w:lineRule="exact"/>
        <w:ind w:firstLine="840" w:firstLineChars="400"/>
        <w:rPr>
          <w:rFonts w:ascii="宋体" w:hAnsi="宋体"/>
          <w:szCs w:val="21"/>
        </w:rPr>
      </w:pPr>
      <w:r>
        <w:rPr>
          <w:rFonts w:hint="eastAsia" w:ascii="宋体" w:hAnsi="宋体"/>
          <w:szCs w:val="21"/>
        </w:rPr>
        <w:t>特此证明。</w:t>
      </w:r>
    </w:p>
    <w:p>
      <w:pPr>
        <w:spacing w:line="360" w:lineRule="auto"/>
        <w:jc w:val="left"/>
        <w:rPr>
          <w:rFonts w:ascii="宋体" w:hAnsi="宋体"/>
          <w:szCs w:val="21"/>
        </w:rPr>
      </w:pPr>
    </w:p>
    <w:p>
      <w:pPr>
        <w:pStyle w:val="2"/>
        <w:numPr>
          <w:ilvl w:val="0"/>
          <w:numId w:val="0"/>
        </w:numPr>
        <w:rPr>
          <w:szCs w:val="21"/>
        </w:rPr>
      </w:pPr>
      <w:r>
        <w:rPr>
          <w:rFonts w:hint="eastAsia"/>
          <w:szCs w:val="21"/>
        </w:rPr>
        <w:t xml:space="preserve">      </w:t>
      </w:r>
    </w:p>
    <w:p>
      <w:pPr>
        <w:spacing w:line="360" w:lineRule="auto"/>
        <w:ind w:firstLine="3045" w:firstLineChars="1450"/>
        <w:rPr>
          <w:rFonts w:ascii="宋体" w:hAnsi="宋体"/>
          <w:szCs w:val="21"/>
        </w:rPr>
      </w:pPr>
    </w:p>
    <w:p>
      <w:pPr>
        <w:spacing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line="360" w:lineRule="auto"/>
        <w:rPr>
          <w:rFonts w:ascii="宋体" w:hAnsi="宋体"/>
          <w:szCs w:val="21"/>
        </w:rPr>
      </w:pPr>
      <w:r>
        <w:rPr>
          <w:rFonts w:hint="eastAsia" w:ascii="宋体" w:hAnsi="宋体"/>
          <w:szCs w:val="21"/>
        </w:rPr>
        <w:t xml:space="preserve">                                        年    月     日</w:t>
      </w: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pStyle w:val="16"/>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jc w:val="center"/>
        <w:rPr>
          <w:rFonts w:ascii="宋体" w:hAnsi="宋体"/>
          <w:b/>
          <w:szCs w:val="21"/>
        </w:rPr>
      </w:pPr>
      <w:bookmarkStart w:id="14" w:name="OLE_LINK29"/>
      <w:r>
        <w:rPr>
          <w:rFonts w:hint="eastAsia" w:ascii="宋体" w:hAnsi="宋体"/>
          <w:b/>
          <w:szCs w:val="21"/>
        </w:rPr>
        <w:t>2、授权委托书</w:t>
      </w:r>
    </w:p>
    <w:p>
      <w:pPr>
        <w:spacing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”（项目名称）征集响应文件，全权处理与该项目响应、评审答疑、签订合同以及与合同执行有关的一切事务，其法律后果由我方承担。</w:t>
      </w:r>
    </w:p>
    <w:p>
      <w:pPr>
        <w:spacing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line="520" w:lineRule="exact"/>
        <w:ind w:firstLine="420" w:firstLineChars="200"/>
        <w:rPr>
          <w:rFonts w:ascii="宋体" w:hAnsi="宋体"/>
          <w:szCs w:val="21"/>
        </w:rPr>
      </w:pPr>
      <w:r>
        <w:rPr>
          <w:rFonts w:hint="eastAsia" w:ascii="宋体" w:hAnsi="宋体"/>
          <w:szCs w:val="21"/>
        </w:rPr>
        <w:t>代理人无转委托权。</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r>
        <w:rPr>
          <w:rFonts w:hint="eastAsia" w:ascii="宋体" w:hAnsi="宋体"/>
          <w:szCs w:val="21"/>
        </w:rPr>
        <w:t>附：法定代表人身份证明复印件</w:t>
      </w:r>
    </w:p>
    <w:p>
      <w:pPr>
        <w:spacing w:line="520" w:lineRule="exact"/>
        <w:ind w:firstLine="840" w:firstLineChars="400"/>
        <w:rPr>
          <w:rFonts w:ascii="宋体" w:hAnsi="宋体"/>
          <w:szCs w:val="21"/>
        </w:rPr>
      </w:pPr>
      <w:r>
        <w:rPr>
          <w:rFonts w:hint="eastAsia" w:ascii="宋体" w:hAnsi="宋体"/>
          <w:szCs w:val="21"/>
        </w:rPr>
        <w:t>委托代理人身份证明复印件</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line="440" w:lineRule="exact"/>
        <w:ind w:firstLine="2205" w:firstLineChars="1050"/>
        <w:rPr>
          <w:rFonts w:ascii="宋体" w:hAnsi="宋体"/>
          <w:szCs w:val="21"/>
        </w:rPr>
      </w:pPr>
      <w:r>
        <w:rPr>
          <w:rFonts w:hint="eastAsia" w:ascii="宋体" w:hAnsi="宋体"/>
          <w:szCs w:val="21"/>
        </w:rPr>
        <w:t>法定代表人（身份证号码）：</w:t>
      </w:r>
      <w:r>
        <w:rPr>
          <w:rFonts w:ascii="宋体" w:hAnsi="宋体"/>
          <w:szCs w:val="21"/>
        </w:rPr>
        <w:t xml:space="preserve">               </w:t>
      </w:r>
      <w:r>
        <w:rPr>
          <w:rFonts w:hint="eastAsia" w:ascii="宋体" w:hAnsi="宋体"/>
          <w:szCs w:val="21"/>
        </w:rPr>
        <w:t>（签字或盖章）</w:t>
      </w:r>
    </w:p>
    <w:p>
      <w:pPr>
        <w:pStyle w:val="7"/>
        <w:spacing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line="440" w:lineRule="exact"/>
        <w:ind w:left="2274" w:leftChars="1083"/>
        <w:rPr>
          <w:rFonts w:ascii="宋体" w:hAnsi="宋体"/>
          <w:szCs w:val="21"/>
        </w:rPr>
      </w:pPr>
      <w:r>
        <w:rPr>
          <w:rFonts w:hint="eastAsia" w:ascii="宋体" w:hAnsi="宋体"/>
          <w:szCs w:val="21"/>
        </w:rPr>
        <w:t>委托代理人（身份证号码）：</w:t>
      </w:r>
      <w:r>
        <w:rPr>
          <w:rFonts w:ascii="宋体" w:hAnsi="宋体"/>
          <w:szCs w:val="21"/>
        </w:rPr>
        <w:t xml:space="preserve"> </w:t>
      </w:r>
      <w:r>
        <w:rPr>
          <w:rFonts w:hint="eastAsia" w:ascii="宋体" w:hAnsi="宋体"/>
          <w:szCs w:val="21"/>
        </w:rPr>
        <w:t xml:space="preserve">              （签字）</w:t>
      </w:r>
    </w:p>
    <w:p>
      <w:pPr>
        <w:spacing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600" w:lineRule="exact"/>
        <w:ind w:firstLine="420" w:firstLineChars="200"/>
        <w:rPr>
          <w:rFonts w:ascii="宋体" w:hAnsi="宋体"/>
          <w:szCs w:val="21"/>
        </w:rPr>
      </w:pPr>
    </w:p>
    <w:p>
      <w:pPr>
        <w:pStyle w:val="16"/>
      </w:pPr>
    </w:p>
    <w:p>
      <w:pPr>
        <w:spacing w:line="600" w:lineRule="exact"/>
        <w:ind w:firstLine="420" w:firstLineChars="200"/>
        <w:rPr>
          <w:rFonts w:ascii="宋体" w:hAnsi="宋体"/>
          <w:szCs w:val="21"/>
        </w:rPr>
      </w:pPr>
    </w:p>
    <w:p/>
    <w:bookmarkEnd w:id="14"/>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b/>
          <w:color w:val="000000"/>
          <w:sz w:val="28"/>
          <w:szCs w:val="28"/>
        </w:rPr>
      </w:pPr>
      <w:r>
        <w:rPr>
          <w:rFonts w:hint="eastAsia"/>
          <w:b/>
          <w:color w:val="000000"/>
          <w:sz w:val="28"/>
          <w:szCs w:val="28"/>
        </w:rPr>
        <w:t>诚信投标承诺书  </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一、将遵循公</w:t>
      </w:r>
      <w:bookmarkStart w:id="15" w:name="_Toc503196197"/>
      <w:bookmarkStart w:id="16" w:name="_Toc506107356"/>
      <w:bookmarkStart w:id="17" w:name="_Toc26598"/>
      <w:r>
        <w:rPr>
          <w:rFonts w:hint="eastAsia" w:ascii="微软雅黑" w:hAnsi="微软雅黑" w:eastAsia="微软雅黑" w:cs="微软雅黑"/>
          <w:color w:val="000000"/>
          <w:szCs w:val="21"/>
        </w:rPr>
        <w:t>开、公正和诚实信用</w:t>
      </w:r>
      <w:bookmarkEnd w:id="15"/>
      <w:bookmarkEnd w:id="16"/>
      <w:r>
        <w:rPr>
          <w:rFonts w:hint="eastAsia" w:ascii="微软雅黑" w:hAnsi="微软雅黑" w:eastAsia="微软雅黑" w:cs="微软雅黑"/>
          <w:color w:val="000000"/>
          <w:szCs w:val="21"/>
        </w:rPr>
        <w:t>的</w:t>
      </w:r>
      <w:bookmarkEnd w:id="17"/>
      <w:r>
        <w:rPr>
          <w:rFonts w:hint="eastAsia" w:ascii="微软雅黑" w:hAnsi="微软雅黑" w:eastAsia="微软雅黑" w:cs="微软雅黑"/>
          <w:color w:val="000000"/>
          <w:szCs w:val="21"/>
        </w:rPr>
        <w:t>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九、保证中标之后，按照投标文件承诺派驻管理人员及投入相关设备，如有违反，同意接受建设单位违约处罚；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无其他尚未完工（以竣工、交工、完工验收报告等手续为准）项目或在已中标项目（以发放中标通知书为准）中担任项目经理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十四、承诺满足投标文件中“二、投标人资质要求，3. 投标人信誉要求”的要求条件。</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
    <w:p/>
    <w:p/>
    <w:p/>
    <w:p/>
    <w:p/>
    <w:p/>
    <w:p/>
    <w:p/>
    <w:p/>
    <w:p/>
    <w:p/>
    <w:p/>
    <w:p/>
    <w:p/>
    <w:p/>
    <w:p/>
    <w:p/>
    <w:p/>
    <w:p/>
    <w:p/>
    <w:p/>
    <w:p/>
    <w:p/>
    <w:p/>
    <w:p/>
    <w:p/>
    <w:p/>
    <w:p>
      <w:pPr>
        <w:pStyle w:val="16"/>
      </w:pPr>
    </w:p>
    <w:p/>
    <w:p>
      <w:pPr>
        <w:pStyle w:val="16"/>
      </w:pPr>
    </w:p>
    <w:p/>
    <w:p>
      <w:pPr>
        <w:pStyle w:val="16"/>
      </w:pPr>
    </w:p>
    <w:p/>
    <w:p/>
    <w:p>
      <w:pPr>
        <w:jc w:val="left"/>
        <w:rPr>
          <w:rFonts w:ascii="宋体" w:hAnsi="宋体" w:cs="宋体"/>
          <w:b/>
          <w:sz w:val="28"/>
          <w:szCs w:val="28"/>
        </w:rPr>
      </w:pPr>
      <w:r>
        <w:rPr>
          <w:rFonts w:hint="eastAsia" w:ascii="宋体" w:hAnsi="宋体" w:cs="宋体"/>
          <w:b/>
          <w:sz w:val="28"/>
          <w:szCs w:val="28"/>
        </w:rPr>
        <w:t>附件2</w:t>
      </w: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商务技术投标文件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line="720" w:lineRule="auto"/>
        <w:jc w:val="center"/>
        <w:rPr>
          <w:rFonts w:ascii="宋体" w:hAnsi="宋体" w:cs="宋体"/>
          <w:b/>
          <w:sz w:val="24"/>
        </w:rPr>
      </w:pPr>
    </w:p>
    <w:p>
      <w:pPr>
        <w:pStyle w:val="13"/>
        <w:ind w:left="420" w:firstLine="482"/>
        <w:rPr>
          <w:rFonts w:hAnsi="宋体" w:cs="宋体"/>
          <w:b/>
          <w:sz w:val="24"/>
          <w:szCs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1</w:t>
      </w:r>
      <w:r>
        <w:rPr>
          <w:rFonts w:hint="eastAsia" w:ascii="宋体" w:hAnsi="Times New Roman"/>
          <w:szCs w:val="21"/>
        </w:rPr>
        <w:t>）项目组织实施方案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2</w:t>
      </w:r>
      <w:r>
        <w:rPr>
          <w:rFonts w:hint="eastAsia" w:ascii="宋体" w:hAnsi="Times New Roman"/>
          <w:szCs w:val="21"/>
        </w:rPr>
        <w:t>）项目负责人和成员名单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3</w:t>
      </w:r>
      <w:r>
        <w:rPr>
          <w:rFonts w:hint="eastAsia" w:ascii="宋体" w:hAnsi="Times New Roman"/>
          <w:szCs w:val="21"/>
        </w:rPr>
        <w:t>）售后服务方案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4</w:t>
      </w:r>
      <w:r>
        <w:rPr>
          <w:rFonts w:hint="eastAsia" w:ascii="宋体" w:hAnsi="Times New Roman"/>
          <w:szCs w:val="21"/>
        </w:rPr>
        <w:t>）投标人认为需要的其他商务技术文件或说明</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5</w:t>
      </w:r>
      <w:r>
        <w:rPr>
          <w:rFonts w:hint="eastAsia" w:ascii="宋体" w:hAnsi="Times New Roman"/>
          <w:szCs w:val="21"/>
        </w:rPr>
        <w:t>）报价清单</w:t>
      </w:r>
    </w:p>
    <w:p>
      <w:pPr>
        <w:spacing w:line="440" w:lineRule="exact"/>
        <w:ind w:firstLine="422" w:firstLineChars="200"/>
        <w:rPr>
          <w:rFonts w:ascii="宋体" w:hAnsi="Times New Roman"/>
          <w:b/>
          <w:bCs/>
          <w:szCs w:val="21"/>
        </w:rPr>
      </w:pPr>
      <w:r>
        <w:rPr>
          <w:rFonts w:hint="eastAsia" w:ascii="宋体" w:hAnsi="Times New Roman"/>
          <w:b/>
          <w:bCs/>
          <w:szCs w:val="21"/>
        </w:rPr>
        <w:t>注：以上目录是基本格式要求，各投标人可根据自身情况进一步细化。</w:t>
      </w:r>
    </w:p>
    <w:p>
      <w:pPr>
        <w:snapToGrid w:val="0"/>
        <w:spacing w:line="360" w:lineRule="auto"/>
        <w:jc w:val="center"/>
        <w:rPr>
          <w:rFonts w:ascii="仿宋" w:hAnsi="仿宋" w:eastAsia="仿宋" w:cs="仿宋_GB2312"/>
          <w:b/>
          <w:color w:val="000000"/>
          <w:kern w:val="0"/>
          <w:sz w:val="32"/>
          <w:szCs w:val="32"/>
          <w:lang w:val="zh-CN"/>
        </w:rPr>
      </w:pPr>
    </w:p>
    <w:p/>
    <w:p/>
    <w:p/>
    <w:p/>
    <w:p>
      <w:pPr>
        <w:pStyle w:val="16"/>
      </w:pPr>
    </w:p>
    <w:p/>
    <w:p>
      <w:pPr>
        <w:pStyle w:val="16"/>
      </w:pPr>
    </w:p>
    <w:p/>
    <w:p>
      <w:pPr>
        <w:pStyle w:val="16"/>
      </w:pPr>
    </w:p>
    <w:p/>
    <w:p>
      <w:pPr>
        <w:pStyle w:val="16"/>
      </w:pPr>
    </w:p>
    <w:p/>
    <w:p>
      <w:pPr>
        <w:pStyle w:val="16"/>
      </w:pPr>
    </w:p>
    <w:p/>
    <w:p>
      <w:pPr>
        <w:pStyle w:val="16"/>
      </w:pPr>
    </w:p>
    <w:p/>
    <w:p>
      <w:pPr>
        <w:pStyle w:val="16"/>
      </w:pPr>
    </w:p>
    <w:p/>
    <w:p/>
    <w:p/>
    <w:p>
      <w:pPr>
        <w:pStyle w:val="16"/>
      </w:pPr>
    </w:p>
    <w:p/>
    <w:p/>
    <w:p>
      <w:pPr>
        <w:tabs>
          <w:tab w:val="left" w:pos="2790"/>
          <w:tab w:val="left" w:pos="4230"/>
        </w:tabs>
        <w:autoSpaceDE w:val="0"/>
        <w:autoSpaceDN w:val="0"/>
        <w:spacing w:line="360" w:lineRule="auto"/>
        <w:ind w:right="1400"/>
        <w:jc w:val="center"/>
        <w:outlineLvl w:val="1"/>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一、项目组织实施方案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autoSpaceDE w:val="0"/>
        <w:autoSpaceDN w:val="0"/>
        <w:spacing w:line="360" w:lineRule="auto"/>
        <w:jc w:val="center"/>
        <w:rPr>
          <w:rFonts w:ascii="仿宋" w:hAnsi="仿宋" w:eastAsia="仿宋" w:cs="仿宋_GB2312"/>
          <w:color w:val="000000"/>
          <w:kern w:val="0"/>
          <w:sz w:val="24"/>
        </w:rPr>
      </w:pPr>
      <w:r>
        <w:rPr>
          <w:rFonts w:hint="eastAsia" w:ascii="仿宋" w:hAnsi="仿宋" w:eastAsia="仿宋" w:cs="仿宋_GB2312"/>
          <w:color w:val="000000"/>
          <w:sz w:val="24"/>
        </w:rPr>
        <w:br w:type="page"/>
      </w: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二、项目负责人和成员名单</w:t>
      </w:r>
    </w:p>
    <w:p>
      <w:pPr>
        <w:spacing w:line="360" w:lineRule="auto"/>
        <w:rPr>
          <w:rFonts w:ascii="仿宋" w:hAnsi="仿宋" w:eastAsia="仿宋" w:cs="仿宋_GB2312"/>
          <w:color w:val="000000"/>
          <w:sz w:val="24"/>
        </w:rPr>
      </w:pPr>
    </w:p>
    <w:tbl>
      <w:tblPr>
        <w:tblStyle w:val="14"/>
        <w:tblW w:w="0" w:type="auto"/>
        <w:jc w:val="center"/>
        <w:tblLayout w:type="fixed"/>
        <w:tblCellMar>
          <w:top w:w="0" w:type="dxa"/>
          <w:left w:w="108" w:type="dxa"/>
          <w:bottom w:w="0" w:type="dxa"/>
          <w:right w:w="108" w:type="dxa"/>
        </w:tblCellMar>
      </w:tblPr>
      <w:tblGrid>
        <w:gridCol w:w="709"/>
        <w:gridCol w:w="851"/>
        <w:gridCol w:w="708"/>
        <w:gridCol w:w="709"/>
        <w:gridCol w:w="709"/>
        <w:gridCol w:w="1134"/>
        <w:gridCol w:w="709"/>
        <w:gridCol w:w="3543"/>
      </w:tblGrid>
      <w:tr>
        <w:tblPrEx>
          <w:tblCellMar>
            <w:top w:w="0" w:type="dxa"/>
            <w:left w:w="108" w:type="dxa"/>
            <w:bottom w:w="0" w:type="dxa"/>
            <w:right w:w="108" w:type="dxa"/>
          </w:tblCellMar>
        </w:tblPrEx>
        <w:trPr>
          <w:jc w:val="center"/>
        </w:trPr>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序号</w:t>
            </w:r>
          </w:p>
        </w:tc>
        <w:tc>
          <w:tcPr>
            <w:tcW w:w="85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姓名</w:t>
            </w:r>
          </w:p>
        </w:tc>
        <w:tc>
          <w:tcPr>
            <w:tcW w:w="70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性别</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年龄</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学历</w:t>
            </w:r>
          </w:p>
        </w:tc>
        <w:tc>
          <w:tcPr>
            <w:tcW w:w="1134"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专业</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职称</w:t>
            </w:r>
          </w:p>
        </w:tc>
        <w:tc>
          <w:tcPr>
            <w:tcW w:w="3543"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本项目中的工作内容</w:t>
            </w:r>
          </w:p>
        </w:tc>
      </w:tr>
      <w:tr>
        <w:tblPrEx>
          <w:tblCellMar>
            <w:top w:w="0" w:type="dxa"/>
            <w:left w:w="108" w:type="dxa"/>
            <w:bottom w:w="0" w:type="dxa"/>
            <w:right w:w="108" w:type="dxa"/>
          </w:tblCellMar>
        </w:tblPrEx>
        <w:trPr>
          <w:trHeight w:val="479"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r>
        <w:tblPrEx>
          <w:tblCellMar>
            <w:top w:w="0" w:type="dxa"/>
            <w:left w:w="108" w:type="dxa"/>
            <w:bottom w:w="0" w:type="dxa"/>
            <w:right w:w="108" w:type="dxa"/>
          </w:tblCellMar>
        </w:tblPrEx>
        <w:trPr>
          <w:trHeight w:val="473"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bl>
    <w:p>
      <w:pPr>
        <w:autoSpaceDE w:val="0"/>
        <w:autoSpaceDN w:val="0"/>
        <w:spacing w:line="360" w:lineRule="auto"/>
        <w:ind w:firstLine="4578" w:firstLineChars="1900"/>
        <w:rPr>
          <w:rFonts w:ascii="仿宋" w:hAnsi="仿宋" w:eastAsia="仿宋" w:cs="仿宋_GB2312"/>
          <w:b/>
          <w:color w:val="000000"/>
          <w:sz w:val="24"/>
        </w:rPr>
      </w:pPr>
    </w:p>
    <w:p>
      <w:pPr>
        <w:autoSpaceDE w:val="0"/>
        <w:autoSpaceDN w:val="0"/>
        <w:spacing w:line="360" w:lineRule="auto"/>
        <w:ind w:firstLine="4560" w:firstLineChars="1900"/>
        <w:rPr>
          <w:rFonts w:ascii="仿宋" w:hAnsi="仿宋" w:eastAsia="仿宋" w:cs="仿宋_GB2312"/>
          <w:color w:val="000000"/>
          <w:kern w:val="0"/>
          <w:sz w:val="24"/>
        </w:rPr>
      </w:pPr>
      <w:r>
        <w:rPr>
          <w:rFonts w:hint="eastAsia" w:ascii="仿宋" w:hAnsi="仿宋" w:eastAsia="仿宋" w:cs="仿宋_GB2312"/>
          <w:color w:val="000000"/>
          <w:kern w:val="0"/>
          <w:sz w:val="24"/>
        </w:rPr>
        <w:t>投标人名称：</w:t>
      </w:r>
    </w:p>
    <w:p>
      <w:pPr>
        <w:snapToGrid w:val="0"/>
        <w:spacing w:before="50" w:after="50"/>
        <w:rPr>
          <w:rFonts w:ascii="仿宋" w:hAnsi="仿宋" w:eastAsia="仿宋" w:cs="仿宋_GB2312"/>
          <w:color w:val="000000"/>
          <w:kern w:val="0"/>
          <w:sz w:val="24"/>
        </w:rPr>
      </w:pPr>
      <w:r>
        <w:rPr>
          <w:rFonts w:hint="eastAsia" w:ascii="仿宋" w:hAnsi="仿宋" w:eastAsia="仿宋" w:cs="仿宋_GB2312"/>
          <w:color w:val="000000"/>
          <w:kern w:val="0"/>
          <w:sz w:val="24"/>
        </w:rPr>
        <w:t xml:space="preserve">                                       日期：  年  月   日</w:t>
      </w:r>
    </w:p>
    <w:p>
      <w:pPr>
        <w:spacing w:line="360" w:lineRule="auto"/>
        <w:jc w:val="center"/>
        <w:rPr>
          <w:rFonts w:ascii="仿宋" w:hAnsi="仿宋" w:eastAsia="仿宋" w:cs="仿宋_GB2312"/>
          <w:b/>
          <w:bCs/>
          <w:color w:val="000000"/>
          <w:sz w:val="32"/>
          <w:szCs w:val="32"/>
        </w:rPr>
      </w:pPr>
      <w:r>
        <w:rPr>
          <w:rFonts w:ascii="仿宋" w:hAnsi="仿宋" w:eastAsia="仿宋" w:cs="仿宋_GB2312"/>
          <w:b/>
          <w:bCs/>
          <w:color w:val="000000"/>
          <w:sz w:val="32"/>
          <w:szCs w:val="32"/>
        </w:rPr>
        <w:br w:type="page"/>
      </w:r>
      <w:r>
        <w:rPr>
          <w:rFonts w:hint="eastAsia" w:ascii="仿宋" w:hAnsi="仿宋" w:eastAsia="仿宋" w:cs="仿宋_GB2312"/>
          <w:b/>
          <w:bCs/>
          <w:color w:val="000000"/>
          <w:sz w:val="32"/>
          <w:szCs w:val="32"/>
        </w:rPr>
        <w:t>三、售后服务方案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四、投标人认为需要的其他商务技术文件或说明</w:t>
      </w:r>
    </w:p>
    <w:p>
      <w:pPr>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pStyle w:val="16"/>
        <w:rPr>
          <w:rFonts w:ascii="仿宋" w:hAnsi="仿宋" w:eastAsia="仿宋" w:cs="仿宋_GB2312"/>
          <w:b/>
          <w:bCs/>
          <w:color w:val="000000"/>
        </w:rPr>
      </w:pPr>
      <w:r>
        <w:rPr>
          <w:rFonts w:ascii="仿宋" w:hAnsi="仿宋" w:eastAsia="仿宋" w:cs="仿宋_GB2312"/>
          <w:b/>
          <w:bCs/>
          <w:color w:val="000000"/>
        </w:rPr>
        <w:tab/>
      </w: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Pr>
        <w:pStyle w:val="16"/>
        <w:rPr>
          <w:rFonts w:ascii="仿宋" w:hAnsi="仿宋" w:eastAsia="仿宋" w:cs="仿宋_GB2312"/>
          <w:b/>
          <w:bCs/>
          <w:color w:val="000000"/>
        </w:rPr>
      </w:pPr>
      <w:r>
        <w:rPr>
          <w:rFonts w:hint="eastAsia" w:ascii="仿宋" w:hAnsi="仿宋" w:eastAsia="仿宋" w:cs="仿宋_GB2312"/>
          <w:b/>
          <w:bCs/>
          <w:color w:val="000000"/>
        </w:rPr>
        <w:t>五、报价清单</w:t>
      </w:r>
    </w:p>
    <w:tbl>
      <w:tblPr>
        <w:tblStyle w:val="14"/>
        <w:tblW w:w="9635" w:type="dxa"/>
        <w:jc w:val="center"/>
        <w:tblLayout w:type="autofit"/>
        <w:tblCellMar>
          <w:top w:w="0" w:type="dxa"/>
          <w:left w:w="108" w:type="dxa"/>
          <w:bottom w:w="0" w:type="dxa"/>
          <w:right w:w="108" w:type="dxa"/>
        </w:tblCellMar>
      </w:tblPr>
      <w:tblGrid>
        <w:gridCol w:w="640"/>
        <w:gridCol w:w="1623"/>
        <w:gridCol w:w="3828"/>
        <w:gridCol w:w="708"/>
        <w:gridCol w:w="709"/>
        <w:gridCol w:w="709"/>
        <w:gridCol w:w="709"/>
        <w:gridCol w:w="709"/>
      </w:tblGrid>
      <w:tr>
        <w:tblPrEx>
          <w:tblCellMar>
            <w:top w:w="0" w:type="dxa"/>
            <w:left w:w="108" w:type="dxa"/>
            <w:bottom w:w="0" w:type="dxa"/>
            <w:right w:w="108" w:type="dxa"/>
          </w:tblCellMar>
        </w:tblPrEx>
        <w:trPr>
          <w:trHeight w:val="510" w:hRule="atLeast"/>
          <w:jc w:val="center"/>
        </w:trPr>
        <w:tc>
          <w:tcPr>
            <w:tcW w:w="64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序号</w:t>
            </w:r>
          </w:p>
        </w:tc>
        <w:tc>
          <w:tcPr>
            <w:tcW w:w="1623"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项目名称</w:t>
            </w:r>
          </w:p>
        </w:tc>
        <w:tc>
          <w:tcPr>
            <w:tcW w:w="382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项目特征描述</w:t>
            </w:r>
          </w:p>
        </w:tc>
        <w:tc>
          <w:tcPr>
            <w:tcW w:w="70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单位</w:t>
            </w:r>
          </w:p>
        </w:tc>
        <w:tc>
          <w:tcPr>
            <w:tcW w:w="709"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工程量</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综合单价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合计</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kern w:val="0"/>
                <w:sz w:val="22"/>
                <w:szCs w:val="22"/>
                <w:lang w:val="en-US" w:eastAsia="zh-CN"/>
              </w:rPr>
            </w:pPr>
            <w:r>
              <w:rPr>
                <w:rFonts w:hint="eastAsia" w:ascii="宋体" w:hAnsi="宋体" w:cs="Arial"/>
                <w:kern w:val="0"/>
                <w:sz w:val="22"/>
                <w:szCs w:val="22"/>
                <w:lang w:val="en-US" w:eastAsia="zh-CN"/>
              </w:rPr>
              <w:t>税率</w:t>
            </w: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电视及拆除和安装</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大剧院16块屏幕查出搬运至扬子宾馆，8块屏幕并根据现场需求重新安装电视上墙。</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机柜网络设备迁移</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机柜、服务器等相关网络设备拆除、迁移、整合安装。</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110"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1、视频监控前后端设备IP地址重新规划调试，并相应调整新监控中心和25个停车场各设备的IP地址。</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2、监控解码设备配置清空、重新整合并配置视频通道播放方案。</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25个停车场，双边网络调试配置停车场与新网络节点之间建立VPN链接。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点位</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电脑拆除按照</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电脑拆除，按新需求组合成多屏显示视频监看设备。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cs="Arial"/>
                <w:color w:val="000000"/>
                <w:sz w:val="22"/>
                <w:szCs w:val="22"/>
              </w:rPr>
              <w:t>新生路停车场道闸迁移改造</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拆除出入口道闸对出口进行封闭，将设备迁移至原入口处，重做进出口设备安全岛，安装道闸等设备并调试运行，含所有材料、设备和人工。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搬运费</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所有相关设备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795" w:hRule="atLeast"/>
          <w:jc w:val="center"/>
        </w:trPr>
        <w:tc>
          <w:tcPr>
            <w:tcW w:w="9635"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 w:hAnsi="仿宋" w:eastAsia="仿宋"/>
                <w:b/>
                <w:color w:val="000000"/>
                <w:sz w:val="24"/>
              </w:rPr>
            </w:pPr>
            <w:r>
              <w:rPr>
                <w:rFonts w:hint="eastAsia" w:ascii="仿宋" w:hAnsi="仿宋" w:eastAsia="仿宋"/>
                <w:b/>
                <w:color w:val="000000"/>
                <w:sz w:val="24"/>
              </w:rPr>
              <w:t xml:space="preserve">投标总价合计金额大写：                            小写： </w:t>
            </w:r>
            <w:r>
              <w:rPr>
                <w:rFonts w:hint="eastAsia" w:ascii="仿宋" w:hAnsi="仿宋" w:eastAsia="仿宋"/>
                <w:b/>
                <w:color w:val="000000"/>
                <w:sz w:val="24"/>
                <w:lang w:eastAsia="zh-CN"/>
              </w:rPr>
              <w:t>￥</w:t>
            </w:r>
            <w:r>
              <w:rPr>
                <w:rFonts w:hint="eastAsia" w:ascii="仿宋" w:hAnsi="仿宋" w:eastAsia="仿宋"/>
                <w:b/>
                <w:color w:val="000000"/>
                <w:sz w:val="24"/>
                <w:u w:val="single"/>
              </w:rPr>
              <w:t xml:space="preserve">      </w:t>
            </w:r>
            <w:r>
              <w:rPr>
                <w:rFonts w:hint="eastAsia" w:ascii="仿宋" w:hAnsi="仿宋" w:eastAsia="仿宋"/>
                <w:b/>
                <w:color w:val="000000"/>
                <w:sz w:val="24"/>
                <w:u w:val="single"/>
                <w:lang w:val="en-US" w:eastAsia="zh-CN"/>
              </w:rPr>
              <w:t xml:space="preserve">  </w:t>
            </w:r>
            <w:r>
              <w:rPr>
                <w:rFonts w:hint="eastAsia" w:ascii="仿宋" w:hAnsi="仿宋" w:eastAsia="仿宋"/>
                <w:b/>
                <w:color w:val="000000"/>
                <w:sz w:val="24"/>
                <w:u w:val="single"/>
              </w:rPr>
              <w:t xml:space="preserve">   </w:t>
            </w:r>
            <w:r>
              <w:rPr>
                <w:rFonts w:hint="eastAsia" w:ascii="仿宋" w:hAnsi="仿宋" w:eastAsia="仿宋"/>
                <w:b/>
                <w:color w:val="000000"/>
                <w:sz w:val="24"/>
              </w:rPr>
              <w:t xml:space="preserve">    </w:t>
            </w:r>
          </w:p>
        </w:tc>
      </w:tr>
    </w:tbl>
    <w:p>
      <w:pPr>
        <w:pStyle w:val="16"/>
        <w:ind w:left="0" w:leftChars="0"/>
        <w:rPr>
          <w:rFonts w:ascii="宋体" w:hAnsi="宋体" w:eastAsia="宋体" w:cs="Arial"/>
          <w:color w:val="000000"/>
          <w:kern w:val="0"/>
          <w:sz w:val="22"/>
          <w:szCs w:val="22"/>
        </w:rPr>
      </w:pPr>
      <w:r>
        <w:rPr>
          <w:rFonts w:hint="eastAsia" w:ascii="宋体" w:hAnsi="宋体" w:eastAsia="宋体" w:cs="Arial"/>
          <w:color w:val="000000"/>
          <w:kern w:val="0"/>
          <w:sz w:val="22"/>
          <w:szCs w:val="22"/>
        </w:rPr>
        <w:t>注：须注明报价清单中的各项目税率。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2"/>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186D08F6"/>
    <w:rsid w:val="000178F3"/>
    <w:rsid w:val="00025B0A"/>
    <w:rsid w:val="00047E7F"/>
    <w:rsid w:val="00052890"/>
    <w:rsid w:val="0007560F"/>
    <w:rsid w:val="00094C31"/>
    <w:rsid w:val="000A4163"/>
    <w:rsid w:val="000E54A6"/>
    <w:rsid w:val="0011425D"/>
    <w:rsid w:val="001416A0"/>
    <w:rsid w:val="00151C80"/>
    <w:rsid w:val="00166C2E"/>
    <w:rsid w:val="00170DEA"/>
    <w:rsid w:val="001736AC"/>
    <w:rsid w:val="001A177F"/>
    <w:rsid w:val="00201C90"/>
    <w:rsid w:val="002349BC"/>
    <w:rsid w:val="0024204F"/>
    <w:rsid w:val="002F0F62"/>
    <w:rsid w:val="00372D43"/>
    <w:rsid w:val="003A79FF"/>
    <w:rsid w:val="003E231D"/>
    <w:rsid w:val="003E3BF3"/>
    <w:rsid w:val="003F0C30"/>
    <w:rsid w:val="0040246A"/>
    <w:rsid w:val="00415D6E"/>
    <w:rsid w:val="00463C1B"/>
    <w:rsid w:val="00470CF8"/>
    <w:rsid w:val="004773AB"/>
    <w:rsid w:val="004807DD"/>
    <w:rsid w:val="004A4D98"/>
    <w:rsid w:val="004A55B0"/>
    <w:rsid w:val="004C53D6"/>
    <w:rsid w:val="004D2817"/>
    <w:rsid w:val="004F181E"/>
    <w:rsid w:val="005107DE"/>
    <w:rsid w:val="0052050C"/>
    <w:rsid w:val="005350C2"/>
    <w:rsid w:val="005778EF"/>
    <w:rsid w:val="00580F45"/>
    <w:rsid w:val="00602220"/>
    <w:rsid w:val="0062338B"/>
    <w:rsid w:val="006256AB"/>
    <w:rsid w:val="006532F9"/>
    <w:rsid w:val="006D06EA"/>
    <w:rsid w:val="006D646E"/>
    <w:rsid w:val="006E4216"/>
    <w:rsid w:val="00717D20"/>
    <w:rsid w:val="00764923"/>
    <w:rsid w:val="007742A9"/>
    <w:rsid w:val="007A3D8C"/>
    <w:rsid w:val="008463B7"/>
    <w:rsid w:val="008602A4"/>
    <w:rsid w:val="00882F7C"/>
    <w:rsid w:val="00890664"/>
    <w:rsid w:val="009165A0"/>
    <w:rsid w:val="00944A4B"/>
    <w:rsid w:val="00955C0B"/>
    <w:rsid w:val="00964FEC"/>
    <w:rsid w:val="00992A3C"/>
    <w:rsid w:val="00997E8B"/>
    <w:rsid w:val="009C76C3"/>
    <w:rsid w:val="009D49AE"/>
    <w:rsid w:val="009F0BE8"/>
    <w:rsid w:val="00A07954"/>
    <w:rsid w:val="00A35956"/>
    <w:rsid w:val="00A45A73"/>
    <w:rsid w:val="00A82136"/>
    <w:rsid w:val="00AD3FDE"/>
    <w:rsid w:val="00AE64A2"/>
    <w:rsid w:val="00BB2799"/>
    <w:rsid w:val="00BF17A0"/>
    <w:rsid w:val="00C07D9A"/>
    <w:rsid w:val="00C45769"/>
    <w:rsid w:val="00C62D81"/>
    <w:rsid w:val="00C71545"/>
    <w:rsid w:val="00CD5576"/>
    <w:rsid w:val="00CE0AC5"/>
    <w:rsid w:val="00CE6C4D"/>
    <w:rsid w:val="00D73A49"/>
    <w:rsid w:val="00DD672F"/>
    <w:rsid w:val="00DF4674"/>
    <w:rsid w:val="00E22DC3"/>
    <w:rsid w:val="00E24EFE"/>
    <w:rsid w:val="00F25DC7"/>
    <w:rsid w:val="00F93745"/>
    <w:rsid w:val="00FB365C"/>
    <w:rsid w:val="00FC0BC4"/>
    <w:rsid w:val="00FF47D1"/>
    <w:rsid w:val="08FB39F2"/>
    <w:rsid w:val="186D08F6"/>
    <w:rsid w:val="1C0C4F7A"/>
    <w:rsid w:val="34C13918"/>
    <w:rsid w:val="48315C4B"/>
    <w:rsid w:val="48594B01"/>
    <w:rsid w:val="49E44EE9"/>
    <w:rsid w:val="49E9558D"/>
    <w:rsid w:val="4E387087"/>
    <w:rsid w:val="527A19D9"/>
    <w:rsid w:val="5717598F"/>
    <w:rsid w:val="68B56B93"/>
    <w:rsid w:val="6A1D1DA5"/>
    <w:rsid w:val="6DB8409D"/>
    <w:rsid w:val="707E182D"/>
    <w:rsid w:val="72C11A41"/>
    <w:rsid w:val="736967C5"/>
    <w:rsid w:val="73E902AD"/>
    <w:rsid w:val="75884AE9"/>
    <w:rsid w:val="761505CB"/>
    <w:rsid w:val="779B252D"/>
    <w:rsid w:val="7D026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2">
    <w:name w:val="heading 2"/>
    <w:basedOn w:val="1"/>
    <w:next w:val="1"/>
    <w:link w:val="20"/>
    <w:qFormat/>
    <w:uiPriority w:val="0"/>
    <w:pPr>
      <w:keepNext/>
      <w:keepLines/>
      <w:numPr>
        <w:ilvl w:val="1"/>
        <w:numId w:val="1"/>
      </w:numPr>
      <w:adjustRightInd w:val="0"/>
      <w:spacing w:line="400" w:lineRule="exact"/>
      <w:ind w:left="0" w:firstLine="0"/>
      <w:jc w:val="left"/>
      <w:outlineLvl w:val="1"/>
    </w:pPr>
    <w:rPr>
      <w:b/>
    </w:rPr>
  </w:style>
  <w:style w:type="paragraph" w:styleId="4">
    <w:name w:val="heading 3"/>
    <w:basedOn w:val="1"/>
    <w:next w:val="1"/>
    <w:link w:val="25"/>
    <w:semiHidden/>
    <w:unhideWhenUsed/>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link w:val="28"/>
    <w:qFormat/>
    <w:uiPriority w:val="0"/>
    <w:pPr>
      <w:adjustRightInd w:val="0"/>
    </w:pPr>
    <w:rPr>
      <w:rFonts w:ascii="Times New Roman" w:hAnsi="Times New Roman"/>
      <w:b/>
      <w:sz w:val="28"/>
      <w:szCs w:val="20"/>
    </w:rPr>
  </w:style>
  <w:style w:type="paragraph" w:styleId="6">
    <w:name w:val="annotation text"/>
    <w:basedOn w:val="1"/>
    <w:link w:val="23"/>
    <w:unhideWhenUsed/>
    <w:qFormat/>
    <w:uiPriority w:val="0"/>
    <w:pPr>
      <w:jc w:val="left"/>
    </w:pPr>
  </w:style>
  <w:style w:type="paragraph" w:styleId="7">
    <w:name w:val="Body Text Indent"/>
    <w:basedOn w:val="1"/>
    <w:link w:val="21"/>
    <w:qFormat/>
    <w:uiPriority w:val="0"/>
    <w:pPr>
      <w:spacing w:after="120"/>
      <w:ind w:left="420" w:leftChars="200"/>
    </w:p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tabs>
        <w:tab w:val="center" w:pos="4153"/>
        <w:tab w:val="right" w:pos="8306"/>
      </w:tabs>
      <w:snapToGrid w:val="0"/>
      <w:jc w:val="center"/>
    </w:pPr>
    <w:rPr>
      <w:sz w:val="18"/>
      <w:szCs w:val="18"/>
    </w:rPr>
  </w:style>
  <w:style w:type="paragraph" w:styleId="10">
    <w:name w:val="toc 1"/>
    <w:basedOn w:val="1"/>
    <w:next w:val="1"/>
    <w:unhideWhenUsed/>
    <w:qFormat/>
    <w:uiPriority w:val="0"/>
  </w:style>
  <w:style w:type="paragraph" w:styleId="11">
    <w:name w:val="List"/>
    <w:basedOn w:val="1"/>
    <w:qFormat/>
    <w:uiPriority w:val="0"/>
    <w:pPr>
      <w:ind w:left="420" w:hanging="420"/>
    </w:pPr>
    <w:rPr>
      <w:rFonts w:ascii="Arial" w:hAnsi="Arial" w:eastAsia="楷体_GB2312"/>
      <w:sz w:val="28"/>
    </w:rPr>
  </w:style>
  <w:style w:type="paragraph" w:styleId="12">
    <w:name w:val="Normal (Web)"/>
    <w:basedOn w:val="1"/>
    <w:qFormat/>
    <w:uiPriority w:val="0"/>
    <w:pPr>
      <w:widowControl/>
      <w:spacing w:before="100" w:beforeAutospacing="1" w:after="100" w:afterAutospacing="1"/>
      <w:jc w:val="left"/>
    </w:pPr>
    <w:rPr>
      <w:rFonts w:ascii="宋体" w:hAnsi="Times New Roman" w:cs="宋体"/>
      <w:kern w:val="0"/>
      <w:sz w:val="24"/>
    </w:rPr>
  </w:style>
  <w:style w:type="paragraph" w:styleId="13">
    <w:name w:val="Body Text First Indent 2"/>
    <w:basedOn w:val="7"/>
    <w:next w:val="1"/>
    <w:link w:val="22"/>
    <w:qFormat/>
    <w:uiPriority w:val="0"/>
    <w:pPr>
      <w:spacing w:line="360" w:lineRule="auto"/>
      <w:ind w:left="200" w:firstLine="200" w:firstLineChars="200"/>
    </w:pPr>
    <w:rPr>
      <w:rFonts w:ascii="宋体"/>
      <w:szCs w:val="20"/>
    </w:rPr>
  </w:style>
  <w:style w:type="paragraph" w:customStyle="1" w:styleId="16">
    <w:name w:val="TableOfAuthoring"/>
    <w:basedOn w:val="1"/>
    <w:next w:val="1"/>
    <w:qFormat/>
    <w:uiPriority w:val="0"/>
    <w:pPr>
      <w:ind w:left="420" w:leftChars="200"/>
      <w:textAlignment w:val="baseline"/>
    </w:pPr>
    <w:rPr>
      <w:rFonts w:eastAsia="仿宋_GB2312"/>
      <w:sz w:val="32"/>
      <w:szCs w:val="32"/>
    </w:rPr>
  </w:style>
  <w:style w:type="paragraph" w:styleId="17">
    <w:name w:val="List Paragraph"/>
    <w:basedOn w:val="1"/>
    <w:qFormat/>
    <w:uiPriority w:val="34"/>
    <w:pPr>
      <w:ind w:firstLine="420" w:firstLineChars="200"/>
    </w:pPr>
    <w:rPr>
      <w:szCs w:val="22"/>
    </w:rPr>
  </w:style>
  <w:style w:type="character" w:customStyle="1" w:styleId="18">
    <w:name w:val="页眉 字符"/>
    <w:basedOn w:val="15"/>
    <w:link w:val="9"/>
    <w:qFormat/>
    <w:uiPriority w:val="0"/>
    <w:rPr>
      <w:rFonts w:ascii="Calibri" w:hAnsi="Calibri" w:eastAsia="宋体" w:cs="Times New Roman"/>
      <w:kern w:val="2"/>
      <w:sz w:val="18"/>
      <w:szCs w:val="18"/>
    </w:rPr>
  </w:style>
  <w:style w:type="character" w:customStyle="1" w:styleId="19">
    <w:name w:val="页脚 字符"/>
    <w:basedOn w:val="15"/>
    <w:link w:val="8"/>
    <w:qFormat/>
    <w:uiPriority w:val="0"/>
    <w:rPr>
      <w:rFonts w:ascii="Calibri" w:hAnsi="Calibri" w:eastAsia="宋体" w:cs="Times New Roman"/>
      <w:kern w:val="2"/>
      <w:sz w:val="18"/>
      <w:szCs w:val="18"/>
    </w:rPr>
  </w:style>
  <w:style w:type="character" w:customStyle="1" w:styleId="20">
    <w:name w:val="标题 2 字符"/>
    <w:basedOn w:val="15"/>
    <w:link w:val="2"/>
    <w:qFormat/>
    <w:uiPriority w:val="0"/>
    <w:rPr>
      <w:rFonts w:ascii="Calibri" w:hAnsi="Calibri" w:eastAsia="宋体" w:cs="Times New Roman"/>
      <w:b/>
      <w:kern w:val="2"/>
      <w:sz w:val="21"/>
      <w:szCs w:val="24"/>
    </w:rPr>
  </w:style>
  <w:style w:type="character" w:customStyle="1" w:styleId="21">
    <w:name w:val="正文文本缩进 字符"/>
    <w:basedOn w:val="15"/>
    <w:link w:val="7"/>
    <w:qFormat/>
    <w:uiPriority w:val="0"/>
    <w:rPr>
      <w:rFonts w:ascii="Calibri" w:hAnsi="Calibri" w:eastAsia="宋体" w:cs="Times New Roman"/>
      <w:kern w:val="2"/>
      <w:sz w:val="21"/>
      <w:szCs w:val="24"/>
    </w:rPr>
  </w:style>
  <w:style w:type="character" w:customStyle="1" w:styleId="22">
    <w:name w:val="正文文本首行缩进 2 字符"/>
    <w:basedOn w:val="21"/>
    <w:link w:val="13"/>
    <w:qFormat/>
    <w:uiPriority w:val="0"/>
    <w:rPr>
      <w:rFonts w:ascii="宋体" w:hAnsi="Calibri" w:eastAsia="宋体" w:cs="Times New Roman"/>
      <w:kern w:val="2"/>
      <w:sz w:val="21"/>
      <w:szCs w:val="24"/>
    </w:rPr>
  </w:style>
  <w:style w:type="character" w:customStyle="1" w:styleId="23">
    <w:name w:val="批注文字 字符"/>
    <w:basedOn w:val="15"/>
    <w:link w:val="6"/>
    <w:qFormat/>
    <w:uiPriority w:val="0"/>
    <w:rPr>
      <w:rFonts w:ascii="Calibri" w:hAnsi="Calibri" w:eastAsia="宋体" w:cs="Times New Roman"/>
      <w:kern w:val="2"/>
      <w:sz w:val="21"/>
      <w:szCs w:val="24"/>
    </w:rPr>
  </w:style>
  <w:style w:type="paragraph" w:customStyle="1" w:styleId="24">
    <w:name w:val="节标题"/>
    <w:basedOn w:val="1"/>
    <w:next w:val="1"/>
    <w:qFormat/>
    <w:uiPriority w:val="0"/>
    <w:pPr>
      <w:spacing w:line="289" w:lineRule="atLeast"/>
      <w:jc w:val="center"/>
    </w:pPr>
    <w:rPr>
      <w:sz w:val="28"/>
    </w:rPr>
  </w:style>
  <w:style w:type="character" w:customStyle="1" w:styleId="25">
    <w:name w:val="标题 3 字符"/>
    <w:basedOn w:val="15"/>
    <w:link w:val="4"/>
    <w:semiHidden/>
    <w:qFormat/>
    <w:uiPriority w:val="0"/>
    <w:rPr>
      <w:rFonts w:ascii="Calibri" w:hAnsi="Calibri" w:eastAsia="宋体" w:cs="Times New Roman"/>
      <w:b/>
      <w:bCs/>
      <w:kern w:val="2"/>
      <w:sz w:val="32"/>
      <w:szCs w:val="32"/>
    </w:rPr>
  </w:style>
  <w:style w:type="character" w:customStyle="1" w:styleId="26">
    <w:name w:val="font11"/>
    <w:qFormat/>
    <w:uiPriority w:val="0"/>
    <w:rPr>
      <w:rFonts w:hint="eastAsia" w:ascii="仿宋" w:hAnsi="仿宋" w:eastAsia="仿宋" w:cs="仿宋"/>
      <w:snapToGrid w:val="0"/>
      <w:color w:val="000000"/>
      <w:kern w:val="0"/>
      <w:sz w:val="24"/>
      <w:szCs w:val="24"/>
      <w:u w:val="none"/>
    </w:rPr>
  </w:style>
  <w:style w:type="paragraph" w:customStyle="1" w:styleId="27">
    <w:name w:val="样式5"/>
    <w:basedOn w:val="1"/>
    <w:qFormat/>
    <w:uiPriority w:val="0"/>
    <w:pPr>
      <w:adjustRightInd w:val="0"/>
      <w:spacing w:line="440" w:lineRule="exact"/>
      <w:ind w:left="2" w:firstLine="480" w:firstLineChars="200"/>
    </w:pPr>
    <w:rPr>
      <w:rFonts w:ascii="仿宋_GB2312" w:hAnsi="仿宋" w:eastAsia="仿宋_GB2312"/>
      <w:sz w:val="24"/>
    </w:rPr>
  </w:style>
  <w:style w:type="character" w:customStyle="1" w:styleId="28">
    <w:name w:val="题注 字符"/>
    <w:link w:val="5"/>
    <w:qFormat/>
    <w:uiPriority w:val="0"/>
    <w:rPr>
      <w:rFonts w:ascii="Times New Roman" w:hAnsi="Times New Roman" w:eastAsia="宋体" w:cs="Times New Roman"/>
      <w:b/>
      <w:kern w:val="2"/>
      <w:sz w:val="28"/>
    </w:rPr>
  </w:style>
  <w:style w:type="character" w:customStyle="1" w:styleId="29">
    <w:name w:val="标题 1 字符"/>
    <w:basedOn w:val="15"/>
    <w:link w:val="3"/>
    <w:qFormat/>
    <w:uiPriority w:val="0"/>
    <w:rPr>
      <w:rFonts w:ascii="Calibri" w:hAnsi="Calibri" w:eastAsia="宋体" w:cs="Times New Roman"/>
      <w:b/>
      <w:bCs/>
      <w:kern w:val="44"/>
      <w:sz w:val="44"/>
      <w:szCs w:val="44"/>
    </w:rPr>
  </w:style>
  <w:style w:type="paragraph" w:customStyle="1" w:styleId="30">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31">
    <w:name w:val="ql-font-timesnewroman"/>
    <w:basedOn w:val="15"/>
    <w:qFormat/>
    <w:uiPriority w:val="0"/>
  </w:style>
  <w:style w:type="paragraph" w:customStyle="1" w:styleId="32">
    <w:name w:val="ql-align-left"/>
    <w:basedOn w:val="1"/>
    <w:qFormat/>
    <w:uiPriority w:val="0"/>
    <w:pPr>
      <w:widowControl/>
      <w:spacing w:before="100" w:beforeAutospacing="1" w:after="100" w:afterAutospacing="1"/>
      <w:jc w:val="left"/>
    </w:pPr>
    <w:rPr>
      <w:rFonts w:ascii="宋体" w:hAnsi="宋体" w:cs="宋体"/>
      <w:kern w:val="0"/>
      <w:sz w:val="24"/>
    </w:rPr>
  </w:style>
  <w:style w:type="character" w:customStyle="1" w:styleId="33">
    <w:name w:val="ql-font-songti"/>
    <w:basedOn w:val="15"/>
    <w:qFormat/>
    <w:uiPriority w:val="0"/>
  </w:style>
  <w:style w:type="character" w:customStyle="1" w:styleId="34">
    <w:name w:val="ql-underline-solid"/>
    <w:basedOn w:val="15"/>
    <w:qFormat/>
    <w:uiPriority w:val="0"/>
  </w:style>
  <w:style w:type="paragraph" w:customStyle="1" w:styleId="35">
    <w:name w:val="ql-align-cent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1106</Words>
  <Characters>6306</Characters>
  <Lines>52</Lines>
  <Paragraphs>14</Paragraphs>
  <TotalTime>6</TotalTime>
  <ScaleCrop>false</ScaleCrop>
  <LinksUpToDate>false</LinksUpToDate>
  <CharactersWithSpaces>7398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2023-12-15T06:48:00Z</dcterms:created>
  <dc:creator>好奇害死汪</dc:creator>
  <cp:lastModifiedBy>好奇害死汪</cp:lastModifiedBy>
  <cp:lastPrinted>2023-11-06T00:18:00Z</cp:lastPrinted>
  <dcterms:modified xsi:type="dcterms:W3CDTF">2023-12-20T03:43:51Z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67A86A082FE04E3AB3C4F6C3BA3978B3_13</vt:lpwstr>
  </property>
</Properties>
</file>