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olor w:val="auto"/>
          <w:highlight w:val="none"/>
        </w:rPr>
      </w:pPr>
      <w:bookmarkStart w:id="0" w:name="OLE_LINK1"/>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700" w:lineRule="exact"/>
        <w:jc w:val="center"/>
        <w:textAlignment w:val="auto"/>
        <w:rPr>
          <w:rFonts w:hint="eastAsia" w:ascii="宋体" w:hAnsi="宋体" w:eastAsia="宋体" w:cs="宋体"/>
          <w:b/>
          <w:bCs/>
          <w:color w:val="auto"/>
          <w:w w:val="85"/>
          <w:sz w:val="44"/>
          <w:szCs w:val="44"/>
          <w:highlight w:val="none"/>
        </w:rPr>
      </w:pPr>
      <w:r>
        <w:rPr>
          <w:rFonts w:hint="eastAsia" w:ascii="宋体" w:hAnsi="宋体" w:eastAsia="宋体" w:cs="宋体"/>
          <w:b/>
          <w:bCs/>
          <w:color w:val="auto"/>
          <w:w w:val="85"/>
          <w:sz w:val="44"/>
          <w:szCs w:val="44"/>
          <w:highlight w:val="none"/>
        </w:rPr>
        <w:t>滁州市扬子工业投资集团有限公司2023年度</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700" w:lineRule="exact"/>
        <w:jc w:val="center"/>
        <w:textAlignment w:val="auto"/>
        <w:rPr>
          <w:rFonts w:hint="default" w:eastAsia="宋体"/>
          <w:color w:val="auto"/>
          <w:highlight w:val="none"/>
          <w:lang w:val="en-US" w:eastAsia="zh-CN"/>
        </w:rPr>
      </w:pPr>
      <w:r>
        <w:rPr>
          <w:rFonts w:hint="eastAsia" w:ascii="宋体" w:hAnsi="宋体" w:eastAsia="宋体" w:cs="宋体"/>
          <w:b/>
          <w:bCs/>
          <w:color w:val="auto"/>
          <w:w w:val="85"/>
          <w:sz w:val="44"/>
          <w:szCs w:val="44"/>
          <w:highlight w:val="none"/>
        </w:rPr>
        <w:t>财务</w:t>
      </w:r>
      <w:r>
        <w:rPr>
          <w:rFonts w:hint="eastAsia" w:ascii="宋体" w:hAnsi="宋体" w:eastAsia="宋体" w:cs="宋体"/>
          <w:b/>
          <w:bCs/>
          <w:color w:val="auto"/>
          <w:w w:val="85"/>
          <w:sz w:val="44"/>
          <w:szCs w:val="44"/>
          <w:highlight w:val="none"/>
          <w:lang w:val="en-US" w:eastAsia="zh-CN"/>
        </w:rPr>
        <w:t>年报</w:t>
      </w:r>
      <w:r>
        <w:rPr>
          <w:rFonts w:hint="eastAsia" w:ascii="宋体" w:hAnsi="宋体" w:eastAsia="宋体" w:cs="宋体"/>
          <w:b/>
          <w:bCs/>
          <w:color w:val="auto"/>
          <w:w w:val="85"/>
          <w:sz w:val="44"/>
          <w:szCs w:val="44"/>
          <w:highlight w:val="none"/>
        </w:rPr>
        <w:t>审计服务项目</w:t>
      </w:r>
    </w:p>
    <w:p>
      <w:pPr>
        <w:spacing w:after="156" w:afterLines="50"/>
        <w:ind w:left="-850" w:leftChars="-405" w:right="-625"/>
        <w:jc w:val="center"/>
        <w:rPr>
          <w:rFonts w:hint="eastAsia"/>
          <w:color w:val="auto"/>
          <w:sz w:val="24"/>
          <w:highlight w:val="none"/>
        </w:rPr>
      </w:pPr>
    </w:p>
    <w:p>
      <w:pPr>
        <w:rPr>
          <w:rFonts w:hint="eastAsia" w:ascii="宋体"/>
          <w:bCs/>
          <w:color w:val="auto"/>
          <w:szCs w:val="21"/>
          <w:highlight w:val="none"/>
        </w:rPr>
      </w:pPr>
    </w:p>
    <w:p>
      <w:pPr>
        <w:rPr>
          <w:rFonts w:hint="eastAsia" w:ascii="宋体"/>
          <w:bCs/>
          <w:color w:val="auto"/>
          <w:szCs w:val="21"/>
          <w:highlight w:val="none"/>
        </w:rPr>
      </w:pPr>
    </w:p>
    <w:p>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pPr>
        <w:rPr>
          <w:rFonts w:hint="eastAsia" w:ascii="宋体" w:hAnsi="宋体"/>
          <w:b/>
          <w:color w:val="auto"/>
          <w:sz w:val="84"/>
          <w:szCs w:val="84"/>
          <w:highlight w:val="none"/>
        </w:rPr>
      </w:pPr>
    </w:p>
    <w:p>
      <w:pPr>
        <w:pStyle w:val="2"/>
        <w:rPr>
          <w:rFonts w:hint="eastAsia"/>
          <w:color w:val="auto"/>
          <w:highlight w:val="none"/>
        </w:rPr>
      </w:pPr>
    </w:p>
    <w:p>
      <w:pPr>
        <w:rPr>
          <w:rFonts w:hint="eastAsia"/>
          <w:color w:val="auto"/>
          <w:highlight w:val="none"/>
        </w:rPr>
      </w:pPr>
    </w:p>
    <w:p>
      <w:pPr>
        <w:rPr>
          <w:rFonts w:hint="eastAsia" w:ascii="宋体"/>
          <w:color w:val="auto"/>
          <w:sz w:val="28"/>
          <w:szCs w:val="28"/>
          <w:highlight w:val="none"/>
        </w:rPr>
      </w:pPr>
    </w:p>
    <w:p>
      <w:pPr>
        <w:pStyle w:val="22"/>
        <w:rPr>
          <w:rFonts w:hint="eastAsia"/>
          <w:color w:val="auto"/>
          <w:highlight w:val="none"/>
        </w:rPr>
      </w:pPr>
    </w:p>
    <w:p>
      <w:pPr>
        <w:rPr>
          <w:rFonts w:hint="eastAsia" w:ascii="宋体"/>
          <w:b/>
          <w:color w:val="auto"/>
          <w:sz w:val="32"/>
          <w:szCs w:val="32"/>
          <w:highlight w:val="none"/>
        </w:rPr>
      </w:pPr>
    </w:p>
    <w:p>
      <w:pPr>
        <w:pStyle w:val="2"/>
        <w:rPr>
          <w:rFonts w:hint="eastAsia"/>
          <w:color w:val="auto"/>
        </w:rPr>
      </w:pPr>
    </w:p>
    <w:p>
      <w:pPr>
        <w:pStyle w:val="5"/>
        <w:rPr>
          <w:rFonts w:hint="eastAsia"/>
          <w:color w:val="auto"/>
        </w:rPr>
      </w:pPr>
    </w:p>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滁州市扬子工业投资集团有限公司</w:t>
      </w:r>
      <w:r>
        <w:rPr>
          <w:rFonts w:hint="eastAsia" w:ascii="宋体"/>
          <w:b/>
          <w:color w:val="auto"/>
          <w:sz w:val="32"/>
          <w:szCs w:val="32"/>
          <w:highlight w:val="none"/>
        </w:rPr>
        <w:t>（盖单位章）</w:t>
      </w:r>
    </w:p>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u w:val="single"/>
        </w:rPr>
      </w:pP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w:t>
      </w:r>
      <w:r>
        <w:rPr>
          <w:rFonts w:hint="eastAsia" w:ascii="宋体"/>
          <w:b/>
          <w:color w:val="auto"/>
          <w:sz w:val="32"/>
          <w:szCs w:val="32"/>
          <w:highlight w:val="none"/>
          <w:u w:val="single"/>
          <w:lang w:eastAsia="zh-CN"/>
        </w:rPr>
        <w:t>滁州市城投工程咨询管理有限公司</w:t>
      </w:r>
      <w:r>
        <w:rPr>
          <w:rFonts w:hint="eastAsia" w:ascii="宋体"/>
          <w:b/>
          <w:color w:val="auto"/>
          <w:sz w:val="32"/>
          <w:szCs w:val="32"/>
          <w:highlight w:val="none"/>
        </w:rPr>
        <w:t>（盖单位章）</w:t>
      </w: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rPr>
        <w:t>2023</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12</w:t>
      </w:r>
      <w:r>
        <w:rPr>
          <w:rFonts w:hint="eastAsia" w:ascii="宋体"/>
          <w:b/>
          <w:color w:val="auto"/>
          <w:sz w:val="32"/>
          <w:szCs w:val="32"/>
          <w:highlight w:val="none"/>
        </w:rPr>
        <w:t>月</w:t>
      </w:r>
    </w:p>
    <w:p>
      <w:pPr>
        <w:spacing w:line="360" w:lineRule="exact"/>
        <w:rPr>
          <w:rFonts w:hint="eastAsia"/>
          <w:b/>
          <w:color w:val="auto"/>
          <w:sz w:val="36"/>
          <w:highlight w:val="none"/>
        </w:rPr>
      </w:pPr>
    </w:p>
    <w:p>
      <w:pPr>
        <w:spacing w:line="360" w:lineRule="exact"/>
        <w:jc w:val="center"/>
        <w:rPr>
          <w:rFonts w:hint="eastAsia"/>
          <w:b/>
          <w:color w:val="auto"/>
          <w:sz w:val="36"/>
          <w:highlight w:val="none"/>
        </w:rPr>
      </w:pPr>
      <w:r>
        <w:rPr>
          <w:rFonts w:hint="eastAsia"/>
          <w:b/>
          <w:color w:val="auto"/>
          <w:sz w:val="36"/>
          <w:highlight w:val="none"/>
        </w:rPr>
        <w:br w:type="page"/>
      </w:r>
    </w:p>
    <w:p>
      <w:pPr>
        <w:spacing w:line="360" w:lineRule="exact"/>
        <w:jc w:val="center"/>
        <w:rPr>
          <w:rFonts w:hint="eastAsia"/>
          <w:b/>
          <w:color w:val="auto"/>
          <w:sz w:val="36"/>
          <w:highlight w:val="none"/>
        </w:rPr>
      </w:pPr>
      <w:r>
        <w:rPr>
          <w:rFonts w:hint="eastAsia"/>
          <w:b/>
          <w:color w:val="auto"/>
          <w:sz w:val="36"/>
          <w:highlight w:val="none"/>
        </w:rPr>
        <w:t>目  录</w:t>
      </w:r>
    </w:p>
    <w:p>
      <w:pPr>
        <w:spacing w:line="360" w:lineRule="exact"/>
        <w:jc w:val="center"/>
        <w:rPr>
          <w:rFonts w:hint="eastAsia"/>
          <w:b/>
          <w:color w:val="auto"/>
          <w:sz w:val="36"/>
          <w:highlight w:val="none"/>
        </w:rPr>
      </w:pPr>
    </w:p>
    <w:p>
      <w:pPr>
        <w:pStyle w:val="26"/>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5"/>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5"/>
          <w:rFonts w:ascii="宋体" w:hAnsi="宋体"/>
          <w:color w:val="auto"/>
          <w:sz w:val="24"/>
          <w:highlight w:val="none"/>
        </w:rPr>
        <w:instrText xml:space="preserve"> </w:instrText>
      </w:r>
      <w:r>
        <w:rPr>
          <w:rFonts w:ascii="宋体" w:hAnsi="宋体"/>
          <w:color w:val="auto"/>
          <w:sz w:val="24"/>
          <w:highlight w:val="none"/>
        </w:rPr>
        <w:fldChar w:fldCharType="separate"/>
      </w:r>
      <w:r>
        <w:rPr>
          <w:rStyle w:val="45"/>
          <w:rFonts w:hint="eastAsia" w:ascii="宋体" w:hAnsi="宋体"/>
          <w:b/>
          <w:color w:val="auto"/>
          <w:sz w:val="24"/>
          <w:highlight w:val="none"/>
        </w:rPr>
        <w:t>第一章</w:t>
      </w:r>
      <w:r>
        <w:rPr>
          <w:rStyle w:val="45"/>
          <w:rFonts w:ascii="宋体" w:hAnsi="宋体"/>
          <w:b/>
          <w:color w:val="auto"/>
          <w:sz w:val="24"/>
          <w:highlight w:val="none"/>
        </w:rPr>
        <w:t xml:space="preserve"> </w:t>
      </w:r>
      <w:r>
        <w:rPr>
          <w:rStyle w:val="45"/>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pPr>
        <w:pStyle w:val="26"/>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第二章</w:t>
      </w:r>
      <w:r>
        <w:rPr>
          <w:rStyle w:val="45"/>
          <w:rFonts w:ascii="宋体" w:hAnsi="宋体"/>
          <w:b/>
          <w:color w:val="auto"/>
          <w:sz w:val="24"/>
          <w:highlight w:val="none"/>
        </w:rPr>
        <w:t xml:space="preserve"> </w:t>
      </w:r>
      <w:r>
        <w:rPr>
          <w:rStyle w:val="45"/>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5</w:t>
      </w:r>
    </w:p>
    <w:p>
      <w:pPr>
        <w:pStyle w:val="26"/>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第三章</w:t>
      </w:r>
      <w:r>
        <w:rPr>
          <w:rStyle w:val="45"/>
          <w:rFonts w:ascii="宋体" w:hAnsi="宋体"/>
          <w:b/>
          <w:color w:val="auto"/>
          <w:sz w:val="24"/>
          <w:highlight w:val="none"/>
        </w:rPr>
        <w:t xml:space="preserve"> </w:t>
      </w:r>
      <w:r>
        <w:rPr>
          <w:rStyle w:val="45"/>
          <w:rFonts w:hint="eastAsia" w:ascii="宋体" w:hAnsi="宋体"/>
          <w:b/>
          <w:color w:val="auto"/>
          <w:sz w:val="24"/>
          <w:highlight w:val="none"/>
        </w:rPr>
        <w:t>评标办法（综合评分法）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18</w:t>
      </w:r>
    </w:p>
    <w:p>
      <w:pPr>
        <w:pStyle w:val="26"/>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第四章</w:t>
      </w:r>
      <w:r>
        <w:rPr>
          <w:rStyle w:val="45"/>
          <w:rFonts w:ascii="宋体" w:hAnsi="宋体"/>
          <w:b/>
          <w:color w:val="auto"/>
          <w:sz w:val="24"/>
          <w:highlight w:val="none"/>
        </w:rPr>
        <w:t xml:space="preserve"> </w:t>
      </w:r>
      <w:r>
        <w:rPr>
          <w:rStyle w:val="45"/>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25</w:t>
      </w:r>
    </w:p>
    <w:p>
      <w:pPr>
        <w:pStyle w:val="26"/>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w:t>
      </w:r>
      <w:r>
        <w:rPr>
          <w:rStyle w:val="45"/>
          <w:rFonts w:hint="eastAsia" w:ascii="宋体" w:hAnsi="宋体"/>
          <w:b/>
          <w:color w:val="auto"/>
          <w:sz w:val="24"/>
          <w:highlight w:val="none"/>
          <w:lang w:val="en-US" w:eastAsia="zh-CN"/>
        </w:rPr>
        <w:t>五</w:t>
      </w:r>
      <w:r>
        <w:rPr>
          <w:rStyle w:val="45"/>
          <w:rFonts w:hint="eastAsia" w:ascii="宋体" w:hAnsi="宋体"/>
          <w:b/>
          <w:color w:val="auto"/>
          <w:sz w:val="24"/>
          <w:highlight w:val="none"/>
        </w:rPr>
        <w:t>章</w:t>
      </w:r>
      <w:r>
        <w:rPr>
          <w:rStyle w:val="45"/>
          <w:rFonts w:ascii="宋体" w:hAnsi="宋体"/>
          <w:b/>
          <w:color w:val="auto"/>
          <w:sz w:val="24"/>
          <w:highlight w:val="none"/>
        </w:rPr>
        <w:t xml:space="preserve"> </w:t>
      </w:r>
      <w:r>
        <w:rPr>
          <w:rStyle w:val="45"/>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27</w:t>
      </w:r>
    </w:p>
    <w:p>
      <w:pPr>
        <w:pStyle w:val="26"/>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pPr>
        <w:keepNext/>
        <w:keepLines/>
        <w:pageBreakBefore w:val="0"/>
        <w:widowControl w:val="0"/>
        <w:kinsoku/>
        <w:wordWrap/>
        <w:overflowPunct/>
        <w:topLinePunct w:val="0"/>
        <w:autoSpaceDE/>
        <w:autoSpaceDN/>
        <w:bidi w:val="0"/>
        <w:adjustRightInd/>
        <w:snapToGrid/>
        <w:ind w:firstLine="560" w:firstLineChars="200"/>
        <w:jc w:val="left"/>
        <w:textAlignment w:val="auto"/>
        <w:rPr>
          <w:rFonts w:hint="eastAsia" w:ascii="黑体" w:hAnsi="黑体" w:cs="宋体"/>
          <w:color w:val="auto"/>
          <w:sz w:val="28"/>
          <w:szCs w:val="28"/>
          <w:highlight w:val="none"/>
        </w:rPr>
      </w:pPr>
      <w:r>
        <w:rPr>
          <w:rFonts w:hint="eastAsia" w:ascii="仿宋" w:hAnsi="仿宋" w:eastAsia="仿宋" w:cs="仿宋"/>
          <w:color w:val="auto"/>
          <w:sz w:val="28"/>
          <w:szCs w:val="28"/>
          <w:highlight w:val="none"/>
          <w:u w:val="single"/>
          <w:lang w:val="en-US" w:eastAsia="zh-CN"/>
        </w:rPr>
        <w:t xml:space="preserve">滁州市扬子工业投资集团有限公司2023年度财务年报审计服务项目 </w:t>
      </w:r>
      <w:r>
        <w:rPr>
          <w:rFonts w:hint="eastAsia" w:ascii="仿宋" w:hAnsi="仿宋" w:eastAsia="仿宋" w:cs="仿宋"/>
          <w:color w:val="auto"/>
          <w:sz w:val="28"/>
          <w:szCs w:val="28"/>
          <w:highlight w:val="none"/>
          <w:u w:val="none"/>
        </w:rPr>
        <w:t>招标项目</w:t>
      </w:r>
      <w:r>
        <w:rPr>
          <w:rFonts w:hint="eastAsia" w:ascii="仿宋" w:hAnsi="仿宋" w:eastAsia="仿宋" w:cs="仿宋"/>
          <w:color w:val="auto"/>
          <w:sz w:val="28"/>
          <w:szCs w:val="28"/>
          <w:highlight w:val="none"/>
        </w:rPr>
        <w:t>的潜在投标人应在</w:t>
      </w:r>
      <w:r>
        <w:rPr>
          <w:rFonts w:hint="eastAsia" w:ascii="仿宋" w:hAnsi="仿宋" w:eastAsia="仿宋" w:cs="仿宋"/>
          <w:color w:val="auto"/>
          <w:sz w:val="28"/>
          <w:szCs w:val="28"/>
          <w:highlight w:val="none"/>
          <w:u w:val="single"/>
          <w:lang w:val="en-US" w:eastAsia="zh-CN"/>
        </w:rPr>
        <w:t>中国扬子集团官网（http://www.yangzigroup.cn/case/jingpinzhuzhai/）及滁州市工投公司微信公众号</w:t>
      </w:r>
      <w:r>
        <w:rPr>
          <w:rFonts w:hint="eastAsia" w:ascii="仿宋" w:hAnsi="仿宋" w:eastAsia="仿宋" w:cs="仿宋"/>
          <w:color w:val="auto"/>
          <w:sz w:val="28"/>
          <w:szCs w:val="28"/>
          <w:highlight w:val="none"/>
        </w:rPr>
        <w:t>获取招标文件，并于</w:t>
      </w:r>
      <w:r>
        <w:rPr>
          <w:rFonts w:hint="eastAsia" w:ascii="仿宋" w:hAnsi="仿宋" w:eastAsia="仿宋" w:cs="仿宋"/>
          <w:color w:val="auto"/>
          <w:sz w:val="28"/>
          <w:szCs w:val="28"/>
          <w:highlight w:val="none"/>
          <w:u w:val="single"/>
        </w:rPr>
        <w:t>2023年</w:t>
      </w:r>
      <w:r>
        <w:rPr>
          <w:rFonts w:hint="eastAsia" w:ascii="仿宋" w:hAnsi="仿宋" w:eastAsia="仿宋" w:cs="仿宋"/>
          <w:color w:val="auto"/>
          <w:sz w:val="28"/>
          <w:szCs w:val="28"/>
          <w:highlight w:val="none"/>
          <w:u w:val="single"/>
          <w:lang w:val="en-US" w:eastAsia="zh-CN"/>
        </w:rPr>
        <w:t>12</w:t>
      </w:r>
      <w:r>
        <w:rPr>
          <w:rFonts w:hint="eastAsia" w:ascii="仿宋" w:hAnsi="仿宋" w:eastAsia="仿宋" w:cs="仿宋"/>
          <w:color w:val="auto"/>
          <w:sz w:val="28"/>
          <w:szCs w:val="28"/>
          <w:highlight w:val="none"/>
          <w:u w:val="single"/>
        </w:rPr>
        <w:t>月</w:t>
      </w:r>
      <w:r>
        <w:rPr>
          <w:rFonts w:hint="eastAsia" w:ascii="仿宋" w:hAnsi="仿宋" w:eastAsia="仿宋" w:cs="仿宋"/>
          <w:color w:val="auto"/>
          <w:sz w:val="28"/>
          <w:szCs w:val="28"/>
          <w:highlight w:val="none"/>
          <w:u w:val="single"/>
          <w:lang w:val="en-US" w:eastAsia="zh-CN"/>
        </w:rPr>
        <w:t>22</w:t>
      </w:r>
      <w:r>
        <w:rPr>
          <w:rFonts w:hint="eastAsia" w:ascii="仿宋" w:hAnsi="仿宋" w:eastAsia="仿宋" w:cs="仿宋"/>
          <w:color w:val="auto"/>
          <w:sz w:val="28"/>
          <w:szCs w:val="28"/>
          <w:highlight w:val="none"/>
          <w:u w:val="single"/>
        </w:rPr>
        <w:t>日</w:t>
      </w:r>
      <w:r>
        <w:rPr>
          <w:rFonts w:hint="eastAsia" w:ascii="仿宋" w:hAnsi="仿宋" w:eastAsia="仿宋" w:cs="仿宋"/>
          <w:color w:val="auto"/>
          <w:sz w:val="28"/>
          <w:szCs w:val="28"/>
          <w:highlight w:val="none"/>
          <w:u w:val="single"/>
          <w:lang w:val="en-US" w:eastAsia="zh-CN"/>
        </w:rPr>
        <w:t>16</w:t>
      </w:r>
      <w:r>
        <w:rPr>
          <w:rFonts w:hint="eastAsia" w:ascii="仿宋" w:hAnsi="仿宋" w:eastAsia="仿宋" w:cs="仿宋"/>
          <w:color w:val="auto"/>
          <w:sz w:val="28"/>
          <w:szCs w:val="28"/>
          <w:highlight w:val="none"/>
          <w:u w:val="single"/>
        </w:rPr>
        <w:t>点00分</w:t>
      </w:r>
      <w:r>
        <w:rPr>
          <w:rFonts w:hint="eastAsia" w:ascii="仿宋" w:hAnsi="仿宋" w:eastAsia="仿宋" w:cs="仿宋"/>
          <w:color w:val="auto"/>
          <w:sz w:val="28"/>
          <w:szCs w:val="28"/>
          <w:highlight w:val="none"/>
        </w:rPr>
        <w:t>（北京时间）前递交投标文件。</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pPr>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项目名称：</w:t>
      </w:r>
      <w:r>
        <w:rPr>
          <w:rFonts w:hint="eastAsia" w:ascii="仿宋" w:hAnsi="仿宋" w:eastAsia="仿宋" w:cs="仿宋"/>
          <w:color w:val="auto"/>
          <w:sz w:val="28"/>
          <w:szCs w:val="28"/>
          <w:highlight w:val="none"/>
          <w:shd w:val="clear" w:color="auto" w:fill="auto"/>
          <w:lang w:val="en-US" w:eastAsia="zh-CN"/>
        </w:rPr>
        <w:t>滁州市扬子工业投资集团有限公司2023年度财务年报审计服务项目</w:t>
      </w:r>
    </w:p>
    <w:p>
      <w:pPr>
        <w:ind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预算金额：</w:t>
      </w:r>
      <w:r>
        <w:rPr>
          <w:rFonts w:hint="eastAsia" w:ascii="仿宋" w:hAnsi="仿宋" w:eastAsia="仿宋" w:cs="仿宋"/>
          <w:color w:val="auto"/>
          <w:sz w:val="28"/>
          <w:szCs w:val="28"/>
          <w:highlight w:val="none"/>
          <w:shd w:val="clear" w:color="auto" w:fill="auto"/>
          <w:lang w:val="en-US" w:eastAsia="zh-CN"/>
        </w:rPr>
        <w:t>约29万元</w:t>
      </w:r>
    </w:p>
    <w:p>
      <w:pPr>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最高限价：</w:t>
      </w:r>
      <w:r>
        <w:rPr>
          <w:rFonts w:hint="eastAsia" w:ascii="仿宋" w:hAnsi="仿宋" w:eastAsia="仿宋" w:cs="仿宋"/>
          <w:color w:val="auto"/>
          <w:sz w:val="28"/>
          <w:szCs w:val="28"/>
          <w:highlight w:val="none"/>
          <w:shd w:val="clear" w:color="auto" w:fill="auto"/>
          <w:lang w:val="en-US" w:eastAsia="zh-CN"/>
        </w:rPr>
        <w:t xml:space="preserve">29万元 </w:t>
      </w:r>
    </w:p>
    <w:p>
      <w:pPr>
        <w:spacing w:before="0" w:beforeLines="0" w:line="240" w:lineRule="auto"/>
        <w:ind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采购需求：</w:t>
      </w:r>
      <w:r>
        <w:rPr>
          <w:rFonts w:hint="eastAsia" w:ascii="仿宋" w:hAnsi="仿宋" w:eastAsia="仿宋" w:cs="仿宋"/>
          <w:color w:val="auto"/>
          <w:sz w:val="28"/>
          <w:szCs w:val="28"/>
          <w:highlight w:val="none"/>
          <w:shd w:val="clear" w:color="auto" w:fill="auto"/>
          <w:lang w:val="en-US" w:eastAsia="zh-CN"/>
        </w:rPr>
        <w:t>出具2023年财务年报审计报告</w:t>
      </w:r>
      <w:r>
        <w:rPr>
          <w:rFonts w:hint="eastAsia" w:ascii="仿宋" w:hAnsi="仿宋" w:eastAsia="仿宋" w:cs="仿宋"/>
          <w:color w:val="auto"/>
          <w:sz w:val="28"/>
          <w:szCs w:val="28"/>
          <w:highlight w:val="none"/>
          <w:shd w:val="clear" w:color="auto" w:fill="auto"/>
          <w:lang w:eastAsia="zh-CN"/>
        </w:rPr>
        <w:t>。</w:t>
      </w:r>
    </w:p>
    <w:p>
      <w:pPr>
        <w:ind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合同履行期限：</w:t>
      </w:r>
      <w:r>
        <w:rPr>
          <w:rFonts w:hint="eastAsia" w:ascii="仿宋" w:hAnsi="仿宋" w:eastAsia="仿宋" w:cs="仿宋"/>
          <w:color w:val="auto"/>
          <w:sz w:val="28"/>
          <w:szCs w:val="28"/>
          <w:highlight w:val="none"/>
          <w:shd w:val="clear" w:color="auto" w:fill="auto"/>
          <w:lang w:val="en-US" w:eastAsia="zh-CN"/>
        </w:rPr>
        <w:t>2024年4月30日前提供财务年报审计报告。</w:t>
      </w:r>
    </w:p>
    <w:p>
      <w:pPr>
        <w:ind w:firstLine="560" w:firstLineChars="200"/>
        <w:rPr>
          <w:rFonts w:hint="eastAsia" w:ascii="仿宋" w:hAnsi="仿宋" w:eastAsia="仿宋" w:cs="仿宋"/>
          <w:color w:val="auto"/>
          <w:sz w:val="28"/>
          <w:szCs w:val="28"/>
          <w:highlight w:val="none"/>
          <w:shd w:val="clear" w:color="auto" w:fill="auto"/>
        </w:rPr>
      </w:pPr>
      <w:r>
        <w:rPr>
          <w:rFonts w:hint="eastAsia" w:ascii="仿宋" w:hAnsi="仿宋" w:eastAsia="仿宋" w:cs="仿宋"/>
          <w:color w:val="auto"/>
          <w:sz w:val="28"/>
          <w:szCs w:val="28"/>
          <w:highlight w:val="none"/>
          <w:shd w:val="clear" w:color="auto" w:fill="auto"/>
        </w:rPr>
        <w:t>本项目</w:t>
      </w:r>
      <w:r>
        <w:rPr>
          <w:rFonts w:hint="eastAsia" w:ascii="仿宋" w:hAnsi="仿宋" w:eastAsia="仿宋" w:cs="仿宋"/>
          <w:color w:val="auto"/>
          <w:sz w:val="28"/>
          <w:szCs w:val="28"/>
          <w:highlight w:val="none"/>
          <w:shd w:val="clear" w:color="auto" w:fill="auto"/>
          <w:lang w:val="en-US" w:eastAsia="zh-CN"/>
        </w:rPr>
        <w:t>不</w:t>
      </w:r>
      <w:r>
        <w:rPr>
          <w:rFonts w:hint="eastAsia" w:ascii="仿宋" w:hAnsi="仿宋" w:eastAsia="仿宋" w:cs="仿宋"/>
          <w:color w:val="auto"/>
          <w:sz w:val="28"/>
          <w:szCs w:val="28"/>
          <w:highlight w:val="none"/>
          <w:shd w:val="clear" w:color="auto" w:fill="auto"/>
        </w:rPr>
        <w:t>接受联合体投标</w:t>
      </w:r>
      <w:r>
        <w:rPr>
          <w:rFonts w:hint="eastAsia" w:ascii="仿宋" w:hAnsi="仿宋" w:eastAsia="仿宋" w:cs="仿宋"/>
          <w:color w:val="auto"/>
          <w:sz w:val="28"/>
          <w:szCs w:val="28"/>
          <w:highlight w:val="none"/>
          <w:shd w:val="clear" w:color="auto" w:fill="auto"/>
          <w:lang w:eastAsia="zh-CN"/>
        </w:rPr>
        <w:t>。</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35393791"/>
      <w:bookmarkStart w:id="4" w:name="_Toc28359080"/>
      <w:bookmarkStart w:id="5" w:name="_Toc28359003"/>
      <w:bookmarkStart w:id="6" w:name="_Toc35393622"/>
      <w:r>
        <w:rPr>
          <w:rFonts w:hint="eastAsia" w:ascii="黑体" w:hAnsi="黑体" w:eastAsia="黑体" w:cs="黑体"/>
          <w:color w:val="auto"/>
          <w:sz w:val="28"/>
          <w:szCs w:val="28"/>
          <w:highlight w:val="none"/>
        </w:rPr>
        <w:t>二、申请人的资格要求</w:t>
      </w:r>
      <w:bookmarkEnd w:id="3"/>
      <w:bookmarkEnd w:id="4"/>
      <w:bookmarkEnd w:id="5"/>
      <w:bookmarkEnd w:id="6"/>
    </w:p>
    <w:p>
      <w:pPr>
        <w:ind w:firstLine="560" w:firstLineChars="200"/>
        <w:rPr>
          <w:rFonts w:hint="eastAsia" w:ascii="仿宋" w:hAnsi="仿宋" w:eastAsia="仿宋"/>
          <w:color w:val="auto"/>
          <w:sz w:val="28"/>
          <w:szCs w:val="28"/>
          <w:highlight w:val="none"/>
          <w:lang w:eastAsia="zh-CN"/>
        </w:rPr>
      </w:pPr>
      <w:bookmarkStart w:id="7" w:name="_Toc35393792"/>
      <w:bookmarkStart w:id="8" w:name="_Toc35393623"/>
      <w:bookmarkStart w:id="9" w:name="_Toc28359004"/>
      <w:bookmarkStart w:id="10" w:name="_Toc28359081"/>
      <w:r>
        <w:rPr>
          <w:rFonts w:hint="eastAsia"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投</w:t>
      </w:r>
      <w:r>
        <w:rPr>
          <w:rFonts w:hint="eastAsia" w:ascii="仿宋" w:hAnsi="仿宋" w:eastAsia="仿宋"/>
          <w:color w:val="auto"/>
          <w:sz w:val="28"/>
          <w:szCs w:val="28"/>
          <w:highlight w:val="none"/>
        </w:rPr>
        <w:t>标人须具有财政部门颁发的会计师事务所执业证书</w:t>
      </w:r>
      <w:r>
        <w:rPr>
          <w:rFonts w:hint="eastAsia" w:ascii="仿宋" w:hAnsi="仿宋" w:eastAsia="仿宋"/>
          <w:color w:val="auto"/>
          <w:sz w:val="28"/>
          <w:szCs w:val="28"/>
          <w:highlight w:val="none"/>
          <w:lang w:eastAsia="zh-CN"/>
        </w:rPr>
        <w:t>；</w:t>
      </w:r>
    </w:p>
    <w:p>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项目负责人须具有全国注册会计师资格证书（取得该证书年限达10年及以上，时间以全国注册会计师证书时间为准且注册在本次投标单位）；除项目负责人外，投标人应至少安排1名注册会计师参与本项目（取得注册会计师证书年限达5年及以上，时间以全国注册会计师证书时间为准且注册在本次投标单位）。</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ascii="仿宋" w:hAnsi="仿宋" w:eastAsia="仿宋" w:cs="宋体"/>
          <w:color w:val="auto"/>
          <w:sz w:val="28"/>
          <w:szCs w:val="28"/>
          <w:highlight w:val="none"/>
          <w:u w:val="single"/>
        </w:rPr>
        <w:t xml:space="preserve"> </w:t>
      </w:r>
      <w:r>
        <w:rPr>
          <w:rFonts w:hint="eastAsia" w:ascii="仿宋" w:hAnsi="仿宋" w:eastAsia="仿宋" w:cs="宋体"/>
          <w:color w:val="auto"/>
          <w:sz w:val="28"/>
          <w:szCs w:val="28"/>
          <w:highlight w:val="none"/>
          <w:u w:val="single"/>
        </w:rPr>
        <w:t>202</w:t>
      </w:r>
      <w:r>
        <w:rPr>
          <w:rFonts w:ascii="仿宋" w:hAnsi="仿宋" w:eastAsia="仿宋" w:cs="宋体"/>
          <w:color w:val="auto"/>
          <w:sz w:val="28"/>
          <w:szCs w:val="28"/>
          <w:highlight w:val="none"/>
          <w:u w:val="single"/>
        </w:rPr>
        <w:t>3</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12</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19</w:t>
      </w:r>
      <w:r>
        <w:rPr>
          <w:rFonts w:hint="eastAsia" w:ascii="仿宋" w:hAnsi="仿宋" w:eastAsia="仿宋" w:cs="宋体"/>
          <w:color w:val="auto"/>
          <w:sz w:val="28"/>
          <w:szCs w:val="28"/>
          <w:highlight w:val="none"/>
          <w:u w:val="single"/>
        </w:rPr>
        <w:t>日</w:t>
      </w:r>
      <w:r>
        <w:rPr>
          <w:rFonts w:hint="eastAsia" w:ascii="仿宋" w:hAnsi="仿宋" w:eastAsia="仿宋" w:cs="宋体"/>
          <w:color w:val="auto"/>
          <w:sz w:val="28"/>
          <w:szCs w:val="28"/>
          <w:highlight w:val="none"/>
        </w:rPr>
        <w:t>至</w:t>
      </w:r>
      <w:r>
        <w:rPr>
          <w:rFonts w:hint="eastAsia" w:ascii="仿宋" w:hAnsi="仿宋" w:eastAsia="仿宋" w:cs="宋体"/>
          <w:color w:val="auto"/>
          <w:sz w:val="28"/>
          <w:szCs w:val="28"/>
          <w:highlight w:val="none"/>
          <w:u w:val="single"/>
        </w:rPr>
        <w:t xml:space="preserve"> 2023年</w:t>
      </w:r>
      <w:r>
        <w:rPr>
          <w:rFonts w:hint="eastAsia" w:ascii="仿宋" w:hAnsi="仿宋" w:eastAsia="仿宋" w:cs="宋体"/>
          <w:color w:val="auto"/>
          <w:sz w:val="28"/>
          <w:szCs w:val="28"/>
          <w:highlight w:val="none"/>
          <w:u w:val="single"/>
          <w:lang w:val="en-US" w:eastAsia="zh-CN"/>
        </w:rPr>
        <w:t>12</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22</w:t>
      </w:r>
      <w:r>
        <w:rPr>
          <w:rFonts w:hint="eastAsia" w:ascii="仿宋" w:hAnsi="仿宋" w:eastAsia="仿宋" w:cs="宋体"/>
          <w:color w:val="auto"/>
          <w:sz w:val="28"/>
          <w:szCs w:val="28"/>
          <w:highlight w:val="none"/>
          <w:u w:val="single"/>
        </w:rPr>
        <w:t>日</w:t>
      </w:r>
    </w:p>
    <w:p>
      <w:pPr>
        <w:ind w:firstLine="540"/>
        <w:rPr>
          <w:rFonts w:hint="default" w:ascii="仿宋" w:hAnsi="仿宋" w:eastAsia="仿宋" w:cs="宋体"/>
          <w:color w:val="auto"/>
          <w:sz w:val="28"/>
          <w:szCs w:val="28"/>
          <w:highlight w:val="none"/>
          <w:u w:val="single"/>
          <w:lang w:val="en-US"/>
        </w:rPr>
      </w:pPr>
      <w:r>
        <w:rPr>
          <w:rFonts w:hint="eastAsia" w:ascii="仿宋" w:hAnsi="仿宋" w:eastAsia="仿宋" w:cs="宋体"/>
          <w:color w:val="auto"/>
          <w:sz w:val="28"/>
          <w:szCs w:val="28"/>
          <w:highlight w:val="none"/>
        </w:rPr>
        <w:t>地点：</w:t>
      </w:r>
      <w:r>
        <w:rPr>
          <w:rFonts w:hint="eastAsia" w:ascii="仿宋" w:hAnsi="仿宋" w:eastAsia="仿宋" w:cs="宋体"/>
          <w:color w:val="auto"/>
          <w:sz w:val="28"/>
          <w:szCs w:val="28"/>
          <w:highlight w:val="none"/>
          <w:lang w:val="en-US" w:eastAsia="zh-CN"/>
        </w:rPr>
        <w:t>滁州市扬子工业投资集团有限公司1310会议室（滁州市南谯区中都大道与醉翁路交叉口西南角城投大厦）</w:t>
      </w:r>
    </w:p>
    <w:p>
      <w:pPr>
        <w:ind w:firstLine="540"/>
        <w:rPr>
          <w:rFonts w:ascii="仿宋" w:hAnsi="仿宋" w:eastAsia="仿宋" w:cs="宋体"/>
          <w:color w:val="auto"/>
          <w:sz w:val="28"/>
          <w:szCs w:val="28"/>
          <w:highlight w:val="none"/>
          <w:u w:val="single"/>
        </w:rPr>
      </w:pPr>
      <w:r>
        <w:rPr>
          <w:rFonts w:hint="eastAsia" w:ascii="仿宋" w:hAnsi="仿宋" w:eastAsia="仿宋" w:cs="宋体"/>
          <w:color w:val="auto"/>
          <w:sz w:val="28"/>
          <w:szCs w:val="28"/>
          <w:highlight w:val="none"/>
        </w:rPr>
        <w:t>方式：网上下载</w:t>
      </w:r>
    </w:p>
    <w:p>
      <w:pPr>
        <w:ind w:firstLine="540"/>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05"/>
      <w:bookmarkStart w:id="12" w:name="_Toc28359082"/>
      <w:bookmarkStart w:id="13" w:name="_Toc35393793"/>
      <w:bookmarkStart w:id="14" w:name="_Toc35393624"/>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pPr>
        <w:ind w:firstLine="560" w:firstLineChars="200"/>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single"/>
        </w:rPr>
        <w:t>202</w:t>
      </w:r>
      <w:r>
        <w:rPr>
          <w:rFonts w:ascii="仿宋" w:hAnsi="仿宋" w:eastAsia="仿宋"/>
          <w:bCs/>
          <w:color w:val="auto"/>
          <w:sz w:val="28"/>
          <w:szCs w:val="28"/>
          <w:highlight w:val="none"/>
          <w:u w:val="single"/>
        </w:rPr>
        <w:t>3</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12</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22</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16</w:t>
      </w:r>
      <w:r>
        <w:rPr>
          <w:rFonts w:hint="eastAsia" w:ascii="仿宋" w:hAnsi="仿宋" w:eastAsia="仿宋"/>
          <w:bCs/>
          <w:color w:val="auto"/>
          <w:sz w:val="28"/>
          <w:szCs w:val="28"/>
          <w:highlight w:val="none"/>
          <w:u w:val="single"/>
        </w:rPr>
        <w:t>点00分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olor w:val="auto"/>
          <w:sz w:val="28"/>
          <w:szCs w:val="28"/>
          <w:highlight w:val="none"/>
          <w:lang w:val="en-US" w:eastAsia="zh-CN"/>
        </w:rPr>
        <w:t>滁州市扬子工业投资集团有限公司1310会议室（滁州市南谯区中都大道与醉翁路交叉口西南角城投大厦）；</w:t>
      </w:r>
    </w:p>
    <w:p>
      <w:pPr>
        <w:pStyle w:val="2"/>
        <w:ind w:left="0" w:leftChars="0" w:firstLine="560" w:firstLineChars="200"/>
        <w:rPr>
          <w:rFonts w:hint="default"/>
          <w:color w:val="auto"/>
          <w:lang w:val="en-US" w:eastAsia="zh-CN"/>
        </w:rPr>
      </w:pPr>
      <w:r>
        <w:rPr>
          <w:rFonts w:hint="eastAsia" w:ascii="仿宋" w:hAnsi="仿宋" w:eastAsia="仿宋"/>
          <w:color w:val="auto"/>
          <w:sz w:val="28"/>
          <w:szCs w:val="28"/>
          <w:highlight w:val="none"/>
          <w:lang w:val="en-US" w:eastAsia="zh-CN"/>
        </w:rPr>
        <w:t>注：投标人应将投标文件在截止时间前密封邮寄或送达上文地点，过期无效。</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5" w:name="_Toc35393625"/>
      <w:bookmarkStart w:id="16" w:name="_Toc35393794"/>
      <w:bookmarkStart w:id="17" w:name="_Toc28359084"/>
      <w:bookmarkStart w:id="18" w:name="_Toc28359007"/>
      <w:r>
        <w:rPr>
          <w:rFonts w:hint="eastAsia" w:ascii="黑体" w:hAnsi="黑体" w:eastAsia="黑体" w:cs="黑体"/>
          <w:color w:val="auto"/>
          <w:sz w:val="28"/>
          <w:szCs w:val="28"/>
          <w:highlight w:val="none"/>
        </w:rPr>
        <w:t>五、公告期限</w:t>
      </w:r>
      <w:bookmarkEnd w:id="15"/>
      <w:bookmarkEnd w:id="16"/>
      <w:bookmarkEnd w:id="17"/>
      <w:bookmarkEnd w:id="18"/>
    </w:p>
    <w:p>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自本公告发布之日起5个工作日。</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六、投标保证金金额及缴纳账户</w:t>
      </w:r>
    </w:p>
    <w:p>
      <w:pPr>
        <w:pStyle w:val="126"/>
        <w:rPr>
          <w:color w:val="auto"/>
          <w:highlight w:val="none"/>
        </w:rPr>
      </w:pPr>
      <w:bookmarkStart w:id="19" w:name="_Toc35393626"/>
      <w:bookmarkStart w:id="20" w:name="_Toc35393795"/>
      <w:r>
        <w:rPr>
          <w:color w:val="auto"/>
          <w:highlight w:val="none"/>
        </w:rPr>
        <w:t>窗体顶端</w:t>
      </w:r>
    </w:p>
    <w:p>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不要求投标人提交投标保证金。</w:t>
      </w:r>
    </w:p>
    <w:p>
      <w:pPr>
        <w:pStyle w:val="127"/>
        <w:rPr>
          <w:color w:val="auto"/>
          <w:highlight w:val="none"/>
        </w:rPr>
      </w:pPr>
      <w:r>
        <w:rPr>
          <w:color w:val="auto"/>
          <w:highlight w:val="none"/>
        </w:rPr>
        <w:t>窗体底端</w:t>
      </w:r>
    </w:p>
    <w:bookmarkEnd w:id="19"/>
    <w:bookmarkEnd w:id="20"/>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滁州市扬子工业投资集团有限公司</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 xml:space="preserve">滁州市南谯区中都大道与醉翁路交叉口西南角城投大厦13楼1312室 </w:t>
      </w:r>
      <w:r>
        <w:rPr>
          <w:rFonts w:hint="eastAsia" w:ascii="仿宋" w:hAnsi="仿宋" w:eastAsia="仿宋" w:cs="仿宋"/>
          <w:color w:val="auto"/>
          <w:sz w:val="28"/>
          <w:szCs w:val="28"/>
          <w:highlight w:val="none"/>
          <w:u w:val="single"/>
        </w:rPr>
        <w:t xml:space="preserve">  </w:t>
      </w:r>
    </w:p>
    <w:p>
      <w:pPr>
        <w:ind w:firstLine="560" w:firstLineChars="200"/>
        <w:jc w:val="left"/>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 xml:space="preserve">0550-3018129 </w:t>
      </w:r>
    </w:p>
    <w:p>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2.代理机构信息</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rPr>
        <w:t>滁州市城投工程咨询管理有限公司</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滁州市龙蟠大道109号房产大厦6楼</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rPr>
        <w:t>0550-3519590、18005501210</w:t>
      </w:r>
    </w:p>
    <w:p>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3.项目联系方式</w:t>
      </w:r>
    </w:p>
    <w:p>
      <w:pPr>
        <w:pStyle w:val="19"/>
        <w:ind w:left="-199" w:leftChars="-95" w:firstLine="840" w:firstLineChars="300"/>
        <w:jc w:val="left"/>
        <w:rPr>
          <w:rFonts w:hint="eastAsia" w:ascii="仿宋" w:hAnsi="仿宋" w:eastAsia="仿宋" w:cs="仿宋"/>
          <w:color w:val="auto"/>
          <w:sz w:val="28"/>
          <w:szCs w:val="28"/>
          <w:highlight w:val="none"/>
          <w:u w:val="single" w:color="auto"/>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徐川、</w:t>
      </w:r>
      <w:r>
        <w:rPr>
          <w:rFonts w:hint="eastAsia" w:ascii="仿宋" w:hAnsi="仿宋" w:eastAsia="仿宋" w:cs="仿宋"/>
          <w:color w:val="auto"/>
          <w:sz w:val="28"/>
          <w:szCs w:val="28"/>
          <w:highlight w:val="none"/>
          <w:u w:val="single" w:color="auto"/>
        </w:rPr>
        <w:t>杨韦</w:t>
      </w:r>
    </w:p>
    <w:p>
      <w:pPr>
        <w:ind w:left="-199" w:leftChars="-95" w:firstLine="840" w:firstLineChars="300"/>
        <w:jc w:val="left"/>
        <w:rPr>
          <w:rFonts w:ascii="仿宋" w:hAnsi="仿宋" w:eastAsia="仿宋"/>
          <w:color w:val="auto"/>
          <w:sz w:val="28"/>
          <w:szCs w:val="28"/>
          <w:highlight w:val="none"/>
          <w:u w:val="single"/>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color="auto"/>
          <w:lang w:val="en-US" w:eastAsia="zh-CN"/>
        </w:rPr>
        <w:t>0550-3018129 、</w:t>
      </w:r>
      <w:r>
        <w:rPr>
          <w:rFonts w:hint="eastAsia" w:ascii="仿宋" w:hAnsi="仿宋" w:eastAsia="仿宋" w:cs="仿宋"/>
          <w:color w:val="auto"/>
          <w:sz w:val="28"/>
          <w:szCs w:val="28"/>
          <w:highlight w:val="none"/>
          <w:u w:val="single" w:color="auto"/>
        </w:rPr>
        <w:t>0</w:t>
      </w:r>
      <w:r>
        <w:rPr>
          <w:rFonts w:hint="eastAsia" w:ascii="仿宋" w:hAnsi="仿宋" w:eastAsia="仿宋" w:cs="仿宋"/>
          <w:color w:val="auto"/>
          <w:sz w:val="28"/>
          <w:szCs w:val="28"/>
          <w:highlight w:val="none"/>
          <w:u w:val="single"/>
        </w:rPr>
        <w:t xml:space="preserve">550-3519590 </w:t>
      </w:r>
    </w:p>
    <w:p>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第二章 投标人须知</w:t>
      </w:r>
      <w:bookmarkEnd w:id="2"/>
    </w:p>
    <w:p>
      <w:pPr>
        <w:snapToGrid w:val="0"/>
        <w:spacing w:line="500" w:lineRule="exact"/>
        <w:jc w:val="center"/>
        <w:outlineLvl w:val="1"/>
        <w:rPr>
          <w:rFonts w:hint="eastAsia" w:ascii="宋体"/>
          <w:b/>
          <w:color w:val="auto"/>
          <w:sz w:val="28"/>
          <w:szCs w:val="28"/>
          <w:highlight w:val="none"/>
        </w:rPr>
      </w:pPr>
      <w:bookmarkStart w:id="21" w:name="_Toc449028865"/>
      <w:bookmarkStart w:id="22" w:name="_Toc58430314"/>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1"/>
      <w:bookmarkEnd w:id="22"/>
    </w:p>
    <w:tbl>
      <w:tblPr>
        <w:tblStyle w:val="34"/>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滁州市扬子工业投资集团有限公司2023年度财务年报审计服务项目</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pPr>
              <w:pStyle w:val="22"/>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2024年4月30日前提供财务年报审计报告。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lang w:val="en-US" w:eastAsia="zh-CN"/>
              </w:rPr>
              <w:t>徐川</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val="en-US" w:eastAsia="zh-CN"/>
              </w:rPr>
              <w:t xml:space="preserve">10550-3018129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联系人：杨韦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电话0550-30519590、18005501210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290000</w:t>
            </w:r>
            <w:r>
              <w:rPr>
                <w:rFonts w:hint="eastAsia" w:ascii="宋体" w:hAnsi="宋体" w:eastAsia="宋体" w:cs="宋体"/>
                <w:color w:val="auto"/>
                <w:sz w:val="21"/>
                <w:szCs w:val="21"/>
                <w:highlight w:val="none"/>
              </w:rPr>
              <w:t>元</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贰拾玖万元</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290000</w:t>
            </w:r>
            <w:r>
              <w:rPr>
                <w:rFonts w:hint="eastAsia" w:ascii="宋体" w:hAnsi="宋体" w:eastAsia="宋体" w:cs="宋体"/>
                <w:color w:val="auto"/>
                <w:sz w:val="21"/>
                <w:szCs w:val="21"/>
                <w:highlight w:val="none"/>
              </w:rPr>
              <w:t>元），投标报价均不得高于最高限价，否则将作为无效投标处理。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代理服务费金额：</w:t>
            </w:r>
            <w:r>
              <w:rPr>
                <w:rFonts w:hint="eastAsia" w:ascii="宋体" w:hAnsi="宋体" w:eastAsia="宋体" w:cs="宋体"/>
                <w:color w:val="auto"/>
                <w:sz w:val="21"/>
                <w:szCs w:val="21"/>
                <w:highlight w:val="none"/>
                <w:lang w:val="en-US" w:eastAsia="zh-CN"/>
              </w:rPr>
              <w:t>3000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val="en-US" w:eastAsia="zh-CN"/>
              </w:rPr>
              <w:t>其他费用以实际发生费用为准。</w:t>
            </w:r>
          </w:p>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支付主体：</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招标人将于2023年</w:t>
            </w: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21</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在中国扬子集团官网（http://www.yangzigroup.cn/case/jingpinzhuzhai/）及滁州市工投公司微信公众号予以公布。</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pPr>
              <w:keepNext w:val="0"/>
              <w:keepLines w:val="0"/>
              <w:pageBreakBefore w:val="0"/>
              <w:widowControl/>
              <w:shd w:val="clear" w:color="auto" w:fill="FFFFFF"/>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不收取</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pPr>
              <w:keepNext w:val="0"/>
              <w:keepLines w:val="0"/>
              <w:pageBreakBefore w:val="0"/>
              <w:widowControl/>
              <w:kinsoku/>
              <w:overflowPunct/>
              <w:topLinePunct w:val="0"/>
              <w:autoSpaceDE/>
              <w:autoSpaceDN/>
              <w:bidi w:val="0"/>
              <w:adjustRightInd/>
              <w:spacing w:line="50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pPr>
              <w:keepNext w:val="0"/>
              <w:keepLines w:val="0"/>
              <w:pageBreakBefore w:val="0"/>
              <w:widowControl/>
              <w:kinsoku/>
              <w:overflowPunct/>
              <w:topLinePunct w:val="0"/>
              <w:autoSpaceDE/>
              <w:autoSpaceDN/>
              <w:bidi w:val="0"/>
              <w:adjustRightInd/>
              <w:spacing w:line="50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b/>
                <w:color w:val="auto"/>
                <w:kern w:val="0"/>
                <w:sz w:val="21"/>
                <w:szCs w:val="21"/>
                <w:highlight w:val="none"/>
                <w:lang w:val="en-US" w:eastAsia="zh-CN"/>
              </w:rPr>
              <w:t>资格证明文件</w:t>
            </w:r>
            <w:r>
              <w:rPr>
                <w:rFonts w:hint="eastAsia" w:ascii="宋体" w:hAnsi="宋体" w:eastAsia="宋体" w:cs="宋体"/>
                <w:b/>
                <w:color w:val="auto"/>
                <w:kern w:val="0"/>
                <w:sz w:val="21"/>
                <w:szCs w:val="21"/>
                <w:highlight w:val="none"/>
                <w:lang w:val="en-US" w:eastAsia="zh-CN"/>
              </w:rPr>
              <w:t>正副本密封在</w:t>
            </w:r>
            <w:r>
              <w:rPr>
                <w:rFonts w:hint="eastAsia" w:ascii="宋体" w:hAnsi="宋体" w:cs="宋体"/>
                <w:b/>
                <w:color w:val="auto"/>
                <w:kern w:val="0"/>
                <w:sz w:val="21"/>
                <w:szCs w:val="21"/>
                <w:highlight w:val="none"/>
                <w:lang w:val="en-US" w:eastAsia="zh-CN"/>
              </w:rPr>
              <w:t>资格证明文件</w:t>
            </w:r>
            <w:r>
              <w:rPr>
                <w:rFonts w:hint="eastAsia" w:ascii="宋体" w:hAnsi="宋体" w:eastAsia="宋体" w:cs="宋体"/>
                <w:b/>
                <w:color w:val="auto"/>
                <w:kern w:val="0"/>
                <w:sz w:val="21"/>
                <w:szCs w:val="21"/>
                <w:highlight w:val="none"/>
                <w:lang w:val="en-US" w:eastAsia="zh-CN"/>
              </w:rPr>
              <w:t>档案袋中</w:t>
            </w:r>
            <w:r>
              <w:rPr>
                <w:rFonts w:hint="eastAsia" w:ascii="宋体" w:hAnsi="宋体" w:cs="宋体"/>
                <w:b/>
                <w:color w:val="auto"/>
                <w:kern w:val="0"/>
                <w:sz w:val="21"/>
                <w:szCs w:val="21"/>
                <w:highlight w:val="none"/>
                <w:lang w:val="en-US" w:eastAsia="zh-CN"/>
              </w:rPr>
              <w:t>，技术标文件</w:t>
            </w:r>
            <w:r>
              <w:rPr>
                <w:rFonts w:hint="eastAsia" w:ascii="宋体" w:hAnsi="宋体" w:eastAsia="宋体" w:cs="宋体"/>
                <w:b/>
                <w:color w:val="auto"/>
                <w:kern w:val="0"/>
                <w:sz w:val="21"/>
                <w:szCs w:val="21"/>
                <w:highlight w:val="none"/>
                <w:lang w:val="en-US" w:eastAsia="zh-CN"/>
              </w:rPr>
              <w:t>正副本密封在</w:t>
            </w:r>
            <w:r>
              <w:rPr>
                <w:rFonts w:hint="eastAsia" w:ascii="宋体" w:hAnsi="宋体" w:cs="宋体"/>
                <w:b/>
                <w:color w:val="auto"/>
                <w:kern w:val="0"/>
                <w:sz w:val="21"/>
                <w:szCs w:val="21"/>
                <w:highlight w:val="none"/>
                <w:lang w:val="en-US" w:eastAsia="zh-CN"/>
              </w:rPr>
              <w:t>技术标文件</w:t>
            </w:r>
            <w:r>
              <w:rPr>
                <w:rFonts w:hint="eastAsia" w:ascii="宋体" w:hAnsi="宋体" w:eastAsia="宋体" w:cs="宋体"/>
                <w:b/>
                <w:color w:val="auto"/>
                <w:kern w:val="0"/>
                <w:sz w:val="21"/>
                <w:szCs w:val="21"/>
                <w:highlight w:val="none"/>
                <w:lang w:val="en-US" w:eastAsia="zh-CN"/>
              </w:rPr>
              <w:t>档案袋中</w:t>
            </w:r>
            <w:r>
              <w:rPr>
                <w:rFonts w:hint="eastAsia" w:ascii="宋体" w:hAnsi="宋体" w:cs="宋体"/>
                <w:b/>
                <w:color w:val="auto"/>
                <w:kern w:val="0"/>
                <w:sz w:val="21"/>
                <w:szCs w:val="21"/>
                <w:highlight w:val="none"/>
                <w:lang w:val="en-US" w:eastAsia="zh-CN"/>
              </w:rPr>
              <w:t>，商务标文件</w:t>
            </w:r>
            <w:r>
              <w:rPr>
                <w:rFonts w:hint="eastAsia" w:ascii="宋体" w:hAnsi="宋体" w:eastAsia="宋体" w:cs="宋体"/>
                <w:b/>
                <w:color w:val="auto"/>
                <w:kern w:val="0"/>
                <w:sz w:val="21"/>
                <w:szCs w:val="21"/>
                <w:highlight w:val="none"/>
                <w:lang w:val="en-US" w:eastAsia="zh-CN"/>
              </w:rPr>
              <w:t>正副本密封在</w:t>
            </w:r>
            <w:r>
              <w:rPr>
                <w:rFonts w:hint="eastAsia" w:ascii="宋体" w:hAnsi="宋体" w:cs="宋体"/>
                <w:b/>
                <w:color w:val="auto"/>
                <w:kern w:val="0"/>
                <w:sz w:val="21"/>
                <w:szCs w:val="21"/>
                <w:highlight w:val="none"/>
                <w:lang w:val="en-US" w:eastAsia="zh-CN"/>
              </w:rPr>
              <w:t>商务标文件</w:t>
            </w:r>
            <w:r>
              <w:rPr>
                <w:rFonts w:hint="eastAsia" w:ascii="宋体" w:hAnsi="宋体" w:eastAsia="宋体" w:cs="宋体"/>
                <w:b/>
                <w:color w:val="auto"/>
                <w:kern w:val="0"/>
                <w:sz w:val="21"/>
                <w:szCs w:val="21"/>
                <w:highlight w:val="none"/>
                <w:lang w:val="en-US" w:eastAsia="zh-CN"/>
              </w:rPr>
              <w:t>档案袋中</w:t>
            </w:r>
            <w:r>
              <w:rPr>
                <w:rFonts w:hint="eastAsia" w:ascii="宋体" w:hAnsi="宋体" w:cs="宋体"/>
                <w:b/>
                <w:color w:val="auto"/>
                <w:kern w:val="0"/>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pPr>
              <w:keepNext w:val="0"/>
              <w:keepLines w:val="0"/>
              <w:pageBreakBefore w:val="0"/>
              <w:widowControl/>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2023年</w:t>
            </w:r>
            <w:r>
              <w:rPr>
                <w:rFonts w:hint="eastAsia" w:ascii="宋体" w:hAnsi="宋体" w:eastAsia="宋体" w:cs="宋体"/>
                <w:b/>
                <w:bCs/>
                <w:color w:val="auto"/>
                <w:sz w:val="21"/>
                <w:szCs w:val="21"/>
                <w:highlight w:val="none"/>
                <w:lang w:val="en-US" w:eastAsia="zh-CN"/>
              </w:rPr>
              <w:t>12</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22</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16</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分（北京时间）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在进行评审。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w:t>
            </w:r>
            <w:r>
              <w:rPr>
                <w:rFonts w:hint="eastAsia" w:ascii="宋体" w:hAnsi="宋体" w:eastAsia="宋体" w:cs="宋体"/>
                <w:color w:val="auto"/>
                <w:sz w:val="21"/>
                <w:szCs w:val="21"/>
                <w:highlight w:val="none"/>
                <w:lang w:val="en-US" w:eastAsia="zh-CN"/>
              </w:rPr>
              <w:t>由招标人组建</w:t>
            </w:r>
            <w:r>
              <w:rPr>
                <w:rFonts w:hint="eastAsia" w:ascii="宋体" w:hAnsi="宋体" w:eastAsia="宋体" w:cs="宋体"/>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pPr>
              <w:pStyle w:val="19"/>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pPr>
              <w:pStyle w:val="19"/>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ascii="宋体" w:hAnsi="宋体" w:eastAsia="宋体" w:cs="宋体"/>
                <w:color w:val="auto"/>
                <w:sz w:val="21"/>
                <w:szCs w:val="21"/>
                <w:highlight w:val="none"/>
                <w:u w:val="single" w:color="auto"/>
              </w:rPr>
              <w:t xml:space="preserve"> 3</w:t>
            </w:r>
            <w:r>
              <w:rPr>
                <w:rFonts w:hint="eastAsia" w:ascii="宋体" w:hAnsi="宋体" w:eastAsia="宋体" w:cs="宋体"/>
                <w:color w:val="auto"/>
                <w:sz w:val="21"/>
                <w:szCs w:val="21"/>
                <w:highlight w:val="none"/>
              </w:rPr>
              <w:t>名中标候选人。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中标通知书须加盖</w:t>
            </w:r>
            <w:r>
              <w:rPr>
                <w:rFonts w:hint="eastAsia" w:ascii="宋体" w:hAnsi="宋体" w:eastAsia="宋体" w:cs="宋体"/>
                <w:color w:val="auto"/>
                <w:sz w:val="21"/>
                <w:szCs w:val="21"/>
                <w:highlight w:val="none"/>
                <w:lang w:val="en-US" w:eastAsia="zh-CN"/>
              </w:rPr>
              <w:t>招标人及代理机构公章</w:t>
            </w:r>
            <w:r>
              <w:rPr>
                <w:rFonts w:hint="eastAsia" w:ascii="宋体" w:hAnsi="宋体" w:eastAsia="宋体" w:cs="宋体"/>
                <w:color w:val="auto"/>
                <w:sz w:val="21"/>
                <w:szCs w:val="21"/>
                <w:highlight w:val="none"/>
              </w:rPr>
              <w:t>后方可发出。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pPr>
              <w:keepNext w:val="0"/>
              <w:keepLines w:val="0"/>
              <w:pageBreakBefore w:val="0"/>
              <w:kinsoku/>
              <w:wordWrap w:val="0"/>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pPr>
              <w:keepNext w:val="0"/>
              <w:keepLines w:val="0"/>
              <w:pageBreakBefore w:val="0"/>
              <w:widowControl/>
              <w:kinsoku/>
              <w:overflowPunct/>
              <w:topLinePunct w:val="0"/>
              <w:autoSpaceDE/>
              <w:autoSpaceDN/>
              <w:bidi w:val="0"/>
              <w:adjustRightInd/>
              <w:spacing w:line="50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2023年</w:t>
            </w: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21</w:t>
            </w:r>
            <w:r>
              <w:rPr>
                <w:rFonts w:hint="eastAsia" w:ascii="宋体" w:hAnsi="宋体" w:eastAsia="宋体" w:cs="宋体"/>
                <w:color w:val="auto"/>
                <w:sz w:val="21"/>
                <w:szCs w:val="21"/>
                <w:highlight w:val="none"/>
                <w:lang w:val="en-US" w:eastAsia="zh-CN"/>
              </w:rPr>
              <w:t>日1</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时前</w:t>
            </w: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HYPERLINK "mailto:投标人将所遇到的问题以电子邮件形式传至cxzbdlgs@163.com"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将所遇到的问题以电子邮件形式传至czsctgczx@163.com</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 xml:space="preserve">(滁州市城投工程咨询管理有限公司电子邮箱)。招标人不再集中召开招标答疑会；投标人自行组织勘察现场。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pPr>
              <w:pStyle w:val="19"/>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w:t>
            </w:r>
            <w:r>
              <w:rPr>
                <w:rFonts w:hint="eastAsia" w:ascii="宋体" w:hAnsi="宋体" w:cs="宋体"/>
                <w:color w:val="auto"/>
                <w:sz w:val="21"/>
                <w:szCs w:val="21"/>
                <w:highlight w:val="none"/>
                <w:lang w:val="en-US" w:eastAsia="zh-CN"/>
              </w:rPr>
              <w:t>招标人</w:t>
            </w:r>
            <w:r>
              <w:rPr>
                <w:rFonts w:hint="eastAsia" w:ascii="宋体" w:hAnsi="宋体" w:eastAsia="宋体" w:cs="宋体"/>
                <w:color w:val="auto"/>
                <w:sz w:val="21"/>
                <w:szCs w:val="21"/>
                <w:highlight w:val="none"/>
                <w:lang w:val="en-US" w:eastAsia="zh-CN"/>
              </w:rPr>
              <w:t>澄清的方式</w:t>
            </w:r>
            <w:r>
              <w:rPr>
                <w:rFonts w:hint="default"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出具所有审计报告后60个日历天内一次性付清合同价款。</w:t>
            </w:r>
          </w:p>
        </w:tc>
      </w:tr>
    </w:tbl>
    <w:p>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23" w:name="_Toc449028866"/>
      <w:bookmarkStart w:id="24" w:name="_Toc58430315"/>
      <w:r>
        <w:rPr>
          <w:rFonts w:hint="eastAsia" w:ascii="宋体" w:hAnsi="宋体" w:cs="宋体"/>
          <w:b/>
          <w:color w:val="auto"/>
          <w:sz w:val="28"/>
          <w:szCs w:val="28"/>
          <w:highlight w:val="none"/>
        </w:rPr>
        <w:t>二、投标人须知</w:t>
      </w:r>
      <w:bookmarkEnd w:id="23"/>
      <w:bookmarkEnd w:id="24"/>
    </w:p>
    <w:p>
      <w:pPr>
        <w:spacing w:line="440" w:lineRule="exact"/>
        <w:jc w:val="center"/>
        <w:rPr>
          <w:rFonts w:hint="eastAsia" w:ascii="宋体" w:hAnsi="宋体" w:cs="宋体"/>
          <w:color w:val="auto"/>
          <w:sz w:val="28"/>
          <w:szCs w:val="28"/>
          <w:highlight w:val="none"/>
        </w:rPr>
      </w:pPr>
      <w:bookmarkStart w:id="25"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5"/>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综合评分法 </w:t>
      </w:r>
      <w:r>
        <w:rPr>
          <w:rFonts w:hint="eastAsia" w:ascii="宋体" w:hAnsi="宋体" w:cs="宋体"/>
          <w:color w:val="auto"/>
          <w:szCs w:val="21"/>
          <w:highlight w:val="none"/>
        </w:rPr>
        <w:t>（详见第三章评标办法）</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6" w:name="_Toc144974507"/>
      <w:bookmarkStart w:id="27" w:name="_Toc247527563"/>
      <w:bookmarkStart w:id="28" w:name="_Toc247513962"/>
      <w:bookmarkStart w:id="29" w:name="_Toc247592876"/>
      <w:bookmarkStart w:id="30" w:name="_Toc152042315"/>
      <w:bookmarkStart w:id="31" w:name="_Toc296602429"/>
      <w:bookmarkStart w:id="32" w:name="_Toc152045539"/>
      <w:r>
        <w:rPr>
          <w:rFonts w:hint="eastAsia" w:ascii="宋体" w:hAnsi="宋体" w:cs="宋体"/>
          <w:b/>
          <w:color w:val="auto"/>
          <w:szCs w:val="21"/>
          <w:highlight w:val="none"/>
        </w:rPr>
        <w:t xml:space="preserve"> 踏勘现场</w:t>
      </w:r>
      <w:bookmarkEnd w:id="26"/>
      <w:bookmarkEnd w:id="27"/>
      <w:bookmarkEnd w:id="28"/>
      <w:bookmarkEnd w:id="29"/>
      <w:bookmarkEnd w:id="30"/>
      <w:bookmarkEnd w:id="31"/>
      <w:bookmarkEnd w:id="32"/>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33" w:name="_Toc247527564"/>
      <w:bookmarkStart w:id="34" w:name="_Toc247592877"/>
      <w:bookmarkStart w:id="35" w:name="_Toc152045540"/>
      <w:bookmarkStart w:id="36" w:name="_Toc247513963"/>
      <w:bookmarkStart w:id="37" w:name="_Toc144974508"/>
      <w:bookmarkStart w:id="38" w:name="_Toc152042316"/>
      <w:bookmarkStart w:id="39" w:name="_Toc296602430"/>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33"/>
      <w:bookmarkEnd w:id="34"/>
      <w:bookmarkEnd w:id="35"/>
      <w:bookmarkEnd w:id="36"/>
      <w:bookmarkEnd w:id="37"/>
      <w:bookmarkEnd w:id="38"/>
      <w:bookmarkEnd w:id="39"/>
      <w:r>
        <w:rPr>
          <w:rFonts w:hint="eastAsia" w:ascii="宋体" w:hAnsi="宋体" w:cs="宋体"/>
          <w:b/>
          <w:color w:val="auto"/>
          <w:szCs w:val="21"/>
          <w:highlight w:val="none"/>
        </w:rPr>
        <w:t>（本项目不采用）</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pPr>
        <w:spacing w:before="312" w:beforeLines="100" w:after="312" w:afterLines="100" w:line="440" w:lineRule="exact"/>
        <w:jc w:val="center"/>
        <w:rPr>
          <w:rFonts w:hint="eastAsia" w:ascii="宋体" w:hAnsi="宋体" w:cs="宋体"/>
          <w:b/>
          <w:color w:val="auto"/>
          <w:sz w:val="28"/>
          <w:szCs w:val="28"/>
          <w:highlight w:val="none"/>
        </w:rPr>
      </w:pPr>
      <w:bookmarkStart w:id="40" w:name="_Toc449028868"/>
      <w:r>
        <w:rPr>
          <w:rFonts w:hint="eastAsia" w:ascii="宋体" w:hAnsi="宋体" w:cs="宋体"/>
          <w:b/>
          <w:color w:val="auto"/>
          <w:sz w:val="28"/>
          <w:szCs w:val="28"/>
          <w:highlight w:val="none"/>
        </w:rPr>
        <w:t>（二）</w:t>
      </w:r>
      <w:bookmarkEnd w:id="40"/>
      <w:r>
        <w:rPr>
          <w:rFonts w:hint="eastAsia" w:ascii="宋体" w:hAnsi="宋体" w:cs="宋体"/>
          <w:b/>
          <w:color w:val="auto"/>
          <w:sz w:val="28"/>
          <w:szCs w:val="28"/>
          <w:highlight w:val="none"/>
        </w:rPr>
        <w:t>招标文件</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第五章  合同条款及格式</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电子邮箱</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将以更正公告形式在中国扬子集团官网（http://www.yangzigroup.cn/case/jingpinzhuzhai/）及滁州市工投公司微信公众号予以公布。</w:t>
      </w:r>
      <w:r>
        <w:rPr>
          <w:rFonts w:hint="eastAsia" w:ascii="宋体" w:hAnsi="宋体" w:cs="宋体"/>
          <w:color w:val="auto"/>
          <w:szCs w:val="21"/>
          <w:highlight w:val="none"/>
        </w:rPr>
        <w:t>，但不指明澄清问题的来源。如果澄清内容影响投标文件编制的，将相应延长投标截止时间。</w:t>
      </w:r>
    </w:p>
    <w:p>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在、中国扬子集团官网（http://www.yangzigroup.cn/case/jingpinzhuzhai/）及滁州市工投公司微信公众号予以公布。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17.1招标文件、招标文件的澄清、修改、补充及招标答疑等均应报公共资源交易监督管理机构备案后，方可发出。</w:t>
      </w:r>
    </w:p>
    <w:p>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pPr>
        <w:spacing w:before="312" w:beforeLines="100" w:after="312" w:afterLines="100" w:line="440" w:lineRule="exact"/>
        <w:jc w:val="center"/>
        <w:rPr>
          <w:rFonts w:hint="eastAsia" w:ascii="宋体" w:hAnsi="宋体" w:cs="宋体"/>
          <w:b/>
          <w:color w:val="auto"/>
          <w:sz w:val="28"/>
          <w:szCs w:val="28"/>
          <w:highlight w:val="none"/>
        </w:rPr>
      </w:pPr>
      <w:bookmarkStart w:id="41" w:name="_Toc449028869"/>
      <w:r>
        <w:rPr>
          <w:rFonts w:hint="eastAsia" w:ascii="宋体" w:hAnsi="宋体" w:cs="宋体"/>
          <w:b/>
          <w:color w:val="auto"/>
          <w:sz w:val="28"/>
          <w:szCs w:val="28"/>
          <w:highlight w:val="none"/>
        </w:rPr>
        <w:t>（三）投标文件的编制</w:t>
      </w:r>
      <w:bookmarkEnd w:id="41"/>
    </w:p>
    <w:p>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（4）网递交的投标文件应按招标文件规定的格式由投标人的法定代表人和投标人分别签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23.1本项目不缴纳投标保证金。</w:t>
      </w:r>
    </w:p>
    <w:p>
      <w:pPr>
        <w:spacing w:before="312" w:beforeLines="100" w:after="312" w:afterLines="100" w:line="440" w:lineRule="exact"/>
        <w:jc w:val="center"/>
        <w:rPr>
          <w:rFonts w:hint="eastAsia" w:ascii="宋体" w:hAnsi="宋体" w:eastAsia="宋体" w:cs="宋体"/>
          <w:b/>
          <w:color w:val="auto"/>
          <w:sz w:val="28"/>
          <w:szCs w:val="28"/>
          <w:highlight w:val="none"/>
        </w:rPr>
      </w:pPr>
      <w:bookmarkStart w:id="42" w:name="_Toc449028870"/>
      <w:r>
        <w:rPr>
          <w:rFonts w:hint="eastAsia" w:ascii="宋体" w:hAnsi="宋体" w:eastAsia="宋体" w:cs="宋体"/>
          <w:b/>
          <w:color w:val="auto"/>
          <w:sz w:val="28"/>
          <w:szCs w:val="28"/>
          <w:highlight w:val="none"/>
        </w:rPr>
        <w:t>（四）投标文件的递交</w:t>
      </w:r>
      <w:bookmarkEnd w:id="42"/>
    </w:p>
    <w:p>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pPr>
        <w:spacing w:line="440" w:lineRule="exact"/>
        <w:ind w:firstLine="315" w:firstLineChars="150"/>
        <w:jc w:val="left"/>
        <w:rPr>
          <w:rFonts w:hint="eastAsia" w:ascii="宋体" w:hAnsi="宋体" w:cs="宋体"/>
          <w:b w:val="0"/>
          <w:bCs w:val="0"/>
          <w:color w:val="auto"/>
          <w:szCs w:val="21"/>
          <w:highlight w:val="none"/>
        </w:rPr>
      </w:pPr>
      <w:bookmarkStart w:id="43"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 按照无效投标处理。</w:t>
      </w:r>
    </w:p>
    <w:p>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投标人应在投标人须知前附表规定的投标截止时间前在递交投标文件。未在开标截止时间前递交投标文件的，投标将被拒绝。</w:t>
      </w:r>
    </w:p>
    <w:p>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43"/>
    </w:p>
    <w:p>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28.1  评标委员会的组成</w:t>
      </w:r>
    </w:p>
    <w:p>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28.1.1评标由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依法组建的评标委员会负责。</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28.1.2评标委员会负责人依法推荐或确定。</w:t>
      </w:r>
    </w:p>
    <w:p>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28.2  评标委员会成员名单在中标结果确定前应当保密。</w:t>
      </w:r>
    </w:p>
    <w:p>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28.3  评标委员会成员有下述情形的，应当主动提出回避：</w:t>
      </w:r>
    </w:p>
    <w:p>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(一)参加采购活动前三年内,与供应商存在劳动关系,或者担任过供应商的董事、监事,或者是供应商的控股股东或实际控制人;</w:t>
      </w:r>
    </w:p>
    <w:p>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(二)与供应商的法定代表人或者负责人有夫妻、直系血亲、三代以内旁系血亲或者近姻亲关系;</w:t>
      </w:r>
    </w:p>
    <w:p>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(三)与供应商有其他可能影响政府采购活动公平、公正进行的关系。</w:t>
      </w:r>
    </w:p>
    <w:p>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评审专家发现本人与参加采购活动的供应商有利害关系的,应当主动提出回避。</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或者采购代理机构发现评审专家与参加采购活动的供应商有利害关系的,应当要求其回避。</w:t>
      </w:r>
    </w:p>
    <w:p>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除《政府采购评审专家管理办法》第十三条规定的情形外,评审专家对本单位的政府采购项目只能作为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代表参与评审活动。各级财政部门政府采购监督管理工作人员,不得作为评审专家参与政府采购项目的评审活动。</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28.4 评标委员会应当向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提出书面评标报告，并抄送有关行政监督部门。评标报告应当如实记载以下内容：</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（1）基本情况和数据表；</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（2）评标委员会成员名单；</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（3）开标记录；</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（4）符合要求的投标人一览表；</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（5）无效情况说明；</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（6）评标标准、评标方法或者评标因素一览表；</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（7）经评审的价格或者评分比较一览表；</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（8）投标人串标、围标等违规行为的确认报告；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（9）经评审的投标人排序；</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（10）推荐的中标候选人名单；</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（11）澄清、说明、补正事项纪要。</w:t>
      </w:r>
    </w:p>
    <w:p>
      <w:pPr>
        <w:tabs>
          <w:tab w:val="left" w:pos="720"/>
        </w:tabs>
        <w:spacing w:line="440" w:lineRule="exact"/>
        <w:ind w:firstLine="211" w:firstLineChars="100"/>
        <w:jc w:val="left"/>
        <w:rPr>
          <w:rFonts w:hint="eastAsia" w:ascii="宋体" w:hAnsi="宋体" w:cs="宋体"/>
          <w:b/>
          <w:bCs/>
          <w:color w:val="auto"/>
          <w:szCs w:val="21"/>
          <w:highlight w:val="none"/>
        </w:rPr>
      </w:pPr>
      <w:r>
        <w:rPr>
          <w:rFonts w:hint="eastAsia" w:ascii="宋体" w:hAnsi="宋体" w:cs="宋体"/>
          <w:b/>
          <w:bCs/>
          <w:color w:val="auto"/>
          <w:szCs w:val="21"/>
          <w:highlight w:val="none"/>
        </w:rPr>
        <w:t xml:space="preserve">28.5 </w:t>
      </w:r>
      <w:r>
        <w:rPr>
          <w:rFonts w:hint="eastAsia" w:ascii="宋体" w:hAnsi="宋体" w:cs="宋体"/>
          <w:b/>
          <w:bCs/>
          <w:color w:val="auto"/>
          <w:szCs w:val="21"/>
          <w:highlight w:val="none"/>
          <w:lang w:eastAsia="zh-CN"/>
        </w:rPr>
        <w:t>招标人</w:t>
      </w:r>
      <w:r>
        <w:rPr>
          <w:rFonts w:hint="eastAsia" w:ascii="宋体" w:hAnsi="宋体" w:cs="宋体"/>
          <w:b/>
          <w:bCs/>
          <w:color w:val="auto"/>
          <w:szCs w:val="21"/>
          <w:highlight w:val="none"/>
        </w:rPr>
        <w:t>授权评标委员会对投标人资格进行审查。</w:t>
      </w:r>
    </w:p>
    <w:p>
      <w:pPr>
        <w:tabs>
          <w:tab w:val="left" w:pos="720"/>
        </w:tabs>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28.6评标委员会应自觉接受有关监督管理部门的现场监督，评标委员会成员与评标活动有关的工作人员和监督人员不得向他人透露对投标文件的评审和比较、中标候选人的推荐以及与评标有关的其他情况。投标文件及与评标有关的资料应当保密。</w:t>
      </w:r>
    </w:p>
    <w:p>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29.1  评标准备工作</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29.1.1阅读由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或招标代理单位编写的招标项目情况的说明材料；</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29.1.2阅读、研究招标文件和相关评标资料，获取评标所需要的重要信息和数据；</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29.1.3熟悉招标文件规定的评标方法及在评标过程中需要考虑的相关因素；</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29.1.4核对评标工作用表。</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29.2  评标办法</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29.2.1评标委员会按照第三章“评标办法”规定的方法、评审因素、标准和程序对投标文件进行评审。第三章“评标办法”没有规定的方法、评审因素和标准，不作为评标依据。</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29.3评标原则</w:t>
      </w:r>
    </w:p>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遵循公平、公正、科学和择优的原则。</w:t>
      </w:r>
    </w:p>
    <w:p>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29.</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投标文件的澄清</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1在评标过程中，评标委员会认为需要，可要求投标人对投标文件中的有关问题进行澄清或提供补充说明及有关资料，投标人应做出答复，答复将视为投标文件的组成部分，答复中不得变更价格、供货期、自报质量等实质性内容。</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.2投标截止时间后，投标人对投标报价或其它实质性内容修正的函件和增加的任何优惠条件，一律不得作为评标、定标的依据。</w:t>
      </w:r>
    </w:p>
    <w:p>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29.</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不接受投标人主动提出的澄清。</w:t>
      </w:r>
    </w:p>
    <w:p>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29.</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报价合理性的判断</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系统中合理的时间内提供说明，必要时提交相关证明材料；投标人不能证明其报价合理性的，评标委员会应当将其作为无效投标处理。</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29.7评审意见分歧的处理办法</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（1）评标委员会应当对投标人提供的报告、证明材料及详细说明认真研究。对存在意见分歧的，可采用投票方式表决决定（按多数评委意见为准）；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（2）招标投标当事人对评标结果提出质疑或者投诉，</w:t>
      </w:r>
      <w:r>
        <w:rPr>
          <w:rFonts w:hint="eastAsia" w:ascii="宋体" w:hAnsi="宋体" w:cs="宋体"/>
          <w:color w:val="auto"/>
          <w:szCs w:val="21"/>
          <w:highlight w:val="none"/>
          <w:lang w:val="en-US" w:eastAsia="zh-CN"/>
        </w:rPr>
        <w:t>招标人</w:t>
      </w:r>
      <w:r>
        <w:rPr>
          <w:rFonts w:hint="eastAsia" w:ascii="宋体" w:hAnsi="宋体" w:cs="宋体"/>
          <w:color w:val="auto"/>
          <w:szCs w:val="21"/>
          <w:highlight w:val="none"/>
        </w:rPr>
        <w:t>认为需要重新进行评标的，评标委员会成员应当按照公共资源交易监督机构要求重新评标。</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29.8评标报告的签署</w:t>
      </w:r>
    </w:p>
    <w:p>
      <w:pPr>
        <w:spacing w:line="440" w:lineRule="exact"/>
        <w:ind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29.8.1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pPr>
        <w:spacing w:line="440" w:lineRule="exact"/>
        <w:ind w:firstLine="210" w:firstLineChars="100"/>
        <w:rPr>
          <w:rFonts w:hint="eastAsia" w:ascii="宋体" w:hAnsi="宋体" w:cs="宋体"/>
          <w:color w:val="auto"/>
          <w:szCs w:val="21"/>
          <w:highlight w:val="none"/>
        </w:rPr>
      </w:pPr>
      <w:r>
        <w:rPr>
          <w:rFonts w:hint="eastAsia" w:ascii="宋体" w:hAnsi="宋体" w:cs="宋体"/>
          <w:color w:val="auto"/>
          <w:szCs w:val="21"/>
          <w:highlight w:val="none"/>
        </w:rPr>
        <w:t>29.9评标过程的保密</w:t>
      </w:r>
    </w:p>
    <w:p>
      <w:pPr>
        <w:spacing w:line="440" w:lineRule="exact"/>
        <w:ind w:firstLine="240" w:firstLineChars="100"/>
        <w:jc w:val="left"/>
        <w:rPr>
          <w:rFonts w:hint="eastAsia" w:ascii="宋体" w:hAnsi="宋体" w:cs="宋体"/>
          <w:color w:val="auto"/>
          <w:szCs w:val="21"/>
          <w:highlight w:val="none"/>
        </w:rPr>
      </w:pPr>
      <w:r>
        <w:rPr>
          <w:rFonts w:hint="eastAsia" w:ascii="宋体" w:hAnsi="宋体" w:cs="宋体"/>
          <w:color w:val="auto"/>
          <w:sz w:val="24"/>
          <w:highlight w:val="none"/>
        </w:rPr>
        <w:t> </w:t>
      </w:r>
      <w:r>
        <w:rPr>
          <w:rFonts w:hint="eastAsia" w:ascii="宋体" w:hAnsi="宋体" w:cs="宋体"/>
          <w:color w:val="auto"/>
          <w:szCs w:val="21"/>
          <w:highlight w:val="none"/>
        </w:rPr>
        <w:t>评标委员会成员和与评标活动有关的工作人员不得透露对投标文件的评审和比较、中标候选人的推荐情况以及与评标有关的其他情况。</w:t>
      </w:r>
      <w:r>
        <w:rPr>
          <w:rFonts w:hint="eastAsia" w:ascii="宋体" w:hAnsi="宋体" w:cs="宋体"/>
          <w:b/>
          <w:bCs/>
          <w:color w:val="auto"/>
          <w:szCs w:val="21"/>
          <w:highlight w:val="none"/>
        </w:rPr>
        <w:t xml:space="preserve">  </w:t>
      </w:r>
    </w:p>
    <w:p>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30.2 中标通知书</w:t>
      </w:r>
    </w:p>
    <w:p>
      <w:pPr>
        <w:pStyle w:val="16"/>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或采购代理机构应在中标人确定之日起2个工作日内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、采购代理机构公章后，方可发出。</w:t>
      </w:r>
    </w:p>
    <w:p>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(1)投标截止时间止，投标人少于三个的； </w:t>
      </w:r>
    </w:p>
    <w:p>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(2)</w:t>
      </w:r>
      <w:r>
        <w:rPr>
          <w:rFonts w:hint="eastAsia" w:ascii="宋体" w:hAnsi="宋体" w:cs="宋体"/>
          <w:color w:val="auto"/>
          <w:szCs w:val="21"/>
          <w:highlight w:val="none"/>
          <w:shd w:val="clear" w:color="auto" w:fill="FFFFFF"/>
        </w:rPr>
        <w:t>符合专业条件的供应商或者对招标文件作实质响应的供应商不足三家的</w:t>
      </w:r>
      <w:r>
        <w:rPr>
          <w:rFonts w:hint="eastAsia" w:ascii="宋体" w:hAnsi="宋体" w:cs="宋体"/>
          <w:color w:val="auto"/>
          <w:kern w:val="10"/>
          <w:szCs w:val="21"/>
          <w:highlight w:val="none"/>
        </w:rPr>
        <w:t>；</w:t>
      </w:r>
    </w:p>
    <w:p>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(3)出现影响采购公正的违法、违规行为的；</w:t>
      </w:r>
    </w:p>
    <w:p>
      <w:pPr>
        <w:adjustRightInd w:val="0"/>
        <w:snapToGrid w:val="0"/>
        <w:spacing w:line="440" w:lineRule="exact"/>
        <w:ind w:firstLine="420" w:firstLineChars="200"/>
        <w:rPr>
          <w:rFonts w:hint="eastAsia" w:ascii="宋体" w:hAnsi="宋体" w:cs="宋体"/>
          <w:color w:val="auto"/>
          <w:highlight w:val="none"/>
        </w:rPr>
      </w:pPr>
      <w:r>
        <w:rPr>
          <w:rFonts w:hint="eastAsia" w:ascii="宋体" w:hAnsi="宋体" w:cs="宋体"/>
          <w:color w:val="auto"/>
          <w:kern w:val="10"/>
          <w:szCs w:val="21"/>
          <w:highlight w:val="none"/>
        </w:rPr>
        <w:t>(4)投标人的报价均脱离实际且无充分证据的；</w:t>
      </w:r>
    </w:p>
    <w:p>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w:t>
      </w:r>
      <w:r>
        <w:rPr>
          <w:rFonts w:hint="eastAsia" w:ascii="宋体" w:hAnsi="宋体" w:eastAsia="宋体" w:cs="宋体"/>
          <w:color w:val="auto"/>
          <w:kern w:val="10"/>
          <w:szCs w:val="21"/>
          <w:highlight w:val="none"/>
          <w:lang w:val="en-US" w:eastAsia="zh-CN"/>
        </w:rPr>
        <w:t>5</w:t>
      </w:r>
      <w:r>
        <w:rPr>
          <w:rFonts w:hint="eastAsia" w:ascii="宋体" w:hAnsi="宋体" w:eastAsia="宋体" w:cs="宋体"/>
          <w:color w:val="auto"/>
          <w:kern w:val="10"/>
          <w:szCs w:val="21"/>
          <w:highlight w:val="none"/>
        </w:rPr>
        <w:t>)因重大变故，采购任务取消的。</w:t>
      </w:r>
    </w:p>
    <w:p>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4" w:name="_Toc449028872"/>
      <w:r>
        <w:rPr>
          <w:rFonts w:hint="eastAsia" w:ascii="宋体" w:hAnsi="宋体" w:eastAsia="宋体" w:cs="宋体"/>
          <w:color w:val="auto"/>
          <w:kern w:val="10"/>
          <w:szCs w:val="21"/>
          <w:highlight w:val="none"/>
        </w:rPr>
        <w:t>按照滁州市公管局和财政局相关规定执行。</w:t>
      </w:r>
      <w:bookmarkEnd w:id="44"/>
      <w:bookmarkStart w:id="45" w:name="_Toc449028873"/>
    </w:p>
    <w:p>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5"/>
    </w:p>
    <w:p>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与中标人将于中标通知书发出之日起7个工作日内，按照招标文件和中标人的投标文件订立书面采购合同。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33.2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6"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6"/>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pPr>
        <w:spacing w:before="312" w:beforeLines="100" w:after="312" w:afterLines="100" w:line="440" w:lineRule="exact"/>
        <w:jc w:val="center"/>
        <w:rPr>
          <w:rFonts w:hint="eastAsia" w:ascii="宋体" w:hAnsi="宋体" w:eastAsia="宋体" w:cs="宋体"/>
          <w:b/>
          <w:color w:val="auto"/>
          <w:sz w:val="28"/>
          <w:szCs w:val="28"/>
          <w:highlight w:val="none"/>
        </w:rPr>
      </w:pPr>
      <w:bookmarkStart w:id="47" w:name="_Toc449028874"/>
      <w:r>
        <w:rPr>
          <w:rFonts w:hint="eastAsia" w:ascii="宋体" w:hAnsi="宋体" w:eastAsia="宋体" w:cs="宋体"/>
          <w:b/>
          <w:color w:val="auto"/>
          <w:sz w:val="28"/>
          <w:szCs w:val="28"/>
          <w:highlight w:val="none"/>
        </w:rPr>
        <w:t>（七）纪律和监督</w:t>
      </w:r>
      <w:bookmarkEnd w:id="47"/>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before="312" w:beforeLines="100" w:after="312" w:afterLines="100" w:line="440" w:lineRule="exact"/>
        <w:jc w:val="center"/>
        <w:rPr>
          <w:rFonts w:hint="eastAsia" w:ascii="宋体" w:hAnsi="宋体" w:eastAsia="宋体" w:cs="宋体"/>
          <w:b/>
          <w:color w:val="auto"/>
          <w:sz w:val="28"/>
          <w:szCs w:val="28"/>
          <w:highlight w:val="none"/>
        </w:rPr>
      </w:pPr>
      <w:bookmarkStart w:id="48" w:name="_Toc449028875"/>
      <w:r>
        <w:rPr>
          <w:rFonts w:hint="eastAsia" w:ascii="宋体" w:hAnsi="宋体" w:eastAsia="宋体" w:cs="宋体"/>
          <w:b/>
          <w:color w:val="auto"/>
          <w:sz w:val="28"/>
          <w:szCs w:val="28"/>
          <w:highlight w:val="none"/>
        </w:rPr>
        <w:t>（八）质疑与投诉</w:t>
      </w:r>
      <w:bookmarkEnd w:id="48"/>
    </w:p>
    <w:p>
      <w:pPr>
        <w:spacing w:line="440" w:lineRule="exact"/>
        <w:ind w:firstLine="314" w:firstLineChars="149"/>
        <w:jc w:val="left"/>
        <w:rPr>
          <w:rFonts w:hint="eastAsia" w:ascii="宋体" w:hAnsi="宋体" w:cs="宋体"/>
          <w:b/>
          <w:color w:val="auto"/>
          <w:szCs w:val="21"/>
          <w:highlight w:val="none"/>
        </w:rPr>
      </w:pPr>
      <w:r>
        <w:rPr>
          <w:rFonts w:hint="eastAsia" w:ascii="宋体" w:hAnsi="宋体" w:cs="宋体"/>
          <w:b/>
          <w:color w:val="auto"/>
          <w:szCs w:val="21"/>
          <w:highlight w:val="none"/>
        </w:rPr>
        <w:t>39. 询问、质疑</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39.1 投标人对招标活动事项有疑问的，可以向</w:t>
      </w:r>
      <w:r>
        <w:rPr>
          <w:rFonts w:hint="eastAsia" w:ascii="宋体" w:hAnsi="宋体" w:cs="宋体"/>
          <w:color w:val="auto"/>
          <w:szCs w:val="21"/>
          <w:highlight w:val="none"/>
          <w:lang w:val="en-US" w:eastAsia="zh-CN"/>
        </w:rPr>
        <w:t>招标人或代理机构</w:t>
      </w:r>
      <w:r>
        <w:rPr>
          <w:rFonts w:hint="eastAsia" w:ascii="宋体" w:hAnsi="宋体" w:cs="宋体"/>
          <w:color w:val="auto"/>
          <w:szCs w:val="21"/>
          <w:highlight w:val="none"/>
        </w:rPr>
        <w:t>提出询问，</w:t>
      </w:r>
      <w:r>
        <w:rPr>
          <w:rFonts w:hint="eastAsia" w:ascii="宋体" w:hAnsi="宋体" w:cs="宋体"/>
          <w:color w:val="auto"/>
          <w:szCs w:val="21"/>
          <w:highlight w:val="none"/>
          <w:lang w:val="en-US" w:eastAsia="zh-CN"/>
        </w:rPr>
        <w:t>招标人</w:t>
      </w:r>
      <w:r>
        <w:rPr>
          <w:rFonts w:hint="eastAsia" w:ascii="宋体" w:hAnsi="宋体" w:cs="宋体"/>
          <w:color w:val="auto"/>
          <w:szCs w:val="21"/>
          <w:highlight w:val="none"/>
        </w:rPr>
        <w:t>将在三个工作日内作出答复，但答复的内容不涉及商业秘密。</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39.2 投标人认为</w:t>
      </w:r>
      <w:r>
        <w:rPr>
          <w:rFonts w:hint="eastAsia" w:ascii="宋体" w:hAnsi="宋体" w:cs="宋体"/>
          <w:color w:val="auto"/>
          <w:szCs w:val="21"/>
          <w:highlight w:val="none"/>
          <w:lang w:val="en-US" w:eastAsia="zh-CN"/>
        </w:rPr>
        <w:t>招标</w:t>
      </w:r>
      <w:r>
        <w:rPr>
          <w:rFonts w:hint="eastAsia" w:ascii="宋体" w:hAnsi="宋体" w:cs="宋体"/>
          <w:color w:val="auto"/>
          <w:szCs w:val="21"/>
          <w:highlight w:val="none"/>
        </w:rPr>
        <w:t>文件、采购过程和中标结果使自己的合法权益受到损害的，可以在知道或者应当知道其权益受到损害之日起七个工作日内</w:t>
      </w:r>
      <w:r>
        <w:rPr>
          <w:rFonts w:hint="eastAsia" w:ascii="宋体" w:hAnsi="宋体" w:cs="宋体"/>
          <w:color w:val="auto"/>
          <w:szCs w:val="21"/>
          <w:highlight w:val="none"/>
          <w:lang w:val="en-US" w:eastAsia="zh-CN"/>
        </w:rPr>
        <w:t>向招标人或招标代理机构提出，一份质疑函只能针对一个项目提出质疑，且针对同一采购程序环节的质疑应当一次性提出。</w:t>
      </w:r>
    </w:p>
    <w:p>
      <w:pPr>
        <w:spacing w:line="440" w:lineRule="exact"/>
        <w:ind w:firstLine="315" w:firstLineChars="150"/>
        <w:jc w:val="left"/>
        <w:rPr>
          <w:rFonts w:hint="eastAsia" w:ascii="宋体" w:hAnsi="宋体" w:cs="宋体"/>
          <w:color w:val="auto"/>
          <w:kern w:val="10"/>
          <w:szCs w:val="21"/>
          <w:highlight w:val="none"/>
        </w:rPr>
      </w:pPr>
      <w:r>
        <w:rPr>
          <w:rFonts w:hint="eastAsia" w:ascii="宋体" w:hAnsi="宋体" w:cs="宋体"/>
          <w:color w:val="auto"/>
          <w:kern w:val="10"/>
          <w:szCs w:val="21"/>
          <w:highlight w:val="none"/>
        </w:rPr>
        <w:t>39.</w:t>
      </w:r>
      <w:r>
        <w:rPr>
          <w:rFonts w:hint="eastAsia" w:ascii="宋体" w:hAnsi="宋体" w:cs="宋体"/>
          <w:color w:val="auto"/>
          <w:kern w:val="10"/>
          <w:szCs w:val="21"/>
          <w:highlight w:val="none"/>
          <w:lang w:val="en-US" w:eastAsia="zh-CN"/>
        </w:rPr>
        <w:t>3</w:t>
      </w:r>
      <w:r>
        <w:rPr>
          <w:rFonts w:hint="eastAsia" w:ascii="宋体" w:hAnsi="宋体" w:cs="宋体"/>
          <w:color w:val="auto"/>
          <w:kern w:val="10"/>
          <w:szCs w:val="21"/>
          <w:highlight w:val="none"/>
        </w:rPr>
        <w:t>参与投标的投标人对中标</w:t>
      </w:r>
      <w:r>
        <w:rPr>
          <w:rFonts w:hint="eastAsia" w:ascii="宋体" w:hAnsi="宋体" w:cs="宋体"/>
          <w:color w:val="auto"/>
          <w:kern w:val="10"/>
          <w:szCs w:val="21"/>
          <w:highlight w:val="none"/>
          <w:lang w:val="en-US" w:eastAsia="zh-CN"/>
        </w:rPr>
        <w:t>结果</w:t>
      </w:r>
      <w:r>
        <w:rPr>
          <w:rFonts w:hint="eastAsia" w:ascii="宋体" w:hAnsi="宋体" w:cs="宋体"/>
          <w:color w:val="auto"/>
          <w:kern w:val="10"/>
          <w:szCs w:val="21"/>
          <w:highlight w:val="none"/>
        </w:rPr>
        <w:t>提出的质疑，负有举证的责任。投标人提出质疑应当提交质疑函和必要的证明材料。质疑函应当包括下列内容：</w:t>
      </w:r>
    </w:p>
    <w:p>
      <w:pPr>
        <w:spacing w:line="440" w:lineRule="exact"/>
        <w:ind w:firstLine="315" w:firstLineChars="150"/>
        <w:jc w:val="left"/>
        <w:rPr>
          <w:rFonts w:hint="eastAsia" w:ascii="宋体" w:hAnsi="宋体" w:cs="宋体"/>
          <w:color w:val="auto"/>
          <w:kern w:val="10"/>
          <w:szCs w:val="21"/>
          <w:highlight w:val="none"/>
        </w:rPr>
      </w:pPr>
      <w:r>
        <w:rPr>
          <w:rFonts w:hint="eastAsia" w:ascii="宋体" w:hAnsi="宋体" w:cs="宋体"/>
          <w:color w:val="auto"/>
          <w:kern w:val="10"/>
          <w:szCs w:val="21"/>
          <w:highlight w:val="none"/>
        </w:rPr>
        <w:t>　　（一）投标人的姓名或者名称、地址、邮编、联系人及联系电话；</w:t>
      </w:r>
    </w:p>
    <w:p>
      <w:pPr>
        <w:spacing w:line="440" w:lineRule="exact"/>
        <w:ind w:firstLine="315" w:firstLineChars="150"/>
        <w:jc w:val="left"/>
        <w:rPr>
          <w:rFonts w:hint="eastAsia" w:ascii="宋体" w:hAnsi="宋体" w:cs="宋体"/>
          <w:color w:val="auto"/>
          <w:kern w:val="10"/>
          <w:szCs w:val="21"/>
          <w:highlight w:val="none"/>
        </w:rPr>
      </w:pPr>
      <w:r>
        <w:rPr>
          <w:rFonts w:hint="eastAsia" w:ascii="宋体" w:hAnsi="宋体" w:cs="宋体"/>
          <w:color w:val="auto"/>
          <w:kern w:val="10"/>
          <w:szCs w:val="21"/>
          <w:highlight w:val="none"/>
        </w:rPr>
        <w:t>　　（二）质疑项目的名称、编号；</w:t>
      </w:r>
    </w:p>
    <w:p>
      <w:pPr>
        <w:spacing w:line="440" w:lineRule="exact"/>
        <w:ind w:firstLine="315" w:firstLineChars="150"/>
        <w:jc w:val="left"/>
        <w:rPr>
          <w:rFonts w:hint="eastAsia" w:ascii="宋体" w:hAnsi="宋体" w:cs="宋体"/>
          <w:color w:val="auto"/>
          <w:kern w:val="10"/>
          <w:szCs w:val="21"/>
          <w:highlight w:val="none"/>
        </w:rPr>
      </w:pPr>
      <w:r>
        <w:rPr>
          <w:rFonts w:hint="eastAsia" w:ascii="宋体" w:hAnsi="宋体" w:cs="宋体"/>
          <w:color w:val="auto"/>
          <w:kern w:val="10"/>
          <w:szCs w:val="21"/>
          <w:highlight w:val="none"/>
        </w:rPr>
        <w:t>　　（三）具体、明确的质疑事项和与质疑事项相关的请求；</w:t>
      </w:r>
    </w:p>
    <w:p>
      <w:pPr>
        <w:spacing w:line="440" w:lineRule="exact"/>
        <w:ind w:firstLine="315" w:firstLineChars="150"/>
        <w:jc w:val="left"/>
        <w:rPr>
          <w:rFonts w:hint="eastAsia" w:ascii="宋体" w:hAnsi="宋体" w:cs="宋体"/>
          <w:color w:val="auto"/>
          <w:kern w:val="10"/>
          <w:szCs w:val="21"/>
          <w:highlight w:val="none"/>
        </w:rPr>
      </w:pPr>
      <w:r>
        <w:rPr>
          <w:rFonts w:hint="eastAsia" w:ascii="宋体" w:hAnsi="宋体" w:cs="宋体"/>
          <w:color w:val="auto"/>
          <w:kern w:val="10"/>
          <w:szCs w:val="21"/>
          <w:highlight w:val="none"/>
        </w:rPr>
        <w:t>　　（四）事实依据；</w:t>
      </w:r>
    </w:p>
    <w:p>
      <w:pPr>
        <w:spacing w:line="440" w:lineRule="exact"/>
        <w:ind w:firstLine="315" w:firstLineChars="150"/>
        <w:jc w:val="left"/>
        <w:rPr>
          <w:rFonts w:hint="eastAsia" w:ascii="宋体" w:hAnsi="宋体" w:cs="宋体"/>
          <w:color w:val="auto"/>
          <w:kern w:val="10"/>
          <w:szCs w:val="21"/>
          <w:highlight w:val="none"/>
        </w:rPr>
      </w:pPr>
      <w:r>
        <w:rPr>
          <w:rFonts w:hint="eastAsia" w:ascii="宋体" w:hAnsi="宋体" w:cs="宋体"/>
          <w:color w:val="auto"/>
          <w:kern w:val="10"/>
          <w:szCs w:val="21"/>
          <w:highlight w:val="none"/>
        </w:rPr>
        <w:t>　　（五）必要的法律依据；</w:t>
      </w:r>
    </w:p>
    <w:p>
      <w:pPr>
        <w:spacing w:line="440" w:lineRule="exact"/>
        <w:ind w:firstLine="315" w:firstLineChars="150"/>
        <w:jc w:val="left"/>
        <w:rPr>
          <w:rFonts w:hint="eastAsia" w:ascii="宋体" w:hAnsi="宋体" w:cs="宋体"/>
          <w:color w:val="auto"/>
          <w:kern w:val="10"/>
          <w:szCs w:val="21"/>
          <w:highlight w:val="none"/>
        </w:rPr>
      </w:pPr>
      <w:r>
        <w:rPr>
          <w:rFonts w:hint="eastAsia" w:ascii="宋体" w:hAnsi="宋体" w:cs="宋体"/>
          <w:color w:val="auto"/>
          <w:kern w:val="10"/>
          <w:szCs w:val="21"/>
          <w:highlight w:val="none"/>
        </w:rPr>
        <w:t>　　（六）提出质疑的日期。</w:t>
      </w:r>
    </w:p>
    <w:p>
      <w:pPr>
        <w:spacing w:line="440" w:lineRule="exact"/>
        <w:ind w:firstLine="315" w:firstLineChars="150"/>
        <w:jc w:val="left"/>
        <w:rPr>
          <w:rFonts w:hint="eastAsia" w:ascii="宋体" w:hAnsi="宋体" w:cs="宋体"/>
          <w:color w:val="auto"/>
          <w:kern w:val="10"/>
          <w:szCs w:val="21"/>
          <w:highlight w:val="none"/>
        </w:rPr>
      </w:pPr>
      <w:r>
        <w:rPr>
          <w:rFonts w:hint="eastAsia" w:ascii="宋体" w:hAnsi="宋体" w:cs="宋体"/>
          <w:color w:val="auto"/>
          <w:kern w:val="10"/>
          <w:szCs w:val="21"/>
          <w:highlight w:val="none"/>
        </w:rPr>
        <w:t>　投标人为自然人的，应当由本人签字；投标人为法人或者其他组织的，应当由法定代表人、主要负责人，或者其授权代表签字或者盖章，并加盖公章。</w:t>
      </w:r>
    </w:p>
    <w:p>
      <w:pPr>
        <w:spacing w:line="440" w:lineRule="exact"/>
        <w:ind w:firstLine="315" w:firstLineChars="150"/>
        <w:jc w:val="left"/>
        <w:rPr>
          <w:rFonts w:hint="eastAsia" w:ascii="宋体" w:hAnsi="宋体" w:cs="宋体"/>
          <w:color w:val="auto"/>
          <w:kern w:val="10"/>
          <w:szCs w:val="21"/>
          <w:highlight w:val="none"/>
        </w:rPr>
      </w:pPr>
      <w:r>
        <w:rPr>
          <w:rFonts w:hint="eastAsia" w:ascii="宋体" w:hAnsi="宋体" w:cs="宋体"/>
          <w:color w:val="auto"/>
          <w:kern w:val="10"/>
          <w:szCs w:val="21"/>
          <w:highlight w:val="none"/>
        </w:rPr>
        <w:t>39.5</w:t>
      </w:r>
      <w:r>
        <w:rPr>
          <w:rFonts w:hint="eastAsia" w:ascii="宋体" w:hAnsi="宋体" w:cs="宋体"/>
          <w:color w:val="auto"/>
          <w:kern w:val="10"/>
          <w:szCs w:val="21"/>
          <w:highlight w:val="none"/>
          <w:lang w:val="en-US" w:eastAsia="zh-CN"/>
        </w:rPr>
        <w:t>招标人</w:t>
      </w:r>
      <w:r>
        <w:rPr>
          <w:rFonts w:hint="eastAsia" w:ascii="宋体" w:hAnsi="宋体" w:cs="宋体"/>
          <w:color w:val="auto"/>
          <w:kern w:val="10"/>
          <w:szCs w:val="21"/>
          <w:highlight w:val="none"/>
        </w:rPr>
        <w:t>或采购代理机构在收到投标人的质疑函后，将审查质疑函的格式、内容以及所附的证明文件是否符合要求。如不符合，说明原因退回投标人；如符合要求，则接受该质疑函。</w:t>
      </w:r>
    </w:p>
    <w:p>
      <w:pPr>
        <w:spacing w:line="440" w:lineRule="exact"/>
        <w:ind w:firstLine="315" w:firstLineChars="150"/>
        <w:jc w:val="left"/>
        <w:rPr>
          <w:rFonts w:hint="eastAsia" w:ascii="宋体" w:hAnsi="宋体" w:cs="宋体"/>
          <w:color w:val="auto"/>
          <w:kern w:val="10"/>
          <w:szCs w:val="21"/>
          <w:highlight w:val="none"/>
        </w:rPr>
      </w:pPr>
      <w:r>
        <w:rPr>
          <w:rFonts w:hint="eastAsia" w:ascii="宋体" w:hAnsi="宋体" w:cs="宋体"/>
          <w:color w:val="auto"/>
          <w:kern w:val="10"/>
          <w:szCs w:val="21"/>
          <w:highlight w:val="none"/>
        </w:rPr>
        <w:t>39.6处理质疑的时间，从实际接受投标人质疑函的时间开始计算。</w:t>
      </w:r>
    </w:p>
    <w:p>
      <w:pPr>
        <w:spacing w:line="440" w:lineRule="exact"/>
        <w:ind w:firstLine="314" w:firstLineChars="149"/>
        <w:jc w:val="left"/>
        <w:rPr>
          <w:rFonts w:hint="eastAsia" w:ascii="宋体" w:hAnsi="宋体" w:cs="宋体"/>
          <w:b/>
          <w:color w:val="auto"/>
          <w:szCs w:val="21"/>
          <w:highlight w:val="none"/>
        </w:rPr>
      </w:pPr>
      <w:r>
        <w:rPr>
          <w:rFonts w:hint="eastAsia" w:ascii="宋体" w:hAnsi="宋体" w:cs="宋体"/>
          <w:b/>
          <w:color w:val="auto"/>
          <w:szCs w:val="21"/>
          <w:highlight w:val="none"/>
        </w:rPr>
        <w:t>40. 投诉</w:t>
      </w:r>
    </w:p>
    <w:p>
      <w:pPr>
        <w:spacing w:line="440" w:lineRule="exact"/>
        <w:ind w:firstLine="315" w:firstLineChars="150"/>
        <w:jc w:val="left"/>
        <w:rPr>
          <w:rFonts w:hint="eastAsia" w:ascii="宋体" w:hAnsi="宋体" w:cs="宋体"/>
          <w:color w:val="auto"/>
          <w:sz w:val="30"/>
          <w:szCs w:val="30"/>
          <w:highlight w:val="none"/>
        </w:rPr>
      </w:pPr>
      <w:r>
        <w:rPr>
          <w:rFonts w:hint="eastAsia" w:ascii="宋体" w:hAnsi="宋体" w:cs="宋体"/>
          <w:color w:val="auto"/>
          <w:szCs w:val="21"/>
          <w:highlight w:val="none"/>
        </w:rPr>
        <w:t>42.1</w:t>
      </w:r>
      <w:r>
        <w:rPr>
          <w:rFonts w:hint="eastAsia" w:ascii="宋体" w:hAnsi="宋体" w:cs="宋体"/>
          <w:color w:val="auto"/>
          <w:kern w:val="10"/>
          <w:szCs w:val="21"/>
          <w:highlight w:val="none"/>
        </w:rPr>
        <w:t>投标人对</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的答复不满意，或者</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未在规定的时间内答复的，可以在答复期满后十五个工作日内按有关规定，以书面形式向同级政府采购监督管理部门提出投诉。</w:t>
      </w:r>
    </w:p>
    <w:p>
      <w:pPr>
        <w:spacing w:before="156" w:beforeLines="50" w:after="156" w:afterLines="50"/>
        <w:jc w:val="center"/>
        <w:outlineLvl w:val="0"/>
        <w:rPr>
          <w:rFonts w:hint="eastAsia" w:ascii="宋体"/>
          <w:b/>
          <w:color w:val="auto"/>
          <w:sz w:val="32"/>
          <w:szCs w:val="32"/>
          <w:highlight w:val="none"/>
        </w:rPr>
      </w:pPr>
      <w:bookmarkStart w:id="49"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评标办法（综合评分法）</w:t>
      </w:r>
      <w:bookmarkEnd w:id="49"/>
    </w:p>
    <w:p>
      <w:pPr>
        <w:spacing w:before="156" w:beforeLines="50" w:after="156" w:afterLines="50" w:line="440" w:lineRule="exact"/>
        <w:jc w:val="center"/>
        <w:outlineLvl w:val="1"/>
        <w:rPr>
          <w:rFonts w:hint="eastAsia" w:ascii="宋体"/>
          <w:b/>
          <w:color w:val="auto"/>
          <w:sz w:val="28"/>
          <w:szCs w:val="28"/>
          <w:highlight w:val="none"/>
        </w:rPr>
      </w:pPr>
      <w:bookmarkStart w:id="50" w:name="_Toc449028877"/>
      <w:bookmarkStart w:id="51" w:name="_Toc362983801"/>
      <w:bookmarkStart w:id="52" w:name="_Toc58430317"/>
      <w:bookmarkStart w:id="53" w:name="_Toc267320058"/>
      <w:bookmarkStart w:id="54" w:name="_Toc363135205"/>
      <w:r>
        <w:rPr>
          <w:rFonts w:hint="eastAsia" w:ascii="宋体"/>
          <w:b/>
          <w:color w:val="auto"/>
          <w:sz w:val="28"/>
          <w:szCs w:val="28"/>
          <w:highlight w:val="none"/>
        </w:rPr>
        <w:t>一、总则</w:t>
      </w:r>
      <w:bookmarkEnd w:id="50"/>
      <w:bookmarkEnd w:id="51"/>
      <w:bookmarkEnd w:id="52"/>
    </w:p>
    <w:p>
      <w:pPr>
        <w:spacing w:line="440" w:lineRule="exact"/>
        <w:ind w:firstLine="316" w:firstLineChars="150"/>
        <w:jc w:val="left"/>
        <w:rPr>
          <w:rFonts w:hint="eastAsia" w:ascii="宋体"/>
          <w:b/>
          <w:color w:val="auto"/>
          <w:szCs w:val="21"/>
          <w:highlight w:val="none"/>
        </w:rPr>
      </w:pPr>
      <w:r>
        <w:rPr>
          <w:rFonts w:hint="eastAsia" w:ascii="宋体"/>
          <w:b/>
          <w:color w:val="auto"/>
          <w:szCs w:val="21"/>
          <w:highlight w:val="none"/>
        </w:rPr>
        <w:t xml:space="preserve"> 1. 本次评标采用综合评分法</w:t>
      </w:r>
    </w:p>
    <w:p>
      <w:pPr>
        <w:spacing w:line="440" w:lineRule="exact"/>
        <w:ind w:firstLine="420" w:firstLineChars="200"/>
        <w:jc w:val="left"/>
        <w:rPr>
          <w:rFonts w:hint="eastAsia" w:ascii="宋体" w:hAnsi="宋体"/>
          <w:color w:val="auto"/>
          <w:szCs w:val="21"/>
          <w:highlight w:val="none"/>
        </w:rPr>
      </w:pPr>
      <w:r>
        <w:rPr>
          <w:rFonts w:hint="eastAsia" w:ascii="宋体"/>
          <w:color w:val="auto"/>
          <w:szCs w:val="21"/>
          <w:highlight w:val="none"/>
        </w:rPr>
        <w:t>1.1综合评分法是指投标文件满足招标文件全部实质性要求且按照评审因素的量化指标评审总得分从高到低的供应商为中标候选人的评标方法。</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 1.2综合评分法一般适用于较为复杂、评价指标难以量化且价格为非主要因素的非标准定制商品和非通用服务项目的项目评审。</w:t>
      </w:r>
    </w:p>
    <w:p>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比较与评价</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.1按招标文件中规定的评标方法和标准，对资格性检查和符合性检查合格的投标文件进行资信、商务和技术评估，综合比较与评价。</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推荐中标候选人名单</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.1中标候选人数量应当根据采购需要确定，但必须按顺序排列中标候选人。</w:t>
      </w:r>
    </w:p>
    <w:p>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pPr>
        <w:spacing w:before="156" w:beforeLines="50" w:after="156" w:afterLines="50" w:line="360" w:lineRule="auto"/>
        <w:outlineLvl w:val="1"/>
        <w:rPr>
          <w:rFonts w:ascii="宋体"/>
          <w:b/>
          <w:color w:val="auto"/>
          <w:sz w:val="28"/>
          <w:szCs w:val="28"/>
          <w:highlight w:val="none"/>
        </w:rPr>
        <w:sectPr>
          <w:footerReference r:id="rId8" w:type="default"/>
          <w:pgSz w:w="11906" w:h="16838"/>
          <w:pgMar w:top="1440" w:right="1800" w:bottom="1440" w:left="1800" w:header="851" w:footer="992" w:gutter="0"/>
          <w:pgNumType w:fmt="numberInDash" w:start="1"/>
          <w:cols w:space="720" w:num="1"/>
          <w:docGrid w:type="lines" w:linePitch="312" w:charSpace="0"/>
        </w:sectPr>
      </w:pPr>
      <w:bookmarkStart w:id="55" w:name="_Toc362983802"/>
    </w:p>
    <w:p>
      <w:pPr>
        <w:jc w:val="center"/>
        <w:outlineLvl w:val="1"/>
        <w:rPr>
          <w:rFonts w:hint="eastAsia" w:ascii="宋体"/>
          <w:b/>
          <w:color w:val="auto"/>
          <w:sz w:val="28"/>
          <w:szCs w:val="28"/>
          <w:highlight w:val="none"/>
        </w:rPr>
      </w:pPr>
      <w:bookmarkStart w:id="56" w:name="_Toc58430318"/>
      <w:bookmarkStart w:id="57" w:name="_Toc449028878"/>
      <w:r>
        <w:rPr>
          <w:rFonts w:hint="eastAsia" w:ascii="宋体"/>
          <w:b/>
          <w:color w:val="auto"/>
          <w:sz w:val="28"/>
          <w:szCs w:val="28"/>
          <w:highlight w:val="none"/>
        </w:rPr>
        <w:t>二、投标文件初审</w:t>
      </w:r>
      <w:bookmarkEnd w:id="55"/>
      <w:bookmarkEnd w:id="56"/>
      <w:bookmarkEnd w:id="57"/>
    </w:p>
    <w:p>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4"/>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pPr>
              <w:spacing w:line="440" w:lineRule="exact"/>
              <w:jc w:val="center"/>
              <w:rPr>
                <w:rFonts w:hint="eastAsia" w:ascii="宋体" w:hAnsi="宋体" w:cs="宋体"/>
                <w:color w:val="auto"/>
                <w:szCs w:val="21"/>
                <w:highlight w:val="none"/>
              </w:rPr>
            </w:pPr>
          </w:p>
        </w:tc>
        <w:tc>
          <w:tcPr>
            <w:tcW w:w="1275" w:type="dxa"/>
            <w:vMerge w:val="continue"/>
            <w:noWrap w:val="0"/>
            <w:vAlign w:val="center"/>
          </w:tcPr>
          <w:p>
            <w:pPr>
              <w:spacing w:line="440" w:lineRule="exact"/>
              <w:rPr>
                <w:rFonts w:hint="eastAsia" w:ascii="宋体" w:hAnsi="宋体" w:cs="宋体"/>
                <w:color w:val="auto"/>
                <w:szCs w:val="21"/>
                <w:highlight w:val="none"/>
              </w:rPr>
            </w:pPr>
          </w:p>
        </w:tc>
        <w:tc>
          <w:tcPr>
            <w:tcW w:w="3368" w:type="dxa"/>
            <w:noWrap w:val="0"/>
            <w:vAlign w:val="center"/>
          </w:tcPr>
          <w:p>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3）具有财政部门颁发的会计师事务所执业证书</w:t>
            </w:r>
          </w:p>
        </w:tc>
        <w:tc>
          <w:tcPr>
            <w:tcW w:w="4492" w:type="dxa"/>
            <w:noWrap w:val="0"/>
            <w:vAlign w:val="center"/>
          </w:tcPr>
          <w:p>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pPr>
              <w:spacing w:line="440" w:lineRule="exact"/>
              <w:rPr>
                <w:rFonts w:hint="default" w:ascii="宋体" w:eastAsia="宋体"/>
                <w:color w:val="auto"/>
                <w:szCs w:val="21"/>
                <w:highlight w:val="none"/>
                <w:lang w:val="en-US" w:eastAsia="zh-CN"/>
              </w:rPr>
            </w:pPr>
            <w:r>
              <w:rPr>
                <w:rFonts w:hint="eastAsia" w:ascii="宋体"/>
                <w:color w:val="auto"/>
                <w:szCs w:val="21"/>
                <w:highlight w:val="none"/>
                <w:lang w:val="en-US" w:eastAsia="zh-CN"/>
              </w:rPr>
              <w:t>有效的资质证书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pPr>
              <w:spacing w:line="440" w:lineRule="exact"/>
              <w:jc w:val="center"/>
              <w:rPr>
                <w:rFonts w:hint="eastAsia" w:ascii="宋体" w:hAnsi="宋体" w:cs="宋体"/>
                <w:color w:val="auto"/>
                <w:szCs w:val="21"/>
                <w:highlight w:val="none"/>
              </w:rPr>
            </w:pPr>
          </w:p>
        </w:tc>
        <w:tc>
          <w:tcPr>
            <w:tcW w:w="1275" w:type="dxa"/>
            <w:vMerge w:val="continue"/>
            <w:noWrap w:val="0"/>
            <w:vAlign w:val="center"/>
          </w:tcPr>
          <w:p>
            <w:pPr>
              <w:spacing w:line="440" w:lineRule="exact"/>
              <w:rPr>
                <w:rFonts w:hint="eastAsia" w:ascii="宋体" w:hAnsi="宋体" w:cs="宋体"/>
                <w:color w:val="auto"/>
                <w:szCs w:val="21"/>
                <w:highlight w:val="none"/>
              </w:rPr>
            </w:pPr>
          </w:p>
        </w:tc>
        <w:tc>
          <w:tcPr>
            <w:tcW w:w="3368" w:type="dxa"/>
            <w:noWrap w:val="0"/>
            <w:vAlign w:val="center"/>
          </w:tcPr>
          <w:p>
            <w:pPr>
              <w:spacing w:line="44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项目负责人须具有全国注册会计师资格证书（取得该证书年限达10年及以上，时间以全国注册会计师证书时间为准且注册在本次投标单位）；除项目负责人外，投标人应至少安排1名注册会计师参与本项目（取得注册会计师证书年限达5年及以上，时间以全国注册会计师证书时间为准且注册在本次投标单位）。</w:t>
            </w:r>
          </w:p>
        </w:tc>
        <w:tc>
          <w:tcPr>
            <w:tcW w:w="4492" w:type="dxa"/>
            <w:noWrap w:val="0"/>
            <w:vAlign w:val="center"/>
          </w:tcPr>
          <w:p>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pPr>
              <w:spacing w:line="440" w:lineRule="exact"/>
              <w:rPr>
                <w:rFonts w:hint="default" w:ascii="宋体"/>
                <w:color w:val="auto"/>
                <w:szCs w:val="21"/>
                <w:highlight w:val="none"/>
                <w:lang w:val="en-US" w:eastAsia="zh-CN"/>
              </w:rPr>
            </w:pPr>
            <w:r>
              <w:rPr>
                <w:rFonts w:hint="eastAsia" w:ascii="宋体"/>
                <w:color w:val="auto"/>
                <w:szCs w:val="21"/>
                <w:highlight w:val="none"/>
                <w:lang w:val="en-US" w:eastAsia="zh-CN"/>
              </w:rPr>
              <w:t>人员有效身份证及注册证书。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pPr>
              <w:spacing w:line="440" w:lineRule="exact"/>
              <w:jc w:val="center"/>
              <w:rPr>
                <w:rFonts w:hint="eastAsia" w:ascii="宋体" w:hAnsi="宋体" w:cs="宋体"/>
                <w:color w:val="auto"/>
                <w:szCs w:val="21"/>
                <w:highlight w:val="none"/>
              </w:rPr>
            </w:pPr>
          </w:p>
        </w:tc>
        <w:tc>
          <w:tcPr>
            <w:tcW w:w="1275" w:type="dxa"/>
            <w:vMerge w:val="continue"/>
            <w:noWrap w:val="0"/>
            <w:vAlign w:val="center"/>
          </w:tcPr>
          <w:p>
            <w:pPr>
              <w:spacing w:line="440" w:lineRule="exact"/>
              <w:rPr>
                <w:rFonts w:hint="eastAsia" w:ascii="宋体" w:hAnsi="宋体" w:cs="宋体"/>
                <w:color w:val="auto"/>
                <w:szCs w:val="21"/>
                <w:highlight w:val="none"/>
              </w:rPr>
            </w:pPr>
          </w:p>
        </w:tc>
        <w:tc>
          <w:tcPr>
            <w:tcW w:w="3368" w:type="dxa"/>
            <w:noWrap w:val="0"/>
            <w:vAlign w:val="top"/>
          </w:tcPr>
          <w:p>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）诚信投标承诺书</w:t>
            </w:r>
          </w:p>
        </w:tc>
        <w:tc>
          <w:tcPr>
            <w:tcW w:w="4492" w:type="dxa"/>
            <w:noWrap w:val="0"/>
            <w:vAlign w:val="top"/>
          </w:tcPr>
          <w:p>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网上递交的电子投标文件：一份。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pPr>
        <w:jc w:val="center"/>
        <w:outlineLvl w:val="1"/>
        <w:rPr>
          <w:rFonts w:hint="eastAsia" w:ascii="宋体" w:hAnsi="Times New Roman" w:eastAsia="宋体" w:cs="Times New Roman"/>
          <w:b/>
          <w:color w:val="auto"/>
          <w:sz w:val="28"/>
          <w:szCs w:val="28"/>
          <w:highlight w:val="none"/>
        </w:rPr>
      </w:pPr>
      <w:bookmarkStart w:id="58" w:name="_Toc362983803"/>
      <w:bookmarkStart w:id="59" w:name="_Toc58430319"/>
      <w:bookmarkStart w:id="60" w:name="_Toc449028879"/>
      <w:r>
        <w:rPr>
          <w:rFonts w:hint="eastAsia" w:ascii="宋体" w:hAnsi="Times New Roman" w:eastAsia="宋体" w:cs="Times New Roman"/>
          <w:b/>
          <w:color w:val="auto"/>
          <w:sz w:val="28"/>
          <w:szCs w:val="28"/>
          <w:highlight w:val="none"/>
        </w:rPr>
        <w:t>三、投标文件的澄清和补正</w:t>
      </w:r>
      <w:bookmarkEnd w:id="58"/>
      <w:bookmarkEnd w:id="59"/>
      <w:bookmarkEnd w:id="60"/>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pPr>
        <w:spacing w:line="440" w:lineRule="exact"/>
        <w:ind w:firstLine="403" w:firstLineChars="192"/>
        <w:jc w:val="left"/>
        <w:rPr>
          <w:rFonts w:hint="eastAsia" w:ascii="宋体"/>
          <w:b/>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5.4评委会将按上述修正错误的方法调整投标文件中的投标报价，调整后的价格应对投标人具有约束力。无论投标人是接受或是拒绝调整后的价格，都应当由投标人在系统中确认。</w:t>
      </w:r>
      <w:r>
        <w:rPr>
          <w:rFonts w:hint="eastAsia" w:ascii="宋体"/>
          <w:b/>
          <w:bCs/>
          <w:color w:val="auto"/>
          <w:szCs w:val="21"/>
          <w:highlight w:val="none"/>
        </w:rPr>
        <w:t>投标人拒绝对投标文件出现的错漏按上述原则进行修正、澄清、说明，评标委员会应当否决其投标。</w:t>
      </w:r>
      <w:bookmarkStart w:id="61" w:name="_Toc449028880"/>
      <w:bookmarkStart w:id="62" w:name="_Toc58430320"/>
    </w:p>
    <w:p>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61"/>
      <w:bookmarkEnd w:id="62"/>
    </w:p>
    <w:p>
      <w:pPr>
        <w:keepNext w:val="0"/>
        <w:keepLines w:val="0"/>
        <w:pageBreakBefore w:val="0"/>
        <w:widowControl w:val="0"/>
        <w:kinsoku/>
        <w:overflowPunct/>
        <w:topLinePunct w:val="0"/>
        <w:autoSpaceDE/>
        <w:autoSpaceDN/>
        <w:bidi w:val="0"/>
        <w:spacing w:line="440" w:lineRule="exact"/>
        <w:ind w:firstLine="417" w:firstLineChars="198"/>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6.</w:t>
      </w:r>
      <w:bookmarkStart w:id="63" w:name="_Toc362983805"/>
      <w:r>
        <w:rPr>
          <w:rFonts w:hint="eastAsia" w:ascii="宋体" w:hAnsi="宋体" w:eastAsia="宋体" w:cs="宋体"/>
          <w:b/>
          <w:color w:val="auto"/>
          <w:sz w:val="21"/>
          <w:szCs w:val="21"/>
          <w:highlight w:val="none"/>
        </w:rPr>
        <w:t xml:space="preserve"> 详细评审即按招标文件中规定的评标方法和标准，评标委员会将对通过初审的投标文件，进行资信、技术和商务部分评估、综合比较与评价。</w:t>
      </w:r>
    </w:p>
    <w:p>
      <w:pPr>
        <w:keepNext w:val="0"/>
        <w:keepLines w:val="0"/>
        <w:pageBreakBefore w:val="0"/>
        <w:widowControl w:val="0"/>
        <w:kinsoku/>
        <w:overflowPunct/>
        <w:topLinePunct w:val="0"/>
        <w:autoSpaceDE/>
        <w:autoSpaceDN/>
        <w:bidi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6.1资信标评审细则（</w:t>
      </w: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分）</w:t>
      </w:r>
    </w:p>
    <w:tbl>
      <w:tblPr>
        <w:tblStyle w:val="34"/>
        <w:tblW w:w="9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230"/>
        <w:gridCol w:w="699"/>
        <w:gridCol w:w="7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30" w:type="dxa"/>
            <w:noWrap w:val="0"/>
            <w:vAlign w:val="center"/>
          </w:tcPr>
          <w:p>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99" w:type="dxa"/>
            <w:noWrap w:val="0"/>
            <w:vAlign w:val="center"/>
          </w:tcPr>
          <w:p>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409"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645"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230"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企业业绩</w:t>
            </w:r>
          </w:p>
        </w:tc>
        <w:tc>
          <w:tcPr>
            <w:tcW w:w="699"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5分</w:t>
            </w:r>
          </w:p>
        </w:tc>
        <w:tc>
          <w:tcPr>
            <w:tcW w:w="7409" w:type="dxa"/>
            <w:noWrap w:val="0"/>
            <w:vAlign w:val="center"/>
          </w:tcPr>
          <w:p>
            <w:pPr>
              <w:keepNext w:val="0"/>
              <w:keepLines w:val="0"/>
              <w:pageBreakBefore w:val="0"/>
              <w:widowControl w:val="0"/>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投标人近三年</w:t>
            </w:r>
            <w:r>
              <w:rPr>
                <w:rFonts w:hint="eastAsia" w:ascii="宋体" w:hAnsi="宋体" w:cs="宋体"/>
                <w:color w:val="auto"/>
                <w:sz w:val="21"/>
                <w:szCs w:val="21"/>
                <w:highlight w:val="none"/>
                <w:lang w:val="en-US" w:eastAsia="zh-CN"/>
              </w:rPr>
              <w:t>具有</w:t>
            </w:r>
            <w:r>
              <w:rPr>
                <w:rFonts w:hint="eastAsia" w:ascii="宋体" w:hAnsi="宋体" w:eastAsia="宋体" w:cs="宋体"/>
                <w:color w:val="auto"/>
                <w:sz w:val="21"/>
                <w:szCs w:val="21"/>
                <w:highlight w:val="none"/>
                <w:lang w:val="en-US" w:eastAsia="zh-CN"/>
              </w:rPr>
              <w:t>5家</w:t>
            </w:r>
            <w:r>
              <w:rPr>
                <w:rFonts w:hint="eastAsia" w:ascii="宋体" w:hAnsi="宋体" w:cs="宋体"/>
                <w:color w:val="auto"/>
                <w:sz w:val="21"/>
                <w:szCs w:val="21"/>
                <w:highlight w:val="none"/>
                <w:lang w:val="en-US" w:eastAsia="zh-CN"/>
              </w:rPr>
              <w:t>不同</w:t>
            </w:r>
            <w:r>
              <w:rPr>
                <w:rFonts w:hint="eastAsia" w:ascii="宋体" w:hAnsi="宋体" w:eastAsia="宋体" w:cs="宋体"/>
                <w:color w:val="auto"/>
                <w:sz w:val="21"/>
                <w:szCs w:val="21"/>
                <w:highlight w:val="none"/>
                <w:lang w:val="en-US" w:eastAsia="zh-CN"/>
              </w:rPr>
              <w:t>国有企业合并财务报表年报审计项目业绩得3分；每多提供</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家国有企业合并财务报表年报审计项目业绩</w:t>
            </w:r>
            <w:r>
              <w:rPr>
                <w:rFonts w:hint="eastAsia" w:ascii="宋体" w:hAnsi="宋体" w:cs="宋体"/>
                <w:color w:val="auto"/>
                <w:sz w:val="21"/>
                <w:szCs w:val="21"/>
                <w:highlight w:val="none"/>
                <w:lang w:val="en-US" w:eastAsia="zh-CN"/>
              </w:rPr>
              <w:t>加</w:t>
            </w:r>
            <w:r>
              <w:rPr>
                <w:rFonts w:hint="eastAsia" w:ascii="宋体" w:hAnsi="宋体" w:eastAsia="宋体" w:cs="宋体"/>
                <w:color w:val="auto"/>
                <w:sz w:val="21"/>
                <w:szCs w:val="21"/>
                <w:highlight w:val="none"/>
                <w:lang w:val="en-US" w:eastAsia="zh-CN"/>
              </w:rPr>
              <w:t>1分</w:t>
            </w:r>
            <w:r>
              <w:rPr>
                <w:rFonts w:hint="eastAsia" w:ascii="宋体" w:hAnsi="宋体" w:cs="宋体"/>
                <w:color w:val="auto"/>
                <w:sz w:val="21"/>
                <w:szCs w:val="21"/>
                <w:highlight w:val="none"/>
                <w:lang w:val="en-US" w:eastAsia="zh-CN"/>
              </w:rPr>
              <w:t>；本项满分</w:t>
            </w:r>
            <w:r>
              <w:rPr>
                <w:rFonts w:hint="eastAsia" w:ascii="宋体" w:hAnsi="宋体" w:eastAsia="宋体" w:cs="宋体"/>
                <w:color w:val="auto"/>
                <w:sz w:val="21"/>
                <w:szCs w:val="21"/>
                <w:highlight w:val="none"/>
                <w:lang w:val="en-US" w:eastAsia="zh-CN"/>
              </w:rPr>
              <w:t>最高5分。</w:t>
            </w:r>
          </w:p>
          <w:p>
            <w:pPr>
              <w:keepNext w:val="0"/>
              <w:keepLines w:val="0"/>
              <w:pageBreakBefore w:val="0"/>
              <w:widowControl w:val="0"/>
              <w:kinsoku/>
              <w:overflowPunct/>
              <w:topLinePunct w:val="0"/>
              <w:autoSpaceDE/>
              <w:autoSpaceDN/>
              <w:bidi w:val="0"/>
              <w:spacing w:line="440" w:lineRule="exact"/>
              <w:jc w:val="left"/>
              <w:textAlignment w:val="auto"/>
              <w:rPr>
                <w:rFonts w:hint="default"/>
                <w:color w:val="auto"/>
                <w:lang w:val="en-US" w:eastAsia="zh-CN"/>
              </w:rPr>
            </w:pPr>
            <w:r>
              <w:rPr>
                <w:rFonts w:hint="eastAsia" w:ascii="宋体" w:hAnsi="宋体" w:eastAsia="宋体" w:cs="宋体"/>
                <w:b/>
                <w:bCs/>
                <w:color w:val="auto"/>
                <w:sz w:val="21"/>
                <w:szCs w:val="21"/>
                <w:highlight w:val="none"/>
                <w:lang w:val="en-US" w:eastAsia="zh-CN"/>
              </w:rPr>
              <w:t>【业绩证明材料需在投标文件中须提供</w:t>
            </w:r>
            <w:r>
              <w:rPr>
                <w:rFonts w:hint="eastAsia" w:ascii="Times New Roman" w:hAnsi="宋体" w:eastAsia="宋体" w:cs="Times New Roman"/>
                <w:b/>
                <w:bCs/>
                <w:color w:val="auto"/>
                <w:highlight w:val="none"/>
                <w:lang w:eastAsia="zh-CN"/>
              </w:rPr>
              <w:t>相关公司年报审计合同（业务委托书）</w:t>
            </w:r>
            <w:r>
              <w:rPr>
                <w:rFonts w:hint="eastAsia" w:ascii="宋体" w:hAnsi="宋体" w:eastAsia="宋体" w:cs="宋体"/>
                <w:b/>
                <w:bCs/>
                <w:color w:val="auto"/>
                <w:sz w:val="21"/>
                <w:szCs w:val="21"/>
                <w:highlight w:val="none"/>
                <w:lang w:val="en-US" w:eastAsia="zh-CN"/>
              </w:rPr>
              <w:t>复印件并加盖单位公章</w:t>
            </w:r>
            <w:r>
              <w:rPr>
                <w:rFonts w:hint="eastAsia" w:ascii="Times New Roman" w:hAnsi="宋体" w:eastAsia="宋体" w:cs="Times New Roman"/>
                <w:b/>
                <w:bCs/>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30"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企业荣誉及人员配置</w:t>
            </w:r>
          </w:p>
        </w:tc>
        <w:tc>
          <w:tcPr>
            <w:tcW w:w="699"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10分</w:t>
            </w:r>
          </w:p>
        </w:tc>
        <w:tc>
          <w:tcPr>
            <w:tcW w:w="7409"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投标人获得过经政府相关部门或注册会计师协会等颁发的财务审计相关荣誉，每提供一个得1分，满分3分。</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【投标文件中须提供荣誉证书复印件并加盖单位公章】</w:t>
            </w:r>
          </w:p>
          <w:p>
            <w:pPr>
              <w:keepNext w:val="0"/>
              <w:keepLines w:val="0"/>
              <w:pageBreakBefore w:val="0"/>
              <w:widowControl w:val="0"/>
              <w:numPr>
                <w:ilvl w:val="0"/>
                <w:numId w:val="9"/>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投标人具有10名以上在本单位注册的注册会计师</w:t>
            </w:r>
            <w:r>
              <w:rPr>
                <w:rFonts w:hint="eastAsia" w:ascii="宋体" w:hAnsi="宋体" w:cs="宋体"/>
                <w:color w:val="auto"/>
                <w:sz w:val="21"/>
                <w:szCs w:val="21"/>
                <w:highlight w:val="none"/>
                <w:lang w:val="en-US" w:eastAsia="zh-CN"/>
              </w:rPr>
              <w:t>得</w:t>
            </w:r>
            <w:r>
              <w:rPr>
                <w:rFonts w:hint="eastAsia" w:ascii="宋体" w:hAnsi="宋体" w:eastAsia="宋体" w:cs="宋体"/>
                <w:color w:val="auto"/>
                <w:sz w:val="21"/>
                <w:szCs w:val="21"/>
                <w:highlight w:val="none"/>
                <w:lang w:val="en-US" w:eastAsia="zh-CN"/>
              </w:rPr>
              <w:t>2分</w:t>
            </w:r>
            <w:r>
              <w:rPr>
                <w:rFonts w:hint="eastAsia" w:ascii="宋体" w:hAnsi="宋体" w:cs="宋体"/>
                <w:color w:val="auto"/>
                <w:sz w:val="21"/>
                <w:szCs w:val="21"/>
                <w:highlight w:val="none"/>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440" w:lineRule="exact"/>
              <w:textAlignment w:val="auto"/>
              <w:rPr>
                <w:rFonts w:hint="eastAsia"/>
                <w:color w:val="auto"/>
                <w:highlight w:val="none"/>
                <w:lang w:val="en-US" w:eastAsia="zh-CN"/>
              </w:rPr>
            </w:pPr>
            <w:r>
              <w:rPr>
                <w:rFonts w:hint="eastAsia" w:ascii="宋体" w:hAnsi="宋体" w:eastAsia="宋体" w:cs="宋体"/>
                <w:b/>
                <w:bCs/>
                <w:color w:val="auto"/>
                <w:sz w:val="21"/>
                <w:szCs w:val="21"/>
                <w:highlight w:val="none"/>
                <w:lang w:val="en-US" w:eastAsia="zh-CN"/>
              </w:rPr>
              <w:t>【需提供证书复印件加盖公章】</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项目负责人在</w:t>
            </w:r>
            <w:r>
              <w:rPr>
                <w:rFonts w:hint="eastAsia" w:ascii="宋体" w:hAnsi="宋体" w:cs="宋体"/>
                <w:color w:val="auto"/>
                <w:sz w:val="21"/>
                <w:szCs w:val="21"/>
                <w:highlight w:val="none"/>
                <w:lang w:val="en-US" w:eastAsia="zh-CN"/>
              </w:rPr>
              <w:t>满足资质要求的情况下，同时具有</w:t>
            </w:r>
            <w:r>
              <w:rPr>
                <w:rFonts w:hint="eastAsia" w:ascii="宋体" w:hAnsi="宋体" w:eastAsia="宋体" w:cs="宋体"/>
                <w:color w:val="auto"/>
                <w:sz w:val="21"/>
                <w:szCs w:val="21"/>
                <w:highlight w:val="none"/>
                <w:lang w:val="en-US" w:eastAsia="zh-CN"/>
              </w:rPr>
              <w:t>税务师和高级会计师职称证书的</w:t>
            </w:r>
            <w:r>
              <w:rPr>
                <w:rFonts w:hint="eastAsia" w:ascii="宋体" w:hAnsi="宋体" w:cs="宋体"/>
                <w:color w:val="auto"/>
                <w:sz w:val="21"/>
                <w:szCs w:val="21"/>
                <w:highlight w:val="none"/>
                <w:lang w:val="en-US" w:eastAsia="zh-CN"/>
              </w:rPr>
              <w:t>得3</w:t>
            </w:r>
            <w:r>
              <w:rPr>
                <w:rFonts w:hint="eastAsia" w:ascii="宋体" w:hAnsi="宋体" w:eastAsia="宋体" w:cs="宋体"/>
                <w:color w:val="auto"/>
                <w:sz w:val="21"/>
                <w:szCs w:val="21"/>
                <w:highlight w:val="none"/>
                <w:lang w:val="en-US" w:eastAsia="zh-CN"/>
              </w:rPr>
              <w:t>分；</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【投标文件中须同时提供证书和</w:t>
            </w:r>
            <w:r>
              <w:rPr>
                <w:rFonts w:hint="eastAsia" w:ascii="Times New Roman" w:hAnsi="宋体" w:eastAsia="宋体" w:cs="Times New Roman"/>
                <w:b/>
                <w:bCs/>
                <w:color w:val="auto"/>
                <w:highlight w:val="none"/>
                <w:lang w:val="zh-CN" w:eastAsia="zh-CN"/>
              </w:rPr>
              <w:t>近3个月内（任意一个月即可）投标</w:t>
            </w:r>
            <w:r>
              <w:rPr>
                <w:rFonts w:hint="eastAsia" w:hAnsi="宋体" w:cs="Times New Roman"/>
                <w:b/>
                <w:bCs/>
                <w:color w:val="auto"/>
                <w:highlight w:val="none"/>
                <w:lang w:val="en-US" w:eastAsia="zh-CN"/>
              </w:rPr>
              <w:t>人</w:t>
            </w:r>
            <w:r>
              <w:rPr>
                <w:rFonts w:hint="eastAsia" w:ascii="Times New Roman" w:hAnsi="宋体" w:eastAsia="宋体" w:cs="Times New Roman"/>
                <w:b/>
                <w:bCs/>
                <w:color w:val="auto"/>
                <w:highlight w:val="none"/>
                <w:lang w:val="zh-CN" w:eastAsia="zh-CN"/>
              </w:rPr>
              <w:t>为其购买的社保缴纳证明</w:t>
            </w:r>
            <w:r>
              <w:rPr>
                <w:rFonts w:hint="eastAsia" w:ascii="宋体" w:hAnsi="宋体" w:eastAsia="宋体" w:cs="宋体"/>
                <w:b/>
                <w:bCs/>
                <w:color w:val="auto"/>
                <w:sz w:val="21"/>
                <w:szCs w:val="21"/>
                <w:highlight w:val="none"/>
                <w:lang w:val="en-US" w:eastAsia="zh-CN"/>
              </w:rPr>
              <w:t>复印件并加盖单位公章，需提供证书复印件加盖公章】</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本项目的人员配备中，除项目负责人外，项目组其他人员中同时具有高级会计师职称证书和在投标单位注册的注册会计师证书</w:t>
            </w:r>
            <w:r>
              <w:rPr>
                <w:rFonts w:hint="eastAsia" w:ascii="宋体" w:hAnsi="宋体" w:cs="宋体"/>
                <w:color w:val="auto"/>
                <w:sz w:val="21"/>
                <w:szCs w:val="21"/>
                <w:highlight w:val="none"/>
                <w:lang w:val="en-US" w:eastAsia="zh-CN"/>
              </w:rPr>
              <w:t>和</w:t>
            </w:r>
            <w:r>
              <w:rPr>
                <w:rFonts w:hint="eastAsia" w:ascii="宋体" w:hAnsi="宋体" w:eastAsia="宋体" w:cs="宋体"/>
                <w:color w:val="auto"/>
                <w:sz w:val="21"/>
                <w:szCs w:val="21"/>
                <w:highlight w:val="none"/>
                <w:lang w:val="en-US" w:eastAsia="zh-CN"/>
              </w:rPr>
              <w:t>税务师证书的</w:t>
            </w:r>
            <w:r>
              <w:rPr>
                <w:rFonts w:hint="eastAsia" w:ascii="宋体" w:hAnsi="宋体" w:cs="宋体"/>
                <w:color w:val="auto"/>
                <w:sz w:val="21"/>
                <w:szCs w:val="21"/>
                <w:highlight w:val="none"/>
                <w:lang w:val="en-US" w:eastAsia="zh-CN"/>
              </w:rPr>
              <w:t>得2</w:t>
            </w:r>
            <w:r>
              <w:rPr>
                <w:rFonts w:hint="eastAsia" w:ascii="宋体" w:hAnsi="宋体" w:eastAsia="宋体" w:cs="宋体"/>
                <w:color w:val="auto"/>
                <w:sz w:val="21"/>
                <w:szCs w:val="21"/>
                <w:highlight w:val="none"/>
                <w:lang w:val="en-US" w:eastAsia="zh-CN"/>
              </w:rPr>
              <w:t>分。</w:t>
            </w:r>
          </w:p>
          <w:p>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0" w:firstLineChars="0"/>
              <w:textAlignment w:val="auto"/>
              <w:rPr>
                <w:rFonts w:hint="default"/>
                <w:color w:val="auto"/>
                <w:highlight w:val="none"/>
                <w:lang w:val="en-US" w:eastAsia="zh-CN"/>
              </w:rPr>
            </w:pPr>
            <w:r>
              <w:rPr>
                <w:rFonts w:hint="eastAsia" w:ascii="宋体" w:hAnsi="宋体" w:eastAsia="宋体" w:cs="宋体"/>
                <w:b/>
                <w:bCs/>
                <w:color w:val="auto"/>
                <w:kern w:val="2"/>
                <w:sz w:val="21"/>
                <w:szCs w:val="21"/>
                <w:highlight w:val="none"/>
                <w:lang w:val="en-US" w:eastAsia="zh-CN" w:bidi="ar-SA"/>
              </w:rPr>
              <w:t>【投标文件中须同时提供证书和</w:t>
            </w:r>
            <w:r>
              <w:rPr>
                <w:rFonts w:hint="eastAsia" w:ascii="宋体" w:hAnsi="宋体" w:eastAsia="宋体" w:cs="宋体"/>
                <w:b/>
                <w:bCs/>
                <w:color w:val="auto"/>
                <w:kern w:val="2"/>
                <w:sz w:val="21"/>
                <w:szCs w:val="21"/>
                <w:highlight w:val="none"/>
                <w:lang w:val="zh-CN" w:eastAsia="zh-CN" w:bidi="ar-SA"/>
              </w:rPr>
              <w:t>近3个月内（任意一个月即可）投标</w:t>
            </w:r>
            <w:r>
              <w:rPr>
                <w:rFonts w:hint="eastAsia" w:ascii="宋体" w:hAnsi="宋体" w:cs="宋体"/>
                <w:b/>
                <w:bCs/>
                <w:color w:val="auto"/>
                <w:kern w:val="2"/>
                <w:sz w:val="21"/>
                <w:szCs w:val="21"/>
                <w:highlight w:val="none"/>
                <w:lang w:val="en-US" w:eastAsia="zh-CN" w:bidi="ar-SA"/>
              </w:rPr>
              <w:t>人</w:t>
            </w:r>
            <w:r>
              <w:rPr>
                <w:rFonts w:hint="eastAsia" w:ascii="宋体" w:hAnsi="宋体" w:eastAsia="宋体" w:cs="宋体"/>
                <w:b/>
                <w:bCs/>
                <w:color w:val="auto"/>
                <w:kern w:val="2"/>
                <w:sz w:val="21"/>
                <w:szCs w:val="21"/>
                <w:highlight w:val="none"/>
                <w:lang w:val="zh-CN" w:eastAsia="zh-CN" w:bidi="ar-SA"/>
              </w:rPr>
              <w:t>为其购买的社保缴纳证明</w:t>
            </w:r>
            <w:r>
              <w:rPr>
                <w:rFonts w:hint="eastAsia" w:ascii="宋体" w:hAnsi="宋体" w:eastAsia="宋体" w:cs="宋体"/>
                <w:b/>
                <w:bCs/>
                <w:color w:val="auto"/>
                <w:kern w:val="2"/>
                <w:sz w:val="21"/>
                <w:szCs w:val="21"/>
                <w:highlight w:val="none"/>
                <w:lang w:val="en-US" w:eastAsia="zh-CN" w:bidi="ar-SA"/>
              </w:rPr>
              <w:t>复印件并加盖单位公章，需提供证书复印件加盖公章】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83" w:type="dxa"/>
            <w:gridSpan w:val="4"/>
            <w:noWrap w:val="0"/>
            <w:vAlign w:val="center"/>
          </w:tcPr>
          <w:p>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color w:val="auto"/>
                <w:spacing w:val="-2"/>
                <w:sz w:val="21"/>
                <w:szCs w:val="21"/>
                <w:highlight w:val="none"/>
              </w:rPr>
            </w:pPr>
            <w:r>
              <w:rPr>
                <w:rFonts w:hint="eastAsia" w:ascii="宋体" w:hAnsi="宋体" w:eastAsia="宋体" w:cs="宋体"/>
                <w:b/>
                <w:color w:val="auto"/>
                <w:sz w:val="21"/>
                <w:szCs w:val="21"/>
                <w:highlight w:val="none"/>
              </w:rPr>
              <w:t>注：各评委得分的平均值为投标人资信标得分，分值保留两位小数点。</w:t>
            </w:r>
          </w:p>
        </w:tc>
      </w:tr>
    </w:tbl>
    <w:p>
      <w:pPr>
        <w:keepNext w:val="0"/>
        <w:keepLines w:val="0"/>
        <w:pageBreakBefore w:val="0"/>
        <w:widowControl w:val="0"/>
        <w:kinsoku/>
        <w:overflowPunct/>
        <w:topLinePunct w:val="0"/>
        <w:autoSpaceDE/>
        <w:autoSpaceDN/>
        <w:bidi w:val="0"/>
        <w:spacing w:line="440" w:lineRule="exact"/>
        <w:ind w:firstLine="210" w:firstLineChars="1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6.2技术标评审细则（70分）</w:t>
      </w:r>
    </w:p>
    <w:tbl>
      <w:tblPr>
        <w:tblStyle w:val="34"/>
        <w:tblW w:w="9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230"/>
        <w:gridCol w:w="699"/>
        <w:gridCol w:w="7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30" w:type="dxa"/>
            <w:noWrap w:val="0"/>
            <w:vAlign w:val="center"/>
          </w:tcPr>
          <w:p>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99" w:type="dxa"/>
            <w:noWrap w:val="0"/>
            <w:vAlign w:val="center"/>
          </w:tcPr>
          <w:p>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409"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230"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服务方案</w:t>
            </w:r>
          </w:p>
        </w:tc>
        <w:tc>
          <w:tcPr>
            <w:tcW w:w="699"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25分</w:t>
            </w:r>
          </w:p>
        </w:tc>
        <w:tc>
          <w:tcPr>
            <w:tcW w:w="7409" w:type="dxa"/>
            <w:noWrap w:val="0"/>
            <w:vAlign w:val="center"/>
          </w:tcPr>
          <w:p>
            <w:pPr>
              <w:keepNext w:val="0"/>
              <w:keepLines w:val="0"/>
              <w:pageBreakBefore w:val="0"/>
              <w:widowControl w:val="0"/>
              <w:kinsoku/>
              <w:overflowPunct/>
              <w:topLinePunct w:val="0"/>
              <w:autoSpaceDE/>
              <w:autoSpaceDN/>
              <w:bidi w:val="0"/>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Cs w:val="21"/>
                <w:highlight w:val="none"/>
                <w:lang w:val="en-US" w:eastAsia="zh-CN"/>
              </w:rPr>
              <w:t>评审小组根据</w:t>
            </w:r>
            <w:r>
              <w:rPr>
                <w:rFonts w:hint="eastAsia" w:ascii="宋体" w:hAnsi="宋体" w:cs="宋体"/>
                <w:color w:val="auto"/>
                <w:szCs w:val="21"/>
                <w:highlight w:val="none"/>
              </w:rPr>
              <w:t>服务方案内容的全面性、可操作性、工作地点的便捷性；审计程序、审计方法的科学性、有效性、合理性；服务的难点、要点阐述</w:t>
            </w:r>
            <w:r>
              <w:rPr>
                <w:rFonts w:hint="eastAsia" w:ascii="宋体" w:hAnsi="宋体" w:cs="宋体"/>
                <w:color w:val="auto"/>
                <w:szCs w:val="21"/>
                <w:highlight w:val="none"/>
                <w:lang w:val="en-US" w:eastAsia="zh-CN"/>
              </w:rPr>
              <w:t>等</w:t>
            </w:r>
            <w:r>
              <w:rPr>
                <w:rFonts w:hint="eastAsia" w:ascii="宋体" w:hAnsi="宋体" w:cs="宋体"/>
                <w:color w:val="auto"/>
                <w:szCs w:val="21"/>
                <w:highlight w:val="none"/>
              </w:rPr>
              <w:t>方面进行综合对比</w:t>
            </w:r>
            <w:r>
              <w:rPr>
                <w:rFonts w:hint="eastAsia" w:ascii="宋体" w:hAnsi="宋体" w:cs="宋体"/>
                <w:color w:val="auto"/>
                <w:szCs w:val="21"/>
                <w:highlight w:val="none"/>
                <w:lang w:val="en-US" w:eastAsia="zh-CN"/>
              </w:rPr>
              <w:t>评审</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服务方案中包含人员安排，包括参与项目的人员清单。</w:t>
            </w:r>
            <w:r>
              <w:rPr>
                <w:rFonts w:hint="eastAsia" w:ascii="宋体" w:hAnsi="宋体" w:cs="宋体"/>
                <w:color w:val="auto"/>
                <w:szCs w:val="21"/>
                <w:highlight w:val="none"/>
              </w:rPr>
              <w:t>优秀的得</w:t>
            </w:r>
            <w:r>
              <w:rPr>
                <w:rFonts w:hint="eastAsia" w:ascii="宋体" w:hAnsi="宋体" w:cs="宋体"/>
                <w:color w:val="auto"/>
                <w:szCs w:val="21"/>
                <w:highlight w:val="none"/>
                <w:lang w:val="en-US" w:eastAsia="zh-CN"/>
              </w:rPr>
              <w:t>25分，良好的得22.8分，一般的得20分，合格的得17.5分，不合格或未提供的不得分。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45"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30"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质量管理方案</w:t>
            </w:r>
          </w:p>
        </w:tc>
        <w:tc>
          <w:tcPr>
            <w:tcW w:w="699"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40分</w:t>
            </w:r>
          </w:p>
        </w:tc>
        <w:tc>
          <w:tcPr>
            <w:tcW w:w="7409" w:type="dxa"/>
            <w:noWrap w:val="0"/>
            <w:vAlign w:val="center"/>
          </w:tcPr>
          <w:p>
            <w:pPr>
              <w:keepNext w:val="0"/>
              <w:keepLines w:val="0"/>
              <w:pageBreakBefore w:val="0"/>
              <w:widowControl w:val="0"/>
              <w:kinsoku/>
              <w:overflowPunct/>
              <w:topLinePunct w:val="0"/>
              <w:autoSpaceDE/>
              <w:autoSpaceDN/>
              <w:bidi w:val="0"/>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审小组根据质量管理方案从项目咨询、意见分歧解决、项目质量复核、项目质量检查、质量管理缺陷识别与整改等方面的政策和程序。组织计划能力、协调能力、管理能力，会计业务水平、账务规范、内控管理、流程管理、权限设置等多维度根据全面性、可科学性、有效性、可行性等进行综合对比评审，</w:t>
            </w:r>
            <w:r>
              <w:rPr>
                <w:rFonts w:hint="eastAsia" w:ascii="宋体" w:hAnsi="宋体" w:cs="宋体"/>
                <w:color w:val="auto"/>
                <w:szCs w:val="21"/>
                <w:highlight w:val="none"/>
              </w:rPr>
              <w:t>优秀的得</w:t>
            </w:r>
            <w:r>
              <w:rPr>
                <w:rFonts w:hint="eastAsia" w:ascii="宋体" w:hAnsi="宋体" w:cs="宋体"/>
                <w:color w:val="auto"/>
                <w:szCs w:val="21"/>
                <w:highlight w:val="none"/>
                <w:lang w:val="en-US" w:eastAsia="zh-CN"/>
              </w:rPr>
              <w:t>40分、良好的得36分，一般的得32分，合格的得28分，不合格或未提供的不得分。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230"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信息安全管理</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风险承担能力</w:t>
            </w:r>
          </w:p>
        </w:tc>
        <w:tc>
          <w:tcPr>
            <w:tcW w:w="699"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5分</w:t>
            </w:r>
          </w:p>
        </w:tc>
        <w:tc>
          <w:tcPr>
            <w:tcW w:w="7409" w:type="dxa"/>
            <w:noWrap w:val="0"/>
            <w:vAlign w:val="center"/>
          </w:tcPr>
          <w:p>
            <w:pPr>
              <w:keepNext w:val="0"/>
              <w:keepLines w:val="0"/>
              <w:pageBreakBefore w:val="0"/>
              <w:widowControl w:val="0"/>
              <w:kinsoku/>
              <w:overflowPunct/>
              <w:topLinePunct w:val="0"/>
              <w:autoSpaceDE/>
              <w:autoSpaceDN/>
              <w:bidi w:val="0"/>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评审小组根据信息安全管理方案的科学性、有效性、可行性等</w:t>
            </w:r>
            <w:r>
              <w:rPr>
                <w:rFonts w:hint="eastAsia" w:ascii="宋体" w:hAnsi="宋体" w:cs="宋体"/>
                <w:color w:val="auto"/>
                <w:sz w:val="21"/>
                <w:szCs w:val="21"/>
                <w:highlight w:val="none"/>
                <w:lang w:val="en-US" w:eastAsia="zh-CN"/>
              </w:rPr>
              <w:t>及风险承担的应对方案等</w:t>
            </w:r>
            <w:r>
              <w:rPr>
                <w:rFonts w:hint="eastAsia" w:ascii="宋体" w:hAnsi="宋体" w:eastAsia="宋体" w:cs="宋体"/>
                <w:color w:val="auto"/>
                <w:sz w:val="21"/>
                <w:szCs w:val="21"/>
                <w:highlight w:val="none"/>
                <w:lang w:val="en-US" w:eastAsia="zh-CN"/>
              </w:rPr>
              <w:t>进行综合对比评审，</w:t>
            </w:r>
            <w:r>
              <w:rPr>
                <w:rFonts w:hint="eastAsia" w:ascii="宋体" w:hAnsi="宋体" w:cs="宋体"/>
                <w:color w:val="auto"/>
                <w:szCs w:val="21"/>
                <w:highlight w:val="none"/>
              </w:rPr>
              <w:t>优秀的得</w:t>
            </w:r>
            <w:r>
              <w:rPr>
                <w:rFonts w:hint="eastAsia" w:ascii="宋体" w:hAnsi="宋体" w:cs="宋体"/>
                <w:color w:val="auto"/>
                <w:szCs w:val="21"/>
                <w:highlight w:val="none"/>
                <w:lang w:val="en-US" w:eastAsia="zh-CN"/>
              </w:rPr>
              <w:t>5分、良好的得4.5分，一般的得4分，合格的得3.5分，不合格或未提供的不得分。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83" w:type="dxa"/>
            <w:gridSpan w:val="4"/>
            <w:noWrap w:val="0"/>
            <w:vAlign w:val="center"/>
          </w:tcPr>
          <w:p>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color w:val="auto"/>
                <w:spacing w:val="-2"/>
                <w:sz w:val="21"/>
                <w:szCs w:val="21"/>
                <w:highlight w:val="none"/>
              </w:rPr>
            </w:pPr>
            <w:r>
              <w:rPr>
                <w:rFonts w:hint="eastAsia" w:ascii="宋体" w:hAnsi="宋体" w:eastAsia="宋体" w:cs="宋体"/>
                <w:b/>
                <w:color w:val="auto"/>
                <w:sz w:val="21"/>
                <w:szCs w:val="21"/>
                <w:highlight w:val="none"/>
              </w:rPr>
              <w:t>注：各评委得分的平均值为投标人</w:t>
            </w:r>
            <w:r>
              <w:rPr>
                <w:rFonts w:hint="eastAsia" w:ascii="宋体" w:hAnsi="宋体" w:eastAsia="宋体" w:cs="宋体"/>
                <w:b/>
                <w:color w:val="auto"/>
                <w:sz w:val="21"/>
                <w:szCs w:val="21"/>
                <w:highlight w:val="none"/>
                <w:lang w:val="en-US" w:eastAsia="zh-CN"/>
              </w:rPr>
              <w:t>技术</w:t>
            </w:r>
            <w:r>
              <w:rPr>
                <w:rFonts w:hint="eastAsia" w:ascii="宋体" w:hAnsi="宋体" w:eastAsia="宋体" w:cs="宋体"/>
                <w:b/>
                <w:color w:val="auto"/>
                <w:sz w:val="21"/>
                <w:szCs w:val="21"/>
                <w:highlight w:val="none"/>
              </w:rPr>
              <w:t>标得分，分值保留两位小数点。</w:t>
            </w:r>
          </w:p>
        </w:tc>
      </w:tr>
    </w:tbl>
    <w:p>
      <w:pPr>
        <w:keepNext w:val="0"/>
        <w:keepLines w:val="0"/>
        <w:pageBreakBefore w:val="0"/>
        <w:widowControl w:val="0"/>
        <w:kinsoku/>
        <w:overflowPunct/>
        <w:topLinePunct w:val="0"/>
        <w:autoSpaceDE/>
        <w:autoSpaceDN/>
        <w:bidi w:val="0"/>
        <w:spacing w:line="440" w:lineRule="exact"/>
        <w:ind w:firstLine="210" w:firstLineChars="10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商务标评审细则</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15</w:t>
      </w:r>
      <w:r>
        <w:rPr>
          <w:rFonts w:hint="eastAsia" w:ascii="宋体" w:hAnsi="宋体" w:eastAsia="宋体" w:cs="宋体"/>
          <w:bCs/>
          <w:color w:val="auto"/>
          <w:sz w:val="21"/>
          <w:szCs w:val="21"/>
          <w:highlight w:val="none"/>
        </w:rPr>
        <w:t>分）</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273"/>
        <w:gridCol w:w="675"/>
        <w:gridCol w:w="7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15"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73" w:type="dxa"/>
            <w:noWrap w:val="0"/>
            <w:vAlign w:val="center"/>
          </w:tcPr>
          <w:p>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75" w:type="dxa"/>
            <w:noWrap w:val="0"/>
            <w:vAlign w:val="center"/>
          </w:tcPr>
          <w:p>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375"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715"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273" w:type="dxa"/>
            <w:noWrap w:val="0"/>
            <w:vAlign w:val="center"/>
          </w:tcPr>
          <w:p>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w:t>
            </w:r>
          </w:p>
        </w:tc>
        <w:tc>
          <w:tcPr>
            <w:tcW w:w="675" w:type="dxa"/>
            <w:noWrap w:val="0"/>
            <w:vAlign w:val="center"/>
          </w:tcPr>
          <w:p>
            <w:pPr>
              <w:keepNext w:val="0"/>
              <w:keepLines w:val="0"/>
              <w:pageBreakBefore w:val="0"/>
              <w:widowControl w:val="0"/>
              <w:kinsoku/>
              <w:overflowPunct/>
              <w:topLinePunct w:val="0"/>
              <w:autoSpaceDE/>
              <w:autoSpaceDN/>
              <w:bidi w:val="0"/>
              <w:adjustRightInd w:val="0"/>
              <w:snapToGrid w:val="0"/>
              <w:spacing w:line="440" w:lineRule="exact"/>
              <w:jc w:val="center"/>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15</w:t>
            </w:r>
            <w:r>
              <w:rPr>
                <w:rFonts w:hint="eastAsia" w:ascii="宋体" w:hAnsi="宋体" w:eastAsia="宋体" w:cs="宋体"/>
                <w:bCs/>
                <w:color w:val="auto"/>
                <w:sz w:val="21"/>
                <w:szCs w:val="21"/>
                <w:highlight w:val="none"/>
              </w:rPr>
              <w:t>分</w:t>
            </w:r>
          </w:p>
        </w:tc>
        <w:tc>
          <w:tcPr>
            <w:tcW w:w="7375" w:type="dxa"/>
            <w:noWrap w:val="0"/>
            <w:vAlign w:val="center"/>
          </w:tcPr>
          <w:p>
            <w:pPr>
              <w:keepNext w:val="0"/>
              <w:keepLines w:val="0"/>
              <w:pageBreakBefore w:val="0"/>
              <w:widowControl w:val="0"/>
              <w:tabs>
                <w:tab w:val="left" w:pos="1080"/>
              </w:tabs>
              <w:kinsoku/>
              <w:wordWrap w:val="0"/>
              <w:overflowPunct/>
              <w:topLinePunct w:val="0"/>
              <w:autoSpaceDE/>
              <w:autoSpaceDN/>
              <w:bidi w:val="0"/>
              <w:spacing w:line="440" w:lineRule="exact"/>
              <w:ind w:right="105" w:firstLine="21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cs="宋体"/>
                <w:color w:val="auto"/>
                <w:sz w:val="21"/>
                <w:szCs w:val="21"/>
                <w:highlight w:val="none"/>
                <w:lang w:eastAsia="zh-CN"/>
              </w:rPr>
              <w:t>招标人</w:t>
            </w:r>
            <w:r>
              <w:rPr>
                <w:rFonts w:hint="eastAsia" w:ascii="宋体" w:hAnsi="宋体" w:eastAsia="宋体" w:cs="宋体"/>
                <w:color w:val="auto"/>
                <w:sz w:val="21"/>
                <w:szCs w:val="21"/>
                <w:highlight w:val="none"/>
              </w:rPr>
              <w:t>设置投标报价最高限价，各投标人有效报价不得高于最高限价，否则，其投标文件按无效标处理。</w:t>
            </w:r>
          </w:p>
          <w:p>
            <w:pPr>
              <w:keepNext w:val="0"/>
              <w:keepLines w:val="0"/>
              <w:pageBreakBefore w:val="0"/>
              <w:widowControl w:val="0"/>
              <w:tabs>
                <w:tab w:val="left" w:pos="1080"/>
              </w:tabs>
              <w:kinsoku/>
              <w:overflowPunct/>
              <w:topLinePunct w:val="0"/>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选聘</w:t>
            </w:r>
            <w:r>
              <w:rPr>
                <w:rFonts w:hint="eastAsia" w:ascii="宋体" w:hAnsi="宋体" w:eastAsia="宋体" w:cs="宋体"/>
                <w:color w:val="auto"/>
                <w:sz w:val="21"/>
                <w:szCs w:val="21"/>
                <w:highlight w:val="none"/>
              </w:rPr>
              <w:t>基准价=</w:t>
            </w:r>
            <w:r>
              <w:rPr>
                <w:rFonts w:hint="eastAsia" w:ascii="宋体" w:hAnsi="宋体" w:eastAsia="宋体" w:cs="宋体"/>
                <w:color w:val="auto"/>
                <w:sz w:val="21"/>
                <w:szCs w:val="21"/>
                <w:highlight w:val="none"/>
                <w:lang w:val="en-US" w:eastAsia="zh-CN"/>
              </w:rPr>
              <w:t>满足招标文件要求的所有有效投标人报价的平均值</w:t>
            </w:r>
            <w:r>
              <w:rPr>
                <w:rFonts w:hint="eastAsia" w:ascii="宋体" w:hAnsi="宋体" w:eastAsia="宋体" w:cs="宋体"/>
                <w:color w:val="auto"/>
                <w:sz w:val="21"/>
                <w:szCs w:val="21"/>
                <w:highlight w:val="none"/>
              </w:rPr>
              <w:t>；</w:t>
            </w:r>
          </w:p>
          <w:p>
            <w:pPr>
              <w:keepNext w:val="0"/>
              <w:keepLines w:val="0"/>
              <w:pageBreakBefore w:val="0"/>
              <w:widowControl w:val="0"/>
              <w:tabs>
                <w:tab w:val="left" w:pos="1080"/>
              </w:tabs>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.其它报价得分=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1-∣选聘基准价-审计费用报价∣/选聘基准价）*15</w:t>
            </w:r>
          </w:p>
          <w:p>
            <w:pPr>
              <w:keepNext w:val="0"/>
              <w:keepLines w:val="0"/>
              <w:pageBreakBefore w:val="0"/>
              <w:widowControl w:val="0"/>
              <w:tabs>
                <w:tab w:val="left" w:pos="1080"/>
              </w:tabs>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.本项分值由评标委员会负责组织计算。分数保留两位小数点，第三位四舍五</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入。</w:t>
            </w:r>
          </w:p>
        </w:tc>
      </w:tr>
    </w:tbl>
    <w:p>
      <w:pPr>
        <w:spacing w:line="440" w:lineRule="exact"/>
        <w:ind w:firstLine="422" w:firstLineChars="200"/>
        <w:jc w:val="left"/>
        <w:rPr>
          <w:rFonts w:hint="eastAsia" w:ascii="宋体" w:cs="宋体"/>
          <w:b/>
          <w:color w:val="auto"/>
          <w:szCs w:val="21"/>
          <w:highlight w:val="none"/>
        </w:rPr>
      </w:pPr>
      <w:r>
        <w:rPr>
          <w:rFonts w:hint="eastAsia" w:ascii="宋体" w:cs="宋体"/>
          <w:b/>
          <w:color w:val="auto"/>
          <w:szCs w:val="21"/>
          <w:highlight w:val="none"/>
        </w:rPr>
        <w:t>特别说明：</w:t>
      </w:r>
    </w:p>
    <w:p>
      <w:pPr>
        <w:spacing w:line="440" w:lineRule="exact"/>
        <w:ind w:left="-420" w:leftChars="-200" w:firstLine="420" w:firstLineChars="200"/>
        <w:jc w:val="left"/>
        <w:rPr>
          <w:rFonts w:hint="eastAsia"/>
          <w:b w:val="0"/>
          <w:bCs/>
          <w:color w:val="auto"/>
          <w:szCs w:val="21"/>
          <w:highlight w:val="none"/>
        </w:rPr>
      </w:pPr>
      <w:r>
        <w:rPr>
          <w:rFonts w:hint="eastAsia"/>
          <w:b w:val="0"/>
          <w:bCs/>
          <w:color w:val="auto"/>
          <w:szCs w:val="21"/>
          <w:highlight w:val="none"/>
          <w:lang w:val="en-US" w:eastAsia="zh-CN"/>
        </w:rPr>
        <w:t>1、</w:t>
      </w:r>
      <w:r>
        <w:rPr>
          <w:rFonts w:hint="eastAsia"/>
          <w:b w:val="0"/>
          <w:bCs/>
          <w:color w:val="auto"/>
          <w:szCs w:val="21"/>
          <w:highlight w:val="none"/>
        </w:rPr>
        <w:t>评标专家检验电子投标文件的上述材料，如果由于投标人自身原因导致评标专家无法查看并检验电子投标文件中以上相关资料的，后果由投标人自行承担。</w:t>
      </w:r>
    </w:p>
    <w:p>
      <w:pPr>
        <w:spacing w:line="440" w:lineRule="exact"/>
        <w:ind w:left="-420" w:leftChars="-200" w:firstLine="420" w:firstLineChars="200"/>
        <w:jc w:val="left"/>
        <w:rPr>
          <w:rFonts w:hint="eastAsia"/>
          <w:b w:val="0"/>
          <w:bCs/>
          <w:color w:val="auto"/>
          <w:szCs w:val="21"/>
          <w:highlight w:val="none"/>
        </w:rPr>
      </w:pPr>
      <w:r>
        <w:rPr>
          <w:rFonts w:hint="eastAsia"/>
          <w:b w:val="0"/>
          <w:bCs/>
          <w:color w:val="auto"/>
          <w:szCs w:val="21"/>
          <w:highlight w:val="none"/>
          <w:lang w:val="en-US" w:eastAsia="zh-CN"/>
        </w:rPr>
        <w:t>2、</w:t>
      </w:r>
      <w:r>
        <w:rPr>
          <w:rFonts w:hint="eastAsia"/>
          <w:b w:val="0"/>
          <w:bCs/>
          <w:color w:val="auto"/>
          <w:szCs w:val="21"/>
          <w:highlight w:val="none"/>
        </w:rPr>
        <w:t>以上分值均保留二位小数，小数点后第三位四舍五入。</w:t>
      </w:r>
      <w:bookmarkStart w:id="64" w:name="_Toc449028881"/>
    </w:p>
    <w:p>
      <w:pPr>
        <w:jc w:val="center"/>
        <w:outlineLvl w:val="1"/>
        <w:rPr>
          <w:rFonts w:hint="eastAsia" w:ascii="宋体" w:hAnsi="Times New Roman" w:eastAsia="宋体" w:cs="Times New Roman"/>
          <w:b/>
          <w:color w:val="auto"/>
          <w:sz w:val="28"/>
          <w:szCs w:val="28"/>
          <w:highlight w:val="none"/>
        </w:rPr>
      </w:pPr>
      <w:bookmarkStart w:id="65" w:name="_Toc58430321"/>
      <w:r>
        <w:rPr>
          <w:rFonts w:hint="eastAsia" w:ascii="宋体" w:hAnsi="Times New Roman" w:eastAsia="宋体" w:cs="Times New Roman"/>
          <w:b/>
          <w:color w:val="auto"/>
          <w:sz w:val="28"/>
          <w:szCs w:val="28"/>
          <w:highlight w:val="none"/>
        </w:rPr>
        <w:t>五、推荐中标候选人</w:t>
      </w:r>
      <w:bookmarkEnd w:id="63"/>
      <w:bookmarkEnd w:id="64"/>
      <w:bookmarkEnd w:id="65"/>
    </w:p>
    <w:bookmarkEnd w:id="53"/>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7.评标委员会按资信</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技术</w:t>
      </w:r>
      <w:r>
        <w:rPr>
          <w:rFonts w:hint="eastAsia" w:ascii="宋体" w:hAnsi="宋体" w:cs="宋体"/>
          <w:color w:val="auto"/>
          <w:szCs w:val="21"/>
          <w:highlight w:val="none"/>
        </w:rPr>
        <w:t>和商务得分之和，从高到低按顺序，根据第二章投标人须知及前附表的规定数量推荐中标候选人。</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7.1得分相同的，按投标报价由低到高顺序排列。得分且报价相同的并列，由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现场采取随机摇号的方式确定中标候选人。</w:t>
      </w:r>
    </w:p>
    <w:p>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6" w:name="_Hlk61815781"/>
      <w:r>
        <w:rPr>
          <w:rFonts w:hint="eastAsia" w:ascii="宋体" w:hAnsi="宋体" w:cs="宋体"/>
          <w:b/>
          <w:color w:val="auto"/>
          <w:szCs w:val="21"/>
          <w:highlight w:val="none"/>
        </w:rPr>
        <w:t>无效投标条款</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投标人有下列情形之一的,符合性审查后其投标按无效投标处理：</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(7)其它情形，经评标委员会委提出按无效投标处理的；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6"/>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宋体"/>
          <w:b/>
          <w:color w:val="auto"/>
          <w:sz w:val="32"/>
          <w:szCs w:val="32"/>
          <w:highlight w:val="none"/>
        </w:rPr>
      </w:pPr>
      <w:bookmarkStart w:id="67" w:name="_Toc58430328"/>
      <w:r>
        <w:rPr>
          <w:rFonts w:hint="eastAsia" w:ascii="宋体"/>
          <w:b/>
          <w:color w:val="auto"/>
          <w:sz w:val="32"/>
          <w:szCs w:val="32"/>
          <w:highlight w:val="none"/>
        </w:rPr>
        <w:br w:type="page"/>
      </w:r>
      <w:r>
        <w:rPr>
          <w:rFonts w:hint="eastAsia" w:ascii="宋体" w:hAnsi="Times New Roman" w:eastAsia="宋体" w:cs="Times New Roman"/>
          <w:b/>
          <w:color w:val="auto"/>
          <w:sz w:val="32"/>
          <w:szCs w:val="32"/>
          <w:highlight w:val="none"/>
        </w:rPr>
        <w:t>第四章  采购需求</w:t>
      </w:r>
    </w:p>
    <w:bookmarkEnd w:id="54"/>
    <w:bookmarkEnd w:id="67"/>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bookmarkStart w:id="68" w:name="_Toc58430329"/>
      <w:bookmarkStart w:id="69" w:name="_Toc449028945"/>
      <w:r>
        <w:rPr>
          <w:rFonts w:hint="eastAsia" w:ascii="宋体" w:hAnsi="宋体" w:eastAsia="宋体" w:cs="宋体"/>
          <w:b w:val="0"/>
          <w:bCs w:val="0"/>
          <w:color w:val="auto"/>
          <w:sz w:val="21"/>
          <w:szCs w:val="21"/>
          <w:highlight w:val="none"/>
          <w:lang w:val="en-US" w:eastAsia="zh-CN"/>
        </w:rPr>
        <w:t>2023年度，除集团公司外，还应纳入市扬子工投集团合并报表范围的共有11家子公司。集团公司不出具单体报告，除出具市扬子工投集团合并报表审计报告之外，另需出具单体审计报告的子公司、参股公司共有11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集团投资性房地产按照公允价值计量，选聘资产评估事务所每年资产负债表日对投资性房地产公允价值进行评估，至2023年末投资性房地产规模约15亿元。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default" w:ascii="宋体" w:hAnsi="宋体" w:eastAsia="宋体" w:cs="宋体"/>
          <w:b w:val="0"/>
          <w:bCs w:val="0"/>
          <w:color w:val="auto"/>
          <w:sz w:val="21"/>
          <w:szCs w:val="21"/>
          <w:highlight w:val="none"/>
          <w:lang w:val="en-US" w:eastAsia="zh-CN"/>
        </w:rPr>
      </w:pPr>
      <w:r>
        <w:rPr>
          <w:rFonts w:hint="default" w:ascii="宋体" w:hAnsi="宋体" w:eastAsia="宋体" w:cs="宋体"/>
          <w:b w:val="0"/>
          <w:bCs w:val="0"/>
          <w:color w:val="auto"/>
          <w:sz w:val="21"/>
          <w:szCs w:val="21"/>
          <w:highlight w:val="none"/>
          <w:lang w:val="en-US" w:eastAsia="zh-CN"/>
        </w:rPr>
        <w:t>项目负责人及参与本项目的注册会计师应全程为项目提供服务，应在项目现场阶段服务的需在招标人处现场办公，有特殊情况无法现场办公需提前与招标人联系并取得招标人同意。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上文纳入合并范围及需出具报告的子公司、参股公司名单如下表所示：</w:t>
      </w:r>
    </w:p>
    <w:tbl>
      <w:tblPr>
        <w:tblStyle w:val="35"/>
        <w:tblW w:w="91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3847"/>
        <w:gridCol w:w="1395"/>
        <w:gridCol w:w="1320"/>
        <w:gridCol w:w="1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序号</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公司名称</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是否纳入合并范围</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是否出具单体报告</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left"/>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（一级）市扬子工投集团有限公司</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不出具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出具合并报告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2</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left"/>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（二级）工投供应链管理有限公司</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center"/>
              <w:textAlignment w:val="auto"/>
              <w:rPr>
                <w:rFonts w:hint="eastAsia" w:ascii="宋体" w:hAnsi="宋体" w:eastAsia="宋体" w:cs="宋体"/>
                <w:b w:val="0"/>
                <w:bCs w:val="0"/>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3</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left"/>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（二级）</w:t>
            </w:r>
            <w:r>
              <w:rPr>
                <w:rFonts w:hint="eastAsia" w:ascii="宋体" w:hAnsi="宋体" w:eastAsia="宋体" w:cs="宋体"/>
                <w:b w:val="0"/>
                <w:bCs w:val="0"/>
                <w:color w:val="auto"/>
                <w:sz w:val="21"/>
                <w:szCs w:val="21"/>
                <w:highlight w:val="none"/>
                <w:lang w:val="en-US" w:eastAsia="zh-CN"/>
              </w:rPr>
              <w:t>工投科技产业园发展有限公司</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4</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left"/>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（二级）</w:t>
            </w:r>
            <w:r>
              <w:rPr>
                <w:rFonts w:hint="eastAsia" w:ascii="宋体" w:hAnsi="宋体" w:eastAsia="宋体" w:cs="宋体"/>
                <w:b w:val="0"/>
                <w:bCs w:val="0"/>
                <w:color w:val="auto"/>
                <w:sz w:val="21"/>
                <w:szCs w:val="21"/>
                <w:highlight w:val="none"/>
                <w:lang w:val="en-US" w:eastAsia="zh-CN"/>
              </w:rPr>
              <w:t>工投高新科技园有限公司</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5</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left"/>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（二级）</w:t>
            </w:r>
            <w:r>
              <w:rPr>
                <w:rFonts w:hint="eastAsia" w:ascii="宋体" w:hAnsi="宋体" w:eastAsia="宋体" w:cs="宋体"/>
                <w:b w:val="0"/>
                <w:bCs w:val="0"/>
                <w:color w:val="auto"/>
                <w:sz w:val="21"/>
                <w:szCs w:val="21"/>
                <w:highlight w:val="none"/>
                <w:lang w:val="en-US" w:eastAsia="zh-CN"/>
              </w:rPr>
              <w:t>市工安机动车辆技术检测有限公司</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6</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left"/>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（二级）</w:t>
            </w:r>
            <w:r>
              <w:rPr>
                <w:rFonts w:hint="eastAsia" w:ascii="宋体" w:hAnsi="宋体" w:eastAsia="宋体" w:cs="宋体"/>
                <w:b w:val="0"/>
                <w:bCs w:val="0"/>
                <w:color w:val="auto"/>
                <w:sz w:val="21"/>
                <w:szCs w:val="21"/>
                <w:highlight w:val="none"/>
                <w:lang w:val="en-US" w:eastAsia="zh-CN"/>
              </w:rPr>
              <w:t>工投新能源开发有限公司</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7</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left"/>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（二级）</w:t>
            </w:r>
            <w:r>
              <w:rPr>
                <w:rFonts w:hint="eastAsia" w:ascii="宋体" w:hAnsi="宋体" w:eastAsia="宋体" w:cs="宋体"/>
                <w:b w:val="0"/>
                <w:bCs w:val="0"/>
                <w:color w:val="auto"/>
                <w:sz w:val="21"/>
                <w:szCs w:val="21"/>
                <w:highlight w:val="none"/>
                <w:lang w:val="en-US" w:eastAsia="zh-CN"/>
              </w:rPr>
              <w:t>市储备粮油管理有限公司（合并报表）</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三级子公司一家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8</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left"/>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（二级）</w:t>
            </w:r>
            <w:r>
              <w:rPr>
                <w:rFonts w:hint="eastAsia" w:ascii="宋体" w:hAnsi="宋体" w:eastAsia="宋体" w:cs="宋体"/>
                <w:b w:val="0"/>
                <w:bCs w:val="0"/>
                <w:color w:val="auto"/>
                <w:sz w:val="21"/>
                <w:szCs w:val="21"/>
                <w:highlight w:val="none"/>
                <w:lang w:val="en-US" w:eastAsia="zh-CN"/>
              </w:rPr>
              <w:t>市军粮供应站有限公司</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9</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left"/>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（二级）</w:t>
            </w:r>
            <w:r>
              <w:rPr>
                <w:rFonts w:hint="eastAsia" w:ascii="宋体" w:hAnsi="宋体" w:eastAsia="宋体" w:cs="宋体"/>
                <w:b w:val="0"/>
                <w:bCs w:val="0"/>
                <w:color w:val="auto"/>
                <w:sz w:val="21"/>
                <w:szCs w:val="21"/>
                <w:highlight w:val="none"/>
                <w:lang w:val="en-US" w:eastAsia="zh-CN"/>
              </w:rPr>
              <w:t>中国扬子集团有限公司（合并报表）</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本年新增，三级子公司三家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10</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left"/>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（二级）</w:t>
            </w:r>
            <w:r>
              <w:rPr>
                <w:rFonts w:hint="eastAsia" w:ascii="宋体" w:hAnsi="宋体" w:eastAsia="宋体" w:cs="宋体"/>
                <w:b w:val="0"/>
                <w:bCs w:val="0"/>
                <w:color w:val="auto"/>
                <w:sz w:val="21"/>
                <w:szCs w:val="21"/>
                <w:highlight w:val="none"/>
                <w:lang w:val="en-US" w:eastAsia="zh-CN"/>
              </w:rPr>
              <w:t>市城泊车辆服务有限公司</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本年新增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11</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left"/>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（二级）</w:t>
            </w:r>
            <w:r>
              <w:rPr>
                <w:rFonts w:hint="eastAsia" w:ascii="宋体" w:hAnsi="宋体" w:eastAsia="宋体" w:cs="宋体"/>
                <w:b w:val="0"/>
                <w:bCs w:val="0"/>
                <w:color w:val="auto"/>
                <w:sz w:val="21"/>
                <w:szCs w:val="21"/>
                <w:highlight w:val="none"/>
                <w:lang w:val="en-US" w:eastAsia="zh-CN"/>
              </w:rPr>
              <w:t>市亭宜居房产运营发展有限公司（合并报表）</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kern w:val="2"/>
                <w:sz w:val="21"/>
                <w:szCs w:val="21"/>
                <w:highlight w:val="none"/>
                <w:vertAlign w:val="baseline"/>
                <w:lang w:val="en-US" w:eastAsia="zh-CN" w:bidi="ar-SA"/>
              </w:rPr>
              <w:t>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vertAlign w:val="baseline"/>
                <w:lang w:val="en-US" w:eastAsia="zh-CN"/>
              </w:rPr>
              <w:t>三级子公司一家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sz w:val="21"/>
                <w:szCs w:val="21"/>
                <w:highlight w:val="none"/>
                <w:vertAlign w:val="baseline"/>
                <w:lang w:val="en-US" w:eastAsia="zh-CN"/>
              </w:rPr>
            </w:pPr>
            <w:r>
              <w:rPr>
                <w:rFonts w:hint="eastAsia" w:ascii="宋体" w:hAnsi="宋体" w:eastAsia="宋体" w:cs="宋体"/>
                <w:b w:val="0"/>
                <w:bCs w:val="0"/>
                <w:color w:val="auto"/>
                <w:sz w:val="21"/>
                <w:szCs w:val="21"/>
                <w:highlight w:val="none"/>
                <w:lang w:val="en-US" w:eastAsia="zh-CN"/>
              </w:rPr>
              <w:t>12</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left"/>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（二级）</w:t>
            </w:r>
            <w:r>
              <w:rPr>
                <w:rFonts w:hint="eastAsia" w:ascii="宋体" w:hAnsi="宋体" w:eastAsia="宋体" w:cs="宋体"/>
                <w:b w:val="0"/>
                <w:bCs w:val="0"/>
                <w:color w:val="auto"/>
                <w:sz w:val="21"/>
                <w:szCs w:val="21"/>
                <w:highlight w:val="none"/>
                <w:lang w:val="en-US" w:eastAsia="zh-CN"/>
              </w:rPr>
              <w:t>市城投供热有限公司</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sz w:val="21"/>
                <w:szCs w:val="21"/>
                <w:highlight w:val="none"/>
                <w:vertAlign w:val="baseline"/>
                <w:lang w:val="en-US" w:eastAsia="zh-CN"/>
              </w:rPr>
              <w:t>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vertAlign w:val="baseline"/>
                <w:lang w:val="en-US" w:eastAsia="zh-CN" w:bidi="ar-SA"/>
              </w:rPr>
            </w:pPr>
            <w:r>
              <w:rPr>
                <w:rFonts w:hint="eastAsia" w:ascii="宋体" w:hAnsi="宋体" w:eastAsia="宋体" w:cs="宋体"/>
                <w:b w:val="0"/>
                <w:bCs w:val="0"/>
                <w:color w:val="auto"/>
                <w:kern w:val="2"/>
                <w:sz w:val="21"/>
                <w:szCs w:val="21"/>
                <w:highlight w:val="none"/>
                <w:vertAlign w:val="baseline"/>
                <w:lang w:val="en-US" w:eastAsia="zh-CN" w:bidi="ar-SA"/>
              </w:rPr>
              <w:t>不出具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center"/>
              <w:textAlignment w:val="auto"/>
              <w:rPr>
                <w:rFonts w:hint="eastAsia" w:ascii="宋体" w:hAnsi="宋体" w:eastAsia="宋体" w:cs="宋体"/>
                <w:b w:val="0"/>
                <w:bCs w:val="0"/>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13</w:t>
            </w:r>
          </w:p>
        </w:tc>
        <w:tc>
          <w:tcPr>
            <w:tcW w:w="384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vertAlign w:val="baseline"/>
                <w:lang w:val="en-US" w:eastAsia="zh-CN"/>
              </w:rPr>
              <w:t>（二级）</w:t>
            </w:r>
            <w:r>
              <w:rPr>
                <w:rFonts w:hint="eastAsia" w:ascii="宋体" w:hAnsi="宋体" w:eastAsia="宋体" w:cs="宋体"/>
                <w:b w:val="0"/>
                <w:bCs w:val="0"/>
                <w:color w:val="auto"/>
                <w:sz w:val="21"/>
                <w:szCs w:val="21"/>
                <w:highlight w:val="none"/>
                <w:lang w:val="en-US" w:eastAsia="zh-CN"/>
              </w:rPr>
              <w:t>滁能热电有限公司（合并报表）</w:t>
            </w:r>
          </w:p>
        </w:tc>
        <w:tc>
          <w:tcPr>
            <w:tcW w:w="139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不纳入</w:t>
            </w:r>
          </w:p>
        </w:tc>
        <w:tc>
          <w:tcPr>
            <w:tcW w:w="132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left="0" w:leftChars="0" w:firstLine="0" w:firstLineChars="0"/>
              <w:jc w:val="center"/>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t>出具</w:t>
            </w:r>
          </w:p>
        </w:tc>
        <w:tc>
          <w:tcPr>
            <w:tcW w:w="1721"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vertAlign w:val="baseline"/>
                <w:lang w:val="en-US" w:eastAsia="zh-CN"/>
              </w:rPr>
              <w:t>三级子公司三家</w:t>
            </w:r>
          </w:p>
        </w:tc>
      </w:tr>
    </w:tbl>
    <w:p>
      <w:pPr>
        <w:rPr>
          <w:rFonts w:hint="eastAsia" w:ascii="宋体"/>
          <w:b/>
          <w:color w:val="auto"/>
          <w:sz w:val="32"/>
          <w:szCs w:val="32"/>
          <w:highlight w:val="none"/>
        </w:rPr>
      </w:pPr>
      <w:r>
        <w:rPr>
          <w:rFonts w:hint="eastAsia" w:ascii="宋体"/>
          <w:b/>
          <w:color w:val="auto"/>
          <w:sz w:val="32"/>
          <w:szCs w:val="32"/>
          <w:highlight w:val="none"/>
        </w:rPr>
        <w:br w:type="page"/>
      </w:r>
    </w:p>
    <w:p>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第</w:t>
      </w:r>
      <w:r>
        <w:rPr>
          <w:rFonts w:hint="eastAsia" w:ascii="宋体"/>
          <w:b/>
          <w:color w:val="auto"/>
          <w:sz w:val="32"/>
          <w:szCs w:val="32"/>
          <w:highlight w:val="none"/>
          <w:lang w:val="en-US" w:eastAsia="zh-CN"/>
        </w:rPr>
        <w:t>五</w:t>
      </w:r>
      <w:r>
        <w:rPr>
          <w:rFonts w:hint="eastAsia" w:ascii="宋体"/>
          <w:b/>
          <w:color w:val="auto"/>
          <w:sz w:val="32"/>
          <w:szCs w:val="32"/>
          <w:highlight w:val="none"/>
        </w:rPr>
        <w:t>章  投标文件格式</w:t>
      </w:r>
    </w:p>
    <w:p>
      <w:pPr>
        <w:jc w:val="center"/>
        <w:rPr>
          <w:rFonts w:hint="eastAsia" w:eastAsia="黑体"/>
          <w:color w:val="auto"/>
          <w:sz w:val="20"/>
          <w:highlight w:val="none"/>
        </w:rPr>
      </w:pPr>
    </w:p>
    <w:p>
      <w:pPr>
        <w:rPr>
          <w:rFonts w:hint="eastAsia" w:eastAsia="黑体"/>
          <w:color w:val="auto"/>
          <w:sz w:val="20"/>
          <w:highlight w:val="none"/>
        </w:rPr>
      </w:pPr>
    </w:p>
    <w:p>
      <w:pPr>
        <w:rPr>
          <w:rFonts w:hint="eastAsia" w:eastAsia="黑体"/>
          <w:color w:val="auto"/>
          <w:sz w:val="20"/>
          <w:highlight w:val="none"/>
        </w:rPr>
      </w:pPr>
    </w:p>
    <w:p>
      <w:pPr>
        <w:rPr>
          <w:rFonts w:hint="eastAsia" w:eastAsia="黑体"/>
          <w:color w:val="auto"/>
          <w:sz w:val="20"/>
          <w:highlight w:val="none"/>
        </w:rPr>
      </w:pPr>
    </w:p>
    <w:p>
      <w:pPr>
        <w:jc w:val="center"/>
        <w:rPr>
          <w:rFonts w:hint="eastAsia" w:ascii="宋体"/>
          <w:b/>
          <w:color w:val="auto"/>
          <w:sz w:val="44"/>
          <w:szCs w:val="44"/>
          <w:highlight w:val="none"/>
        </w:rPr>
      </w:pPr>
      <w:bookmarkStart w:id="70" w:name="_Toc350698753"/>
      <w:bookmarkStart w:id="71" w:name="_Toc449028949"/>
      <w:r>
        <w:rPr>
          <w:rFonts w:hint="eastAsia" w:ascii="宋体"/>
          <w:b/>
          <w:color w:val="auto"/>
          <w:sz w:val="44"/>
          <w:szCs w:val="44"/>
          <w:highlight w:val="none"/>
          <w:lang w:val="en-US" w:eastAsia="zh-CN"/>
        </w:rPr>
        <w:t>资格证明</w:t>
      </w:r>
      <w:r>
        <w:rPr>
          <w:rFonts w:hint="eastAsia" w:ascii="宋体"/>
          <w:b/>
          <w:color w:val="auto"/>
          <w:sz w:val="44"/>
          <w:szCs w:val="44"/>
          <w:highlight w:val="none"/>
        </w:rPr>
        <w:t>文件</w:t>
      </w:r>
      <w:bookmarkEnd w:id="70"/>
      <w:bookmarkEnd w:id="71"/>
    </w:p>
    <w:p>
      <w:pPr>
        <w:jc w:val="center"/>
        <w:rPr>
          <w:rFonts w:hint="eastAsia" w:eastAsia="黑体"/>
          <w:color w:val="auto"/>
          <w:sz w:val="44"/>
          <w:szCs w:val="44"/>
          <w:highlight w:val="none"/>
        </w:rPr>
      </w:pPr>
    </w:p>
    <w:p>
      <w:pPr>
        <w:jc w:val="center"/>
        <w:rPr>
          <w:rFonts w:hint="eastAsia" w:eastAsia="黑体"/>
          <w:color w:val="auto"/>
          <w:sz w:val="44"/>
          <w:szCs w:val="44"/>
          <w:highlight w:val="none"/>
        </w:rPr>
      </w:pPr>
    </w:p>
    <w:p>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pPr>
        <w:spacing w:line="720" w:lineRule="auto"/>
        <w:jc w:val="center"/>
        <w:rPr>
          <w:rFonts w:hint="eastAsia" w:ascii="宋体"/>
          <w:b/>
          <w:color w:val="auto"/>
          <w:sz w:val="36"/>
          <w:szCs w:val="36"/>
          <w:highlight w:val="none"/>
        </w:rPr>
      </w:pPr>
    </w:p>
    <w:p>
      <w:pPr>
        <w:spacing w:line="400" w:lineRule="exact"/>
        <w:ind w:firstLine="4130" w:firstLineChars="935"/>
        <w:rPr>
          <w:rFonts w:hint="eastAsia"/>
          <w:b/>
          <w:color w:val="auto"/>
          <w:sz w:val="44"/>
          <w:szCs w:val="44"/>
          <w:highlight w:val="none"/>
        </w:rPr>
      </w:pPr>
    </w:p>
    <w:p>
      <w:pPr>
        <w:spacing w:line="400" w:lineRule="exact"/>
        <w:ind w:firstLine="4130" w:firstLineChars="935"/>
        <w:rPr>
          <w:rFonts w:hint="eastAsia"/>
          <w:b/>
          <w:color w:val="auto"/>
          <w:sz w:val="44"/>
          <w:szCs w:val="44"/>
          <w:highlight w:val="none"/>
        </w:rPr>
      </w:pPr>
    </w:p>
    <w:p>
      <w:pPr>
        <w:spacing w:line="400" w:lineRule="exact"/>
        <w:ind w:firstLine="4130" w:firstLineChars="935"/>
        <w:rPr>
          <w:rFonts w:hint="eastAsia"/>
          <w:b/>
          <w:color w:val="auto"/>
          <w:sz w:val="44"/>
          <w:szCs w:val="44"/>
          <w:highlight w:val="none"/>
        </w:rPr>
      </w:pPr>
    </w:p>
    <w:p>
      <w:pPr>
        <w:jc w:val="center"/>
        <w:rPr>
          <w:rFonts w:hint="eastAsia"/>
          <w:b/>
          <w:color w:val="auto"/>
          <w:sz w:val="44"/>
          <w:szCs w:val="44"/>
          <w:highlight w:val="none"/>
        </w:rPr>
      </w:pPr>
      <w:r>
        <w:rPr>
          <w:rFonts w:hint="eastAsia"/>
          <w:b/>
          <w:color w:val="auto"/>
          <w:sz w:val="36"/>
          <w:szCs w:val="36"/>
          <w:highlight w:val="none"/>
        </w:rPr>
        <w:t>目   录</w:t>
      </w:r>
    </w:p>
    <w:p>
      <w:pPr>
        <w:spacing w:line="400" w:lineRule="exact"/>
        <w:ind w:firstLine="562" w:firstLineChars="200"/>
        <w:rPr>
          <w:rFonts w:hint="eastAsia"/>
          <w:b/>
          <w:color w:val="auto"/>
          <w:sz w:val="28"/>
          <w:szCs w:val="28"/>
          <w:highlight w:val="none"/>
        </w:rPr>
      </w:pPr>
    </w:p>
    <w:p>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w:t>
      </w:r>
      <w:r>
        <w:rPr>
          <w:rFonts w:hint="eastAsia" w:hAnsi="宋体"/>
          <w:color w:val="auto"/>
          <w:szCs w:val="21"/>
          <w:highlight w:val="none"/>
        </w:rPr>
        <w:t>会计师事务所执业证书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pPr>
        <w:spacing w:line="500" w:lineRule="exact"/>
        <w:ind w:firstLine="420" w:firstLineChars="200"/>
        <w:jc w:val="left"/>
        <w:rPr>
          <w:rFonts w:hint="default" w:ascii="宋体" w:hAnsi="宋体" w:eastAsia="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3）投标人资质证书</w:t>
      </w:r>
      <w:r>
        <w:rPr>
          <w:rFonts w:hint="eastAsia" w:ascii="宋体" w:hAnsi="宋体" w:cs="宋体"/>
          <w:color w:val="auto"/>
          <w:szCs w:val="21"/>
          <w:highlight w:val="none"/>
          <w:lang w:val="en-US" w:eastAsia="zh-CN"/>
        </w:rPr>
        <w:t>（复印件加盖单位公章）</w:t>
      </w:r>
      <w:r>
        <w:rPr>
          <w:rFonts w:hint="eastAsia" w:ascii="宋体" w:hAnsi="宋体" w:cs="宋体-18030"/>
          <w:color w:val="auto"/>
          <w:szCs w:val="21"/>
          <w:highlight w:val="none"/>
          <w:lang w:val="en-US" w:eastAsia="zh-CN"/>
        </w:rPr>
        <w:t>；</w:t>
      </w:r>
    </w:p>
    <w:p>
      <w:pPr>
        <w:spacing w:line="500" w:lineRule="exact"/>
        <w:ind w:firstLine="420" w:firstLineChars="200"/>
        <w:jc w:val="left"/>
        <w:rPr>
          <w:rFonts w:hint="default" w:ascii="宋体" w:hAnsi="宋体" w:eastAsia="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4）资质要求中的人员</w:t>
      </w:r>
      <w:r>
        <w:rPr>
          <w:rFonts w:hint="eastAsia" w:ascii="宋体"/>
          <w:color w:val="auto"/>
          <w:szCs w:val="21"/>
          <w:highlight w:val="none"/>
          <w:lang w:val="en-US" w:eastAsia="zh-CN"/>
        </w:rPr>
        <w:t>有效身份证及注册证书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lang w:val="en-US" w:eastAsia="zh-CN"/>
        </w:rPr>
        <w:t>；</w:t>
      </w:r>
    </w:p>
    <w:p>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5</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pPr>
        <w:spacing w:line="500" w:lineRule="exact"/>
        <w:ind w:firstLine="420" w:firstLineChars="200"/>
        <w:jc w:val="left"/>
        <w:rPr>
          <w:rFonts w:hint="eastAsia" w:ascii="宋体" w:hAnsi="Times New Roman" w:eastAsia="宋体" w:cs="Times New Roman"/>
          <w:color w:val="auto"/>
          <w:szCs w:val="21"/>
          <w:highlight w:val="none"/>
          <w:lang w:eastAsia="zh-CN"/>
        </w:rPr>
      </w:pP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6</w:t>
      </w:r>
      <w:r>
        <w:rPr>
          <w:rFonts w:hint="eastAsia" w:ascii="宋体" w:hAnsi="Times New Roman" w:eastAsia="宋体" w:cs="Times New Roman"/>
          <w:color w:val="auto"/>
          <w:szCs w:val="21"/>
          <w:highlight w:val="none"/>
        </w:rPr>
        <w:t>）招标文件中要求的资信评审和资信评分的支持资料</w:t>
      </w:r>
      <w:r>
        <w:rPr>
          <w:rFonts w:hint="eastAsia" w:ascii="宋体" w:hAnsi="Times New Roman" w:eastAsia="宋体" w:cs="Times New Roman"/>
          <w:color w:val="auto"/>
          <w:szCs w:val="21"/>
          <w:highlight w:val="none"/>
          <w:lang w:val="en-US" w:eastAsia="zh-CN"/>
        </w:rPr>
        <w:t>（复印件加盖单位公章）</w:t>
      </w:r>
      <w:r>
        <w:rPr>
          <w:rFonts w:hint="eastAsia" w:ascii="宋体" w:cs="Times New Roman"/>
          <w:color w:val="auto"/>
          <w:szCs w:val="21"/>
          <w:highlight w:val="none"/>
          <w:lang w:eastAsia="zh-CN"/>
        </w:rPr>
        <w:t>。</w:t>
      </w:r>
    </w:p>
    <w:p>
      <w:pPr>
        <w:spacing w:line="500" w:lineRule="exact"/>
        <w:ind w:firstLine="420" w:firstLineChars="200"/>
        <w:jc w:val="left"/>
        <w:rPr>
          <w:rFonts w:hint="eastAsia" w:ascii="宋体" w:hAnsi="Times New Roman" w:eastAsia="宋体" w:cs="Times New Roman"/>
          <w:color w:val="auto"/>
          <w:szCs w:val="21"/>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bookmarkStart w:id="76" w:name="_GoBack"/>
      <w:bookmarkEnd w:id="76"/>
    </w:p>
    <w:p>
      <w:pPr>
        <w:spacing w:line="400" w:lineRule="exact"/>
        <w:ind w:firstLine="562" w:firstLineChars="200"/>
        <w:rPr>
          <w:rFonts w:hint="eastAsia"/>
          <w:b/>
          <w:color w:val="auto"/>
          <w:sz w:val="28"/>
          <w:szCs w:val="28"/>
          <w:highlight w:val="none"/>
        </w:rPr>
      </w:pPr>
    </w:p>
    <w:p>
      <w:pPr>
        <w:spacing w:line="400" w:lineRule="exact"/>
        <w:rPr>
          <w:b/>
          <w:color w:val="auto"/>
          <w:sz w:val="28"/>
          <w:szCs w:val="28"/>
          <w:highlight w:val="none"/>
        </w:rPr>
        <w:sectPr>
          <w:headerReference r:id="rId9" w:type="default"/>
          <w:footerReference r:id="rId10" w:type="default"/>
          <w:pgSz w:w="11906" w:h="16838"/>
          <w:pgMar w:top="1440" w:right="1066" w:bottom="1440" w:left="1800" w:header="851" w:footer="992" w:gutter="0"/>
          <w:pgNumType w:fmt="numberInDash"/>
          <w:cols w:space="720" w:num="1"/>
          <w:docGrid w:type="lines" w:linePitch="312" w:charSpace="0"/>
        </w:sectPr>
      </w:pPr>
    </w:p>
    <w:p>
      <w:pPr>
        <w:spacing w:line="360" w:lineRule="auto"/>
        <w:rPr>
          <w:rFonts w:hint="eastAsia"/>
          <w:b/>
          <w:color w:val="auto"/>
          <w:sz w:val="28"/>
          <w:szCs w:val="28"/>
          <w:highlight w:val="none"/>
        </w:rPr>
      </w:pPr>
      <w:r>
        <w:rPr>
          <w:rFonts w:hint="eastAsia"/>
          <w:b/>
          <w:color w:val="auto"/>
          <w:sz w:val="28"/>
          <w:szCs w:val="28"/>
          <w:highlight w:val="none"/>
        </w:rPr>
        <w:t>附件1</w:t>
      </w:r>
    </w:p>
    <w:p>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pPr>
        <w:pStyle w:val="119"/>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pPr>
        <w:spacing w:line="360" w:lineRule="exact"/>
        <w:ind w:firstLine="413" w:firstLineChars="147"/>
        <w:rPr>
          <w:rFonts w:hint="eastAsia"/>
          <w:b/>
          <w:color w:val="auto"/>
          <w:sz w:val="28"/>
          <w:szCs w:val="28"/>
          <w:highlight w:val="none"/>
          <w:u w:val="single"/>
        </w:rPr>
      </w:pPr>
    </w:p>
    <w:p>
      <w:pPr>
        <w:spacing w:line="360" w:lineRule="exact"/>
        <w:ind w:firstLine="413" w:firstLineChars="147"/>
        <w:rPr>
          <w:rFonts w:hint="eastAsia"/>
          <w:b/>
          <w:color w:val="auto"/>
          <w:sz w:val="28"/>
          <w:szCs w:val="28"/>
          <w:highlight w:val="none"/>
          <w:u w:val="single"/>
        </w:rPr>
      </w:pPr>
    </w:p>
    <w:p>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pPr>
        <w:spacing w:line="360" w:lineRule="auto"/>
        <w:jc w:val="center"/>
        <w:rPr>
          <w:rFonts w:hint="eastAsia"/>
          <w:b/>
          <w:color w:val="auto"/>
          <w:sz w:val="28"/>
          <w:szCs w:val="28"/>
          <w:highlight w:val="none"/>
        </w:rPr>
      </w:pPr>
      <w:bookmarkStart w:id="72" w:name="_Toc449028950"/>
      <w:bookmarkStart w:id="73" w:name="_Toc440443268"/>
      <w:r>
        <w:rPr>
          <w:rFonts w:hint="eastAsia"/>
          <w:b/>
          <w:color w:val="auto"/>
          <w:sz w:val="28"/>
          <w:szCs w:val="28"/>
          <w:highlight w:val="none"/>
        </w:rPr>
        <w:t>诚信投标承诺书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 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pPr>
        <w:spacing w:line="500" w:lineRule="exact"/>
        <w:ind w:firstLine="420" w:firstLineChars="200"/>
        <w:rPr>
          <w:rFonts w:hint="eastAsia" w:ascii="宋体" w:hAnsi="宋体"/>
          <w:color w:val="auto"/>
          <w:szCs w:val="21"/>
          <w:highlight w:val="none"/>
        </w:rPr>
      </w:pPr>
    </w:p>
    <w:p>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spacing w:line="360" w:lineRule="auto"/>
        <w:jc w:val="center"/>
        <w:rPr>
          <w:rFonts w:hint="eastAsia"/>
          <w:b/>
          <w:color w:val="auto"/>
          <w:sz w:val="28"/>
          <w:szCs w:val="28"/>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rPr>
          <w:rFonts w:hint="eastAsia" w:ascii="宋体"/>
          <w:b/>
          <w:color w:val="auto"/>
          <w:sz w:val="44"/>
          <w:szCs w:val="44"/>
          <w:highlight w:val="none"/>
          <w:lang w:val="en-US" w:eastAsia="zh-CN"/>
        </w:rPr>
      </w:pPr>
      <w:r>
        <w:rPr>
          <w:rFonts w:hint="eastAsia" w:ascii="宋体"/>
          <w:b/>
          <w:color w:val="auto"/>
          <w:sz w:val="44"/>
          <w:szCs w:val="44"/>
          <w:highlight w:val="none"/>
          <w:lang w:val="en-US" w:eastAsia="zh-CN"/>
        </w:rPr>
        <w:br w:type="page"/>
      </w:r>
    </w:p>
    <w:p>
      <w:pPr>
        <w:jc w:val="center"/>
        <w:rPr>
          <w:rFonts w:hint="eastAsia" w:ascii="宋体"/>
          <w:b/>
          <w:color w:val="auto"/>
          <w:sz w:val="44"/>
          <w:szCs w:val="44"/>
          <w:highlight w:val="none"/>
          <w:lang w:val="en-US" w:eastAsia="zh-CN"/>
        </w:rPr>
      </w:pPr>
    </w:p>
    <w:p>
      <w:pPr>
        <w:jc w:val="both"/>
        <w:rPr>
          <w:rFonts w:hint="eastAsia" w:ascii="宋体"/>
          <w:b/>
          <w:color w:val="auto"/>
          <w:sz w:val="44"/>
          <w:szCs w:val="44"/>
          <w:highlight w:val="none"/>
          <w:lang w:val="en-US" w:eastAsia="zh-CN"/>
        </w:rPr>
      </w:pPr>
    </w:p>
    <w:p>
      <w:pPr>
        <w:jc w:val="center"/>
        <w:rPr>
          <w:rFonts w:hint="eastAsia" w:ascii="宋体"/>
          <w:b/>
          <w:color w:val="auto"/>
          <w:sz w:val="44"/>
          <w:szCs w:val="44"/>
          <w:highlight w:val="none"/>
        </w:rPr>
      </w:pPr>
      <w:r>
        <w:rPr>
          <w:rFonts w:hint="eastAsia" w:ascii="宋体"/>
          <w:b/>
          <w:color w:val="auto"/>
          <w:sz w:val="44"/>
          <w:szCs w:val="44"/>
          <w:highlight w:val="none"/>
          <w:lang w:val="en-US" w:eastAsia="zh-CN"/>
        </w:rPr>
        <w:t>技术标</w:t>
      </w:r>
      <w:r>
        <w:rPr>
          <w:rFonts w:hint="eastAsia" w:ascii="宋体"/>
          <w:b/>
          <w:color w:val="auto"/>
          <w:sz w:val="44"/>
          <w:szCs w:val="44"/>
          <w:highlight w:val="none"/>
        </w:rPr>
        <w:t>文件</w:t>
      </w:r>
    </w:p>
    <w:p>
      <w:pPr>
        <w:jc w:val="center"/>
        <w:rPr>
          <w:rFonts w:hint="eastAsia" w:eastAsia="黑体"/>
          <w:color w:val="auto"/>
          <w:sz w:val="44"/>
          <w:szCs w:val="44"/>
          <w:highlight w:val="none"/>
        </w:rPr>
      </w:pPr>
    </w:p>
    <w:p>
      <w:pPr>
        <w:jc w:val="center"/>
        <w:rPr>
          <w:rFonts w:hint="eastAsia" w:eastAsia="黑体"/>
          <w:color w:val="auto"/>
          <w:sz w:val="44"/>
          <w:szCs w:val="44"/>
          <w:highlight w:val="none"/>
        </w:rPr>
      </w:pPr>
    </w:p>
    <w:p>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u w:val="single"/>
          <w:lang w:val="en-US" w:eastAsia="zh-CN"/>
        </w:rPr>
        <w:t xml:space="preserve">     </w:t>
      </w:r>
      <w:r>
        <w:rPr>
          <w:rFonts w:hint="eastAsia" w:ascii="宋体"/>
          <w:color w:val="auto"/>
          <w:sz w:val="32"/>
          <w:szCs w:val="32"/>
          <w:highlight w:val="none"/>
          <w:u w:val="single"/>
        </w:rPr>
        <w:t xml:space="preserve">      </w:t>
      </w:r>
      <w:r>
        <w:rPr>
          <w:rFonts w:hint="eastAsia" w:ascii="宋体"/>
          <w:color w:val="auto"/>
          <w:sz w:val="32"/>
          <w:szCs w:val="32"/>
          <w:highlight w:val="none"/>
        </w:rPr>
        <w:t>项目</w:t>
      </w:r>
    </w:p>
    <w:p>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pPr>
        <w:spacing w:line="720" w:lineRule="auto"/>
        <w:jc w:val="center"/>
        <w:rPr>
          <w:rFonts w:hint="eastAsia" w:ascii="宋体"/>
          <w:b/>
          <w:color w:val="auto"/>
          <w:sz w:val="36"/>
          <w:szCs w:val="36"/>
          <w:highlight w:val="none"/>
        </w:rPr>
      </w:pPr>
    </w:p>
    <w:p>
      <w:pPr>
        <w:spacing w:line="400" w:lineRule="exact"/>
        <w:ind w:firstLine="4130" w:firstLineChars="935"/>
        <w:rPr>
          <w:rFonts w:hint="eastAsia"/>
          <w:b/>
          <w:color w:val="auto"/>
          <w:sz w:val="44"/>
          <w:szCs w:val="44"/>
          <w:highlight w:val="none"/>
        </w:rPr>
      </w:pPr>
    </w:p>
    <w:p>
      <w:pPr>
        <w:rPr>
          <w:rFonts w:hint="eastAsia"/>
          <w:color w:val="auto"/>
        </w:rPr>
      </w:pPr>
      <w:r>
        <w:rPr>
          <w:rFonts w:hint="eastAsia"/>
          <w:b/>
          <w:color w:val="auto"/>
          <w:sz w:val="44"/>
          <w:szCs w:val="44"/>
          <w:highlight w:val="none"/>
        </w:rPr>
        <w:br w:type="page"/>
      </w:r>
    </w:p>
    <w:p>
      <w:pPr>
        <w:spacing w:line="400" w:lineRule="exact"/>
        <w:ind w:firstLine="4130" w:firstLineChars="935"/>
        <w:rPr>
          <w:rFonts w:hint="eastAsia"/>
          <w:b/>
          <w:color w:val="auto"/>
          <w:sz w:val="44"/>
          <w:szCs w:val="44"/>
          <w:highlight w:val="none"/>
        </w:rPr>
      </w:pPr>
    </w:p>
    <w:p>
      <w:pPr>
        <w:jc w:val="center"/>
        <w:rPr>
          <w:rFonts w:hint="eastAsia"/>
          <w:b/>
          <w:color w:val="auto"/>
          <w:sz w:val="44"/>
          <w:szCs w:val="44"/>
          <w:highlight w:val="none"/>
        </w:rPr>
      </w:pPr>
      <w:r>
        <w:rPr>
          <w:rFonts w:hint="eastAsia"/>
          <w:b/>
          <w:color w:val="auto"/>
          <w:sz w:val="36"/>
          <w:szCs w:val="36"/>
          <w:highlight w:val="none"/>
        </w:rPr>
        <w:t>目   录</w:t>
      </w:r>
    </w:p>
    <w:p>
      <w:pPr>
        <w:spacing w:line="400" w:lineRule="exact"/>
        <w:ind w:firstLine="562" w:firstLineChars="200"/>
        <w:rPr>
          <w:rFonts w:hint="eastAsia"/>
          <w:b/>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cs="Times New Roman"/>
          <w:color w:val="auto"/>
          <w:szCs w:val="21"/>
          <w:highlight w:val="none"/>
          <w:lang w:eastAsia="zh-CN"/>
        </w:rPr>
      </w:pPr>
      <w:r>
        <w:rPr>
          <w:rFonts w:hint="eastAsia" w:ascii="宋体" w:hAnsi="Times New Roman" w:eastAsia="宋体" w:cs="Times New Roman"/>
          <w:color w:val="auto"/>
          <w:szCs w:val="21"/>
          <w:highlight w:val="none"/>
          <w:lang w:eastAsia="zh-CN"/>
        </w:rPr>
        <w:t>（</w:t>
      </w:r>
      <w:r>
        <w:rPr>
          <w:rFonts w:hint="eastAsia" w:ascii="宋体" w:cs="Times New Roman"/>
          <w:color w:val="auto"/>
          <w:szCs w:val="21"/>
          <w:highlight w:val="none"/>
          <w:lang w:val="en-US" w:eastAsia="zh-CN"/>
        </w:rPr>
        <w:t>1</w:t>
      </w:r>
      <w:r>
        <w:rPr>
          <w:rFonts w:hint="eastAsia" w:ascii="宋体" w:hAnsi="Times New Roman" w:eastAsia="宋体" w:cs="Times New Roman"/>
          <w:color w:val="auto"/>
          <w:szCs w:val="21"/>
          <w:highlight w:val="none"/>
          <w:lang w:val="en-US" w:eastAsia="zh-CN"/>
        </w:rPr>
        <w:t>）</w:t>
      </w:r>
      <w:r>
        <w:rPr>
          <w:rFonts w:hint="eastAsia" w:ascii="宋体" w:hAnsi="Times New Roman" w:eastAsia="宋体" w:cs="Times New Roman"/>
          <w:color w:val="auto"/>
          <w:szCs w:val="21"/>
          <w:highlight w:val="none"/>
        </w:rPr>
        <w:t>服务承诺：是否响应招标文件要求的书面说明和服务承诺书（格式见附件）</w:t>
      </w:r>
      <w:r>
        <w:rPr>
          <w:rFonts w:hint="eastAsia" w:ascii="宋体" w:cs="Times New Roman"/>
          <w:color w:val="auto"/>
          <w:szCs w:val="21"/>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420" w:firstLineChars="200"/>
        <w:jc w:val="left"/>
        <w:textAlignment w:val="auto"/>
        <w:rPr>
          <w:rFonts w:hint="default"/>
          <w:color w:val="auto"/>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2）招标文件中要求的技术标评分支持资料（复印件加盖单位公章）。</w:t>
      </w:r>
    </w:p>
    <w:p>
      <w:pPr>
        <w:spacing w:line="588" w:lineRule="exact"/>
        <w:rPr>
          <w:color w:val="auto"/>
          <w:highlight w:val="none"/>
        </w:rPr>
      </w:pPr>
    </w:p>
    <w:p>
      <w:pPr>
        <w:spacing w:line="360" w:lineRule="exact"/>
        <w:rPr>
          <w:rFonts w:hint="eastAsia" w:ascii="宋体"/>
          <w:b/>
          <w:color w:val="auto"/>
          <w:sz w:val="30"/>
          <w:szCs w:val="30"/>
          <w:highlight w:val="none"/>
        </w:rPr>
      </w:pPr>
    </w:p>
    <w:bookmarkEnd w:id="72"/>
    <w:bookmarkEnd w:id="73"/>
    <w:p>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1</w:t>
      </w:r>
    </w:p>
    <w:p>
      <w:pPr>
        <w:jc w:val="center"/>
        <w:rPr>
          <w:rFonts w:hint="eastAsia" w:ascii="宋体"/>
          <w:b/>
          <w:color w:val="auto"/>
          <w:sz w:val="30"/>
          <w:szCs w:val="30"/>
          <w:highlight w:val="none"/>
        </w:rPr>
      </w:pPr>
      <w:r>
        <w:rPr>
          <w:rFonts w:hint="eastAsia" w:ascii="宋体"/>
          <w:b/>
          <w:color w:val="auto"/>
          <w:sz w:val="30"/>
          <w:szCs w:val="30"/>
          <w:highlight w:val="none"/>
        </w:rPr>
        <w:t>服务承诺书</w:t>
      </w:r>
    </w:p>
    <w:p>
      <w:pPr>
        <w:ind w:firstLine="480" w:firstLineChars="200"/>
        <w:rPr>
          <w:rFonts w:hint="eastAsia" w:ascii="宋体"/>
          <w:color w:val="auto"/>
          <w:sz w:val="24"/>
          <w:highlight w:val="none"/>
        </w:rPr>
      </w:pPr>
    </w:p>
    <w:p>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pPr>
        <w:spacing w:line="600" w:lineRule="exact"/>
        <w:rPr>
          <w:rFonts w:hint="eastAsia" w:ascii="宋体"/>
          <w:color w:val="auto"/>
          <w:sz w:val="24"/>
          <w:highlight w:val="none"/>
        </w:rPr>
      </w:pPr>
      <w:r>
        <w:rPr>
          <w:rFonts w:hint="eastAsia" w:ascii="宋体"/>
          <w:color w:val="auto"/>
          <w:sz w:val="24"/>
          <w:highlight w:val="none"/>
        </w:rPr>
        <w:t> </w:t>
      </w:r>
    </w:p>
    <w:p>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pPr>
        <w:pStyle w:val="17"/>
        <w:rPr>
          <w:color w:val="auto"/>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b/>
          <w:color w:val="auto"/>
          <w:sz w:val="28"/>
          <w:szCs w:val="28"/>
          <w:highlight w:val="none"/>
        </w:rPr>
      </w:pPr>
    </w:p>
    <w:p>
      <w:pPr>
        <w:spacing w:line="400" w:lineRule="exact"/>
        <w:ind w:firstLine="562" w:firstLineChars="200"/>
        <w:rPr>
          <w:b/>
          <w:color w:val="auto"/>
          <w:sz w:val="28"/>
          <w:szCs w:val="28"/>
          <w:highlight w:val="none"/>
        </w:rPr>
      </w:pPr>
    </w:p>
    <w:p>
      <w:pPr>
        <w:spacing w:line="400" w:lineRule="exact"/>
        <w:ind w:firstLine="562" w:firstLineChars="200"/>
        <w:rPr>
          <w:b/>
          <w:color w:val="auto"/>
          <w:sz w:val="28"/>
          <w:szCs w:val="28"/>
          <w:highlight w:val="none"/>
        </w:rPr>
      </w:pPr>
    </w:p>
    <w:p>
      <w:pPr>
        <w:pStyle w:val="2"/>
        <w:rPr>
          <w:color w:val="auto"/>
        </w:rPr>
      </w:pPr>
    </w:p>
    <w:p>
      <w:pPr>
        <w:spacing w:line="400" w:lineRule="exact"/>
        <w:ind w:firstLine="562" w:firstLineChars="200"/>
        <w:rPr>
          <w:rFonts w:hint="eastAsia"/>
          <w:b/>
          <w:color w:val="auto"/>
          <w:sz w:val="28"/>
          <w:szCs w:val="28"/>
          <w:highlight w:val="none"/>
        </w:rPr>
      </w:pPr>
    </w:p>
    <w:p>
      <w:pPr>
        <w:jc w:val="center"/>
        <w:rPr>
          <w:rFonts w:hint="eastAsia" w:ascii="宋体"/>
          <w:b/>
          <w:color w:val="auto"/>
          <w:sz w:val="44"/>
          <w:szCs w:val="44"/>
          <w:highlight w:val="none"/>
        </w:rPr>
      </w:pPr>
      <w:r>
        <w:rPr>
          <w:rFonts w:hint="eastAsia" w:ascii="宋体"/>
          <w:b/>
          <w:color w:val="auto"/>
          <w:sz w:val="44"/>
          <w:szCs w:val="44"/>
          <w:highlight w:val="none"/>
          <w:lang w:val="en-US" w:eastAsia="zh-CN"/>
        </w:rPr>
        <w:t>商务标</w:t>
      </w:r>
      <w:r>
        <w:rPr>
          <w:rFonts w:hint="eastAsia" w:ascii="宋体"/>
          <w:b/>
          <w:color w:val="auto"/>
          <w:sz w:val="44"/>
          <w:szCs w:val="44"/>
          <w:highlight w:val="none"/>
        </w:rPr>
        <w:t>文件</w:t>
      </w:r>
    </w:p>
    <w:p>
      <w:pPr>
        <w:jc w:val="center"/>
        <w:rPr>
          <w:rFonts w:hint="eastAsia" w:eastAsia="黑体"/>
          <w:color w:val="auto"/>
          <w:sz w:val="44"/>
          <w:szCs w:val="44"/>
          <w:highlight w:val="none"/>
        </w:rPr>
      </w:pPr>
    </w:p>
    <w:p>
      <w:pPr>
        <w:jc w:val="center"/>
        <w:rPr>
          <w:rFonts w:hint="eastAsia" w:eastAsia="黑体"/>
          <w:color w:val="auto"/>
          <w:sz w:val="44"/>
          <w:szCs w:val="44"/>
          <w:highlight w:val="none"/>
        </w:rPr>
      </w:pPr>
    </w:p>
    <w:p>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pStyle w:val="2"/>
        <w:rPr>
          <w:rFonts w:hint="eastAsia" w:ascii="宋体"/>
          <w:color w:val="auto"/>
          <w:sz w:val="28"/>
          <w:szCs w:val="28"/>
          <w:highlight w:val="none"/>
        </w:rPr>
      </w:pPr>
    </w:p>
    <w:p>
      <w:pPr>
        <w:pStyle w:val="5"/>
        <w:rPr>
          <w:rFonts w:hint="eastAsia"/>
          <w:color w:val="auto"/>
        </w:rPr>
      </w:pPr>
    </w:p>
    <w:p>
      <w:pPr>
        <w:rPr>
          <w:rFonts w:hint="eastAsia" w:ascii="宋体"/>
          <w:color w:val="auto"/>
          <w:sz w:val="28"/>
          <w:szCs w:val="28"/>
          <w:highlight w:val="none"/>
        </w:rPr>
      </w:pPr>
    </w:p>
    <w:p>
      <w:pPr>
        <w:rPr>
          <w:rFonts w:hint="eastAsia" w:ascii="宋体"/>
          <w:color w:val="auto"/>
          <w:sz w:val="28"/>
          <w:szCs w:val="28"/>
          <w:highlight w:val="none"/>
        </w:rPr>
      </w:pPr>
    </w:p>
    <w:p>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pPr>
        <w:spacing w:line="400" w:lineRule="exact"/>
        <w:rPr>
          <w:rFonts w:hint="eastAsia"/>
          <w:b/>
          <w:color w:val="auto"/>
          <w:sz w:val="44"/>
          <w:szCs w:val="44"/>
          <w:highlight w:val="none"/>
        </w:rPr>
      </w:pPr>
    </w:p>
    <w:p>
      <w:pPr>
        <w:spacing w:line="400" w:lineRule="exact"/>
        <w:ind w:firstLine="4130" w:firstLineChars="935"/>
        <w:rPr>
          <w:rFonts w:hint="eastAsia"/>
          <w:b/>
          <w:color w:val="auto"/>
          <w:sz w:val="44"/>
          <w:szCs w:val="44"/>
          <w:highlight w:val="none"/>
        </w:rPr>
      </w:pPr>
    </w:p>
    <w:p>
      <w:pPr>
        <w:jc w:val="center"/>
        <w:rPr>
          <w:rFonts w:hint="eastAsia"/>
          <w:b/>
          <w:color w:val="auto"/>
          <w:sz w:val="44"/>
          <w:szCs w:val="44"/>
          <w:highlight w:val="none"/>
        </w:rPr>
      </w:pPr>
      <w:r>
        <w:rPr>
          <w:rFonts w:hint="eastAsia"/>
          <w:b/>
          <w:color w:val="auto"/>
          <w:sz w:val="36"/>
          <w:szCs w:val="36"/>
          <w:highlight w:val="none"/>
        </w:rPr>
        <w:t>目   录</w:t>
      </w:r>
    </w:p>
    <w:p>
      <w:pPr>
        <w:spacing w:line="400" w:lineRule="exact"/>
        <w:ind w:firstLine="562" w:firstLineChars="200"/>
        <w:rPr>
          <w:rFonts w:hint="eastAsia"/>
          <w:b/>
          <w:color w:val="auto"/>
          <w:sz w:val="28"/>
          <w:szCs w:val="28"/>
          <w:highlight w:val="none"/>
        </w:rPr>
      </w:pPr>
    </w:p>
    <w:p>
      <w:pPr>
        <w:spacing w:line="440" w:lineRule="exact"/>
        <w:ind w:left="420"/>
        <w:rPr>
          <w:rFonts w:hint="eastAsia" w:ascii="宋体"/>
          <w:color w:val="auto"/>
          <w:szCs w:val="21"/>
          <w:highlight w:val="none"/>
        </w:rPr>
      </w:pPr>
      <w:r>
        <w:rPr>
          <w:rFonts w:hint="eastAsia" w:ascii="宋体"/>
          <w:color w:val="auto"/>
          <w:szCs w:val="21"/>
          <w:highlight w:val="none"/>
        </w:rPr>
        <w:t>（</w:t>
      </w:r>
      <w:r>
        <w:rPr>
          <w:rFonts w:hint="eastAsia" w:ascii="宋体"/>
          <w:color w:val="auto"/>
          <w:szCs w:val="21"/>
          <w:highlight w:val="none"/>
          <w:lang w:val="en-US" w:eastAsia="zh-CN"/>
        </w:rPr>
        <w:t>1</w:t>
      </w:r>
      <w:r>
        <w:rPr>
          <w:rFonts w:hint="eastAsia" w:ascii="宋体"/>
          <w:color w:val="auto"/>
          <w:szCs w:val="21"/>
          <w:highlight w:val="none"/>
        </w:rPr>
        <w:t>）开标一览表（格式见附件）；</w:t>
      </w:r>
    </w:p>
    <w:p>
      <w:pPr>
        <w:spacing w:line="440" w:lineRule="exact"/>
        <w:ind w:left="420"/>
        <w:rPr>
          <w:rFonts w:hint="eastAsia" w:ascii="宋体"/>
          <w:color w:val="auto"/>
          <w:szCs w:val="21"/>
          <w:highlight w:val="none"/>
        </w:rPr>
      </w:pPr>
      <w:r>
        <w:rPr>
          <w:rFonts w:hint="eastAsia" w:ascii="宋体"/>
          <w:color w:val="auto"/>
          <w:szCs w:val="21"/>
          <w:highlight w:val="none"/>
        </w:rPr>
        <w:t>（</w:t>
      </w:r>
      <w:r>
        <w:rPr>
          <w:rFonts w:hint="eastAsia" w:ascii="宋体"/>
          <w:color w:val="auto"/>
          <w:szCs w:val="21"/>
          <w:highlight w:val="none"/>
          <w:lang w:val="en-US" w:eastAsia="zh-CN"/>
        </w:rPr>
        <w:t>2</w:t>
      </w:r>
      <w:r>
        <w:rPr>
          <w:rFonts w:hint="eastAsia" w:ascii="宋体"/>
          <w:color w:val="auto"/>
          <w:szCs w:val="21"/>
          <w:highlight w:val="none"/>
        </w:rPr>
        <w:t>）投标函（格式见附件）；</w:t>
      </w:r>
    </w:p>
    <w:p>
      <w:pPr>
        <w:spacing w:line="500" w:lineRule="exact"/>
        <w:ind w:firstLine="420" w:firstLineChars="200"/>
        <w:jc w:val="left"/>
        <w:rPr>
          <w:rFonts w:hint="eastAsia" w:ascii="宋体" w:hAnsi="Times New Roman" w:eastAsia="宋体" w:cs="Times New Roman"/>
          <w:color w:val="auto"/>
          <w:szCs w:val="21"/>
          <w:highlight w:val="none"/>
        </w:rPr>
      </w:pPr>
    </w:p>
    <w:p>
      <w:pPr>
        <w:spacing w:line="400" w:lineRule="exact"/>
        <w:rPr>
          <w:b/>
          <w:color w:val="auto"/>
          <w:sz w:val="28"/>
          <w:szCs w:val="28"/>
          <w:highlight w:val="none"/>
        </w:rPr>
        <w:sectPr>
          <w:pgSz w:w="11906" w:h="16838"/>
          <w:pgMar w:top="1440" w:right="1800" w:bottom="1440" w:left="1800" w:header="851" w:footer="992" w:gutter="0"/>
          <w:pgNumType w:fmt="numberInDash"/>
          <w:cols w:space="720" w:num="1"/>
          <w:docGrid w:type="lines" w:linePitch="312" w:charSpace="0"/>
        </w:sectPr>
      </w:pPr>
    </w:p>
    <w:p>
      <w:pPr>
        <w:spacing w:line="360" w:lineRule="exact"/>
        <w:ind w:firstLine="443" w:firstLineChars="147"/>
        <w:rPr>
          <w:rFonts w:hint="eastAsia" w:ascii="宋体" w:hAnsi="宋体" w:eastAsia="宋体"/>
          <w:b/>
          <w:color w:val="auto"/>
          <w:sz w:val="30"/>
          <w:szCs w:val="30"/>
          <w:highlight w:val="none"/>
          <w:lang w:val="en-US"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1</w:t>
      </w:r>
    </w:p>
    <w:p>
      <w:pPr>
        <w:spacing w:line="360" w:lineRule="exact"/>
        <w:ind w:firstLine="472" w:firstLineChars="147"/>
        <w:jc w:val="center"/>
        <w:rPr>
          <w:rFonts w:hint="eastAsia" w:ascii="宋体"/>
          <w:b/>
          <w:color w:val="auto"/>
          <w:sz w:val="32"/>
          <w:szCs w:val="32"/>
          <w:highlight w:val="none"/>
        </w:rPr>
      </w:pPr>
    </w:p>
    <w:p>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开标一览表</w:t>
      </w:r>
    </w:p>
    <w:p>
      <w:pPr>
        <w:spacing w:line="360" w:lineRule="exact"/>
        <w:ind w:firstLine="354" w:firstLineChars="147"/>
        <w:rPr>
          <w:rFonts w:hint="eastAsia" w:ascii="宋体"/>
          <w:b/>
          <w:color w:val="auto"/>
          <w:sz w:val="24"/>
          <w:highlight w:val="none"/>
        </w:rPr>
      </w:pPr>
    </w:p>
    <w:p>
      <w:pPr>
        <w:spacing w:line="360" w:lineRule="exact"/>
        <w:ind w:firstLine="240" w:firstLineChars="100"/>
        <w:rPr>
          <w:rFonts w:hint="eastAsia" w:ascii="宋体"/>
          <w:color w:val="auto"/>
          <w:sz w:val="24"/>
          <w:highlight w:val="none"/>
        </w:rPr>
      </w:pPr>
      <w:r>
        <w:rPr>
          <w:rFonts w:hint="eastAsia" w:ascii="宋体"/>
          <w:color w:val="auto"/>
          <w:sz w:val="24"/>
          <w:highlight w:val="none"/>
        </w:rPr>
        <w:t>（注：开标一览表必须编入投标文件，唱标时，以投标文件中的开标一览表进行唱标）</w:t>
      </w:r>
    </w:p>
    <w:p>
      <w:pPr>
        <w:snapToGrid w:val="0"/>
        <w:spacing w:line="460" w:lineRule="exact"/>
        <w:ind w:left="2940" w:leftChars="1400" w:firstLine="720" w:firstLineChars="300"/>
        <w:rPr>
          <w:rFonts w:hint="eastAsia" w:ascii="宋体"/>
          <w:color w:val="auto"/>
          <w:sz w:val="24"/>
          <w:highlight w:val="none"/>
        </w:rPr>
      </w:pPr>
    </w:p>
    <w:tbl>
      <w:tblPr>
        <w:tblStyle w:val="3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trPr>
        <w:tc>
          <w:tcPr>
            <w:tcW w:w="1803" w:type="dxa"/>
            <w:tcBorders>
              <w:top w:val="single" w:color="auto" w:sz="12" w:space="0"/>
              <w:bottom w:val="single" w:color="auto" w:sz="12" w:space="0"/>
              <w:right w:val="single" w:color="auto" w:sz="12" w:space="0"/>
            </w:tcBorders>
            <w:noWrap w:val="0"/>
            <w:vAlign w:val="center"/>
          </w:tcPr>
          <w:p>
            <w:pPr>
              <w:spacing w:line="460" w:lineRule="exact"/>
              <w:jc w:val="center"/>
              <w:rPr>
                <w:rFonts w:hint="eastAsia" w:ascii="宋体"/>
                <w:color w:val="auto"/>
                <w:sz w:val="24"/>
                <w:highlight w:val="none"/>
              </w:rPr>
            </w:pPr>
            <w:r>
              <w:rPr>
                <w:rFonts w:hint="eastAsia" w:ascii="宋体"/>
                <w:color w:val="auto"/>
                <w:sz w:val="24"/>
                <w:highlight w:val="none"/>
              </w:rPr>
              <w:t>项目名称</w:t>
            </w:r>
          </w:p>
        </w:tc>
        <w:tc>
          <w:tcPr>
            <w:tcW w:w="6952" w:type="dxa"/>
            <w:tcBorders>
              <w:top w:val="single" w:color="auto" w:sz="12" w:space="0"/>
              <w:left w:val="single" w:color="auto" w:sz="12" w:space="0"/>
              <w:bottom w:val="single" w:color="auto" w:sz="12" w:space="0"/>
            </w:tcBorders>
            <w:noWrap w:val="0"/>
            <w:vAlign w:val="center"/>
          </w:tcPr>
          <w:p>
            <w:pPr>
              <w:spacing w:line="360" w:lineRule="auto"/>
              <w:jc w:val="left"/>
              <w:rPr>
                <w:rFonts w:hint="eastAsia"/>
                <w:color w:val="auto"/>
                <w:sz w:val="24"/>
                <w:highlight w:val="none"/>
              </w:rPr>
            </w:pPr>
            <w:r>
              <w:rPr>
                <w:rFonts w:hint="eastAsia"/>
                <w:color w:val="auto"/>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trPr>
        <w:tc>
          <w:tcPr>
            <w:tcW w:w="1803" w:type="dxa"/>
            <w:tcBorders>
              <w:top w:val="single" w:color="auto" w:sz="12" w:space="0"/>
              <w:right w:val="single" w:color="auto" w:sz="12" w:space="0"/>
            </w:tcBorders>
            <w:noWrap w:val="0"/>
            <w:vAlign w:val="center"/>
          </w:tcPr>
          <w:p>
            <w:pPr>
              <w:spacing w:line="460" w:lineRule="exact"/>
              <w:jc w:val="center"/>
              <w:rPr>
                <w:rFonts w:hint="eastAsia" w:ascii="宋体"/>
                <w:color w:val="auto"/>
                <w:sz w:val="24"/>
                <w:highlight w:val="none"/>
              </w:rPr>
            </w:pPr>
            <w:r>
              <w:rPr>
                <w:rFonts w:hint="eastAsia" w:ascii="宋体"/>
                <w:color w:val="auto"/>
                <w:sz w:val="24"/>
                <w:highlight w:val="none"/>
              </w:rPr>
              <w:t>项目编号</w:t>
            </w:r>
          </w:p>
        </w:tc>
        <w:tc>
          <w:tcPr>
            <w:tcW w:w="6952" w:type="dxa"/>
            <w:tcBorders>
              <w:top w:val="single" w:color="auto" w:sz="12" w:space="0"/>
              <w:left w:val="single" w:color="auto" w:sz="12" w:space="0"/>
            </w:tcBorders>
            <w:noWrap w:val="0"/>
            <w:vAlign w:val="center"/>
          </w:tcPr>
          <w:p>
            <w:pPr>
              <w:rPr>
                <w:rFonts w:hint="eastAsia" w:ascii="宋体"/>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trPr>
        <w:tc>
          <w:tcPr>
            <w:tcW w:w="1803" w:type="dxa"/>
            <w:tcBorders>
              <w:right w:val="single" w:color="auto" w:sz="12" w:space="0"/>
            </w:tcBorders>
            <w:noWrap w:val="0"/>
            <w:vAlign w:val="center"/>
          </w:tcPr>
          <w:p>
            <w:pPr>
              <w:spacing w:line="460" w:lineRule="exact"/>
              <w:ind w:firstLine="120" w:firstLineChars="50"/>
              <w:rPr>
                <w:rFonts w:hint="eastAsia" w:ascii="宋体"/>
                <w:color w:val="auto"/>
                <w:sz w:val="24"/>
                <w:highlight w:val="none"/>
              </w:rPr>
            </w:pPr>
            <w:r>
              <w:rPr>
                <w:rFonts w:hint="eastAsia" w:ascii="宋体"/>
                <w:color w:val="auto"/>
                <w:sz w:val="24"/>
                <w:highlight w:val="none"/>
              </w:rPr>
              <w:t>投标人名称</w:t>
            </w:r>
          </w:p>
        </w:tc>
        <w:tc>
          <w:tcPr>
            <w:tcW w:w="6952" w:type="dxa"/>
            <w:tcBorders>
              <w:left w:val="single" w:color="auto" w:sz="12" w:space="0"/>
            </w:tcBorders>
            <w:noWrap w:val="0"/>
            <w:vAlign w:val="top"/>
          </w:tcPr>
          <w:p>
            <w:pPr>
              <w:pStyle w:val="20"/>
              <w:spacing w:line="460" w:lineRule="exact"/>
              <w:ind w:left="86" w:leftChars="41"/>
              <w:rPr>
                <w:rFonts w:hint="eastAsia" w:ascii="宋体" w:eastAsia="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trPr>
        <w:tc>
          <w:tcPr>
            <w:tcW w:w="1803" w:type="dxa"/>
            <w:tcBorders>
              <w:right w:val="single" w:color="auto" w:sz="12" w:space="0"/>
            </w:tcBorders>
            <w:noWrap w:val="0"/>
            <w:vAlign w:val="center"/>
          </w:tcPr>
          <w:p>
            <w:pPr>
              <w:spacing w:line="360" w:lineRule="auto"/>
              <w:jc w:val="center"/>
              <w:rPr>
                <w:rFonts w:ascii="宋体"/>
                <w:color w:val="auto"/>
                <w:sz w:val="24"/>
                <w:highlight w:val="none"/>
              </w:rPr>
            </w:pPr>
            <w:r>
              <w:rPr>
                <w:rFonts w:hint="eastAsia" w:ascii="宋体"/>
                <w:color w:val="auto"/>
                <w:sz w:val="24"/>
                <w:highlight w:val="none"/>
              </w:rPr>
              <w:t>总投标价\</w:t>
            </w:r>
            <w:r>
              <w:rPr>
                <w:rFonts w:hint="eastAsia" w:ascii="宋体"/>
                <w:color w:val="auto"/>
                <w:sz w:val="24"/>
                <w:highlight w:val="none"/>
                <w:lang w:val="en-US" w:eastAsia="zh-CN"/>
              </w:rPr>
              <w:t>服务</w:t>
            </w:r>
            <w:r>
              <w:rPr>
                <w:rFonts w:hint="eastAsia" w:ascii="宋体"/>
                <w:color w:val="auto"/>
                <w:sz w:val="24"/>
                <w:highlight w:val="none"/>
              </w:rPr>
              <w:t>期</w:t>
            </w:r>
          </w:p>
        </w:tc>
        <w:tc>
          <w:tcPr>
            <w:tcW w:w="6952" w:type="dxa"/>
            <w:tcBorders>
              <w:lef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color w:val="auto"/>
                <w:sz w:val="24"/>
                <w:highlight w:val="none"/>
              </w:rPr>
            </w:pPr>
            <w:r>
              <w:rPr>
                <w:rFonts w:hint="eastAsia" w:ascii="宋体"/>
                <w:color w:val="auto"/>
                <w:sz w:val="24"/>
                <w:highlight w:val="none"/>
              </w:rPr>
              <w:t>投标报价 （大写）：</w:t>
            </w:r>
            <w:r>
              <w:rPr>
                <w:rFonts w:hint="eastAsia" w:ascii="宋体"/>
                <w:color w:val="auto"/>
                <w:sz w:val="24"/>
                <w:highlight w:val="none"/>
                <w:u w:val="single"/>
              </w:rPr>
              <w:t xml:space="preserve">                   </w:t>
            </w:r>
            <w:r>
              <w:rPr>
                <w:rFonts w:hint="eastAsia" w:ascii="宋体"/>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900" w:lineRule="exact"/>
              <w:ind w:firstLine="1200" w:firstLineChars="500"/>
              <w:textAlignment w:val="auto"/>
              <w:rPr>
                <w:rFonts w:hint="eastAsia" w:ascii="宋体"/>
                <w:color w:val="auto"/>
                <w:sz w:val="24"/>
                <w:highlight w:val="none"/>
              </w:rPr>
            </w:pPr>
            <w:r>
              <w:rPr>
                <w:rFonts w:hint="eastAsia" w:ascii="宋体"/>
                <w:color w:val="auto"/>
                <w:sz w:val="24"/>
                <w:highlight w:val="none"/>
              </w:rPr>
              <w:t>(小写) ：</w:t>
            </w:r>
            <w:r>
              <w:rPr>
                <w:rFonts w:hint="eastAsia" w:ascii="宋体"/>
                <w:color w:val="auto"/>
                <w:sz w:val="24"/>
                <w:highlight w:val="none"/>
                <w:u w:val="single"/>
              </w:rPr>
              <w:t xml:space="preserve">                   </w:t>
            </w:r>
            <w:r>
              <w:rPr>
                <w:rFonts w:hint="eastAsia" w:ascii="宋体"/>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color w:val="auto"/>
                <w:sz w:val="24"/>
                <w:highlight w:val="none"/>
              </w:rPr>
            </w:pPr>
            <w:r>
              <w:rPr>
                <w:rFonts w:hint="eastAsia" w:ascii="宋体"/>
                <w:color w:val="auto"/>
                <w:sz w:val="24"/>
                <w:highlight w:val="none"/>
                <w:lang w:val="en-US" w:eastAsia="zh-CN"/>
              </w:rPr>
              <w:t>服务期</w:t>
            </w:r>
            <w:r>
              <w:rPr>
                <w:rFonts w:hint="eastAsia" w:ascii="宋体"/>
                <w:color w:val="auto"/>
                <w:sz w:val="24"/>
                <w:highlight w:val="none"/>
              </w:rPr>
              <w:t>：</w:t>
            </w:r>
            <w:r>
              <w:rPr>
                <w:rFonts w:hint="eastAsia" w:ascii="宋体"/>
                <w:color w:val="auto"/>
                <w:sz w:val="24"/>
                <w:highlight w:val="none"/>
                <w:lang w:val="en-US" w:eastAsia="zh-CN"/>
              </w:rPr>
              <w:t xml:space="preserve"> </w:t>
            </w:r>
          </w:p>
        </w:tc>
      </w:tr>
    </w:tbl>
    <w:p>
      <w:pPr>
        <w:snapToGrid w:val="0"/>
        <w:spacing w:line="460" w:lineRule="exact"/>
        <w:ind w:left="2940" w:leftChars="1400" w:firstLine="723" w:firstLineChars="300"/>
        <w:rPr>
          <w:rFonts w:hint="eastAsia" w:ascii="宋体"/>
          <w:b/>
          <w:color w:val="auto"/>
          <w:sz w:val="24"/>
          <w:highlight w:val="none"/>
        </w:rPr>
      </w:pPr>
    </w:p>
    <w:p>
      <w:pPr>
        <w:rPr>
          <w:rFonts w:hint="eastAsia" w:ascii="宋体"/>
          <w:color w:val="auto"/>
          <w:sz w:val="24"/>
          <w:highlight w:val="none"/>
        </w:rPr>
      </w:pPr>
      <w:r>
        <w:rPr>
          <w:rFonts w:hint="eastAsia" w:ascii="宋体"/>
          <w:color w:val="auto"/>
          <w:sz w:val="24"/>
          <w:highlight w:val="none"/>
        </w:rPr>
        <w:t>法定代表人（</w:t>
      </w:r>
      <w:r>
        <w:rPr>
          <w:rFonts w:hint="eastAsia" w:ascii="宋体"/>
          <w:color w:val="auto"/>
          <w:sz w:val="24"/>
          <w:highlight w:val="none"/>
          <w:lang w:val="en-US" w:eastAsia="zh-CN"/>
        </w:rPr>
        <w:t>盖章</w:t>
      </w:r>
      <w:r>
        <w:rPr>
          <w:rFonts w:hint="eastAsia" w:ascii="宋体"/>
          <w:color w:val="auto"/>
          <w:sz w:val="24"/>
          <w:highlight w:val="none"/>
        </w:rPr>
        <w:t>）：         投标人（盖单位章）：</w:t>
      </w:r>
    </w:p>
    <w:p>
      <w:pPr>
        <w:snapToGrid w:val="0"/>
        <w:spacing w:before="312" w:beforeLines="100" w:after="312" w:afterLines="100" w:line="360" w:lineRule="auto"/>
        <w:jc w:val="center"/>
        <w:rPr>
          <w:rFonts w:cs="Arial"/>
          <w:b/>
          <w:bCs/>
          <w:color w:val="auto"/>
          <w:sz w:val="30"/>
          <w:szCs w:val="30"/>
          <w:highlight w:val="none"/>
        </w:rPr>
        <w:sectPr>
          <w:pgSz w:w="11906" w:h="16838"/>
          <w:pgMar w:top="1440" w:right="1800" w:bottom="1440" w:left="1800" w:header="851" w:footer="992" w:gutter="0"/>
          <w:pgNumType w:fmt="numberInDash"/>
          <w:cols w:space="720" w:num="1"/>
          <w:docGrid w:type="lines" w:linePitch="312" w:charSpace="0"/>
        </w:sectPr>
      </w:pPr>
      <w:r>
        <w:rPr>
          <w:rFonts w:hint="eastAsia" w:ascii="宋体"/>
          <w:color w:val="auto"/>
          <w:sz w:val="24"/>
          <w:highlight w:val="none"/>
        </w:rPr>
        <w:t xml:space="preserve">                                      日  期：</w:t>
      </w:r>
      <w:r>
        <w:rPr>
          <w:rFonts w:hint="eastAsia" w:ascii="宋体" w:hAnsi="宋体"/>
          <w:color w:val="auto"/>
          <w:sz w:val="24"/>
          <w:highlight w:val="none"/>
          <w:u w:val="single"/>
        </w:rPr>
        <w:t xml:space="preserve">      </w:t>
      </w:r>
      <w:r>
        <w:rPr>
          <w:rFonts w:hint="eastAsia" w:ascii="宋体"/>
          <w:color w:val="auto"/>
          <w:sz w:val="24"/>
          <w:highlight w:val="none"/>
        </w:rPr>
        <w:t>年</w:t>
      </w:r>
      <w:r>
        <w:rPr>
          <w:rFonts w:hint="eastAsia" w:ascii="宋体" w:hAnsi="宋体"/>
          <w:color w:val="auto"/>
          <w:sz w:val="24"/>
          <w:highlight w:val="none"/>
          <w:u w:val="single"/>
        </w:rPr>
        <w:t xml:space="preserve">   </w:t>
      </w:r>
      <w:r>
        <w:rPr>
          <w:rFonts w:hint="eastAsia" w:ascii="宋体"/>
          <w:color w:val="auto"/>
          <w:sz w:val="24"/>
          <w:highlight w:val="none"/>
        </w:rPr>
        <w:t>月</w:t>
      </w:r>
      <w:r>
        <w:rPr>
          <w:rFonts w:hint="eastAsia" w:ascii="宋体" w:hAnsi="宋体"/>
          <w:color w:val="auto"/>
          <w:sz w:val="24"/>
          <w:highlight w:val="none"/>
          <w:u w:val="single"/>
        </w:rPr>
        <w:t xml:space="preserve">   </w:t>
      </w:r>
      <w:r>
        <w:rPr>
          <w:rFonts w:hint="eastAsia" w:ascii="宋体"/>
          <w:color w:val="auto"/>
          <w:sz w:val="24"/>
          <w:highlight w:val="none"/>
        </w:rPr>
        <w:t xml:space="preserve">日 </w:t>
      </w: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hAnsi="宋体"/>
          <w:b/>
          <w:color w:val="auto"/>
          <w:sz w:val="30"/>
          <w:szCs w:val="30"/>
          <w:highlight w:val="none"/>
        </w:rPr>
      </w:pPr>
      <w:r>
        <w:rPr>
          <w:rFonts w:hint="eastAsia" w:ascii="宋体" w:hAnsi="宋体"/>
          <w:b/>
          <w:color w:val="auto"/>
          <w:sz w:val="30"/>
          <w:szCs w:val="30"/>
          <w:highlight w:val="none"/>
        </w:rPr>
        <w:t>附件2</w:t>
      </w:r>
    </w:p>
    <w:p>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pPr>
        <w:spacing w:line="440" w:lineRule="exact"/>
        <w:rPr>
          <w:rFonts w:hint="eastAsia" w:ascii="宋体"/>
          <w:color w:val="auto"/>
          <w:sz w:val="24"/>
          <w:highlight w:val="none"/>
        </w:rPr>
      </w:pPr>
    </w:p>
    <w:p>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rPr>
        <w:t>（编号：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标包”的采购。我方授权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（项目编号）”项目的货物与服务，总投标价为人民币（大写）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pPr>
        <w:spacing w:line="440" w:lineRule="exact"/>
        <w:rPr>
          <w:rFonts w:hint="eastAsia" w:ascii="宋体"/>
          <w:color w:val="auto"/>
          <w:sz w:val="24"/>
          <w:highlight w:val="none"/>
        </w:rPr>
      </w:pPr>
      <w:r>
        <w:rPr>
          <w:rFonts w:hint="eastAsia" w:ascii="宋体"/>
          <w:color w:val="auto"/>
          <w:sz w:val="24"/>
          <w:highlight w:val="none"/>
        </w:rPr>
        <w:t> </w:t>
      </w:r>
    </w:p>
    <w:p>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pPr>
        <w:spacing w:line="440" w:lineRule="exact"/>
        <w:jc w:val="right"/>
        <w:rPr>
          <w:rFonts w:hint="eastAsia" w:ascii="宋体"/>
          <w:color w:val="auto"/>
          <w:sz w:val="24"/>
          <w:highlight w:val="none"/>
        </w:rPr>
      </w:pPr>
    </w:p>
    <w:p>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pPr>
        <w:spacing w:line="360" w:lineRule="exact"/>
        <w:rPr>
          <w:rFonts w:hint="eastAsia" w:ascii="宋体"/>
          <w:b/>
          <w:color w:val="auto"/>
          <w:sz w:val="28"/>
          <w:szCs w:val="28"/>
          <w:highlight w:val="none"/>
        </w:rPr>
      </w:pPr>
    </w:p>
    <w:p>
      <w:pPr>
        <w:spacing w:line="440" w:lineRule="exact"/>
        <w:jc w:val="center"/>
        <w:outlineLvl w:val="0"/>
        <w:rPr>
          <w:rFonts w:hint="eastAsia" w:ascii="宋体"/>
          <w:b/>
          <w:color w:val="auto"/>
          <w:sz w:val="32"/>
          <w:szCs w:val="32"/>
          <w:highlight w:val="none"/>
        </w:rPr>
      </w:pPr>
      <w:r>
        <w:rPr>
          <w:rFonts w:hint="eastAsia" w:ascii="宋体"/>
          <w:b/>
          <w:color w:val="auto"/>
          <w:sz w:val="32"/>
          <w:szCs w:val="32"/>
          <w:highlight w:val="none"/>
        </w:rPr>
        <w:br w:type="page"/>
      </w:r>
      <w:bookmarkEnd w:id="68"/>
      <w:bookmarkEnd w:id="69"/>
      <w:bookmarkStart w:id="74" w:name="_Toc449028957"/>
      <w:bookmarkStart w:id="75" w:name="_Toc58430333"/>
      <w:r>
        <w:rPr>
          <w:rFonts w:hint="eastAsia" w:ascii="宋体"/>
          <w:b/>
          <w:color w:val="auto"/>
          <w:sz w:val="32"/>
          <w:szCs w:val="32"/>
          <w:highlight w:val="none"/>
          <w:lang w:val="en-US" w:eastAsia="zh-CN"/>
        </w:rPr>
        <w:t>招标人</w:t>
      </w:r>
      <w:r>
        <w:rPr>
          <w:rFonts w:hint="eastAsia" w:ascii="宋体"/>
          <w:b/>
          <w:color w:val="auto"/>
          <w:sz w:val="32"/>
          <w:szCs w:val="32"/>
          <w:highlight w:val="none"/>
        </w:rPr>
        <w:t>、</w:t>
      </w: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代理机构对本招标文件的确认</w:t>
      </w:r>
      <w:bookmarkEnd w:id="74"/>
      <w:bookmarkEnd w:id="75"/>
    </w:p>
    <w:p>
      <w:pPr>
        <w:spacing w:line="440" w:lineRule="exact"/>
        <w:rPr>
          <w:rFonts w:hint="eastAsia" w:ascii="宋体"/>
          <w:color w:val="auto"/>
          <w:sz w:val="24"/>
          <w:highlight w:val="none"/>
          <w:u w:val="single"/>
        </w:rPr>
      </w:pPr>
    </w:p>
    <w:tbl>
      <w:tblPr>
        <w:tblStyle w:val="34"/>
        <w:tblW w:w="0" w:type="auto"/>
        <w:jc w:val="center"/>
        <w:tblLayout w:type="fixed"/>
        <w:tblCellMar>
          <w:top w:w="0" w:type="dxa"/>
          <w:left w:w="108" w:type="dxa"/>
          <w:bottom w:w="0" w:type="dxa"/>
          <w:right w:w="108" w:type="dxa"/>
        </w:tblCellMar>
      </w:tblPr>
      <w:tblGrid>
        <w:gridCol w:w="9374"/>
      </w:tblGrid>
      <w:tr>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560" w:firstLineChars="200"/>
              <w:rPr>
                <w:rFonts w:hint="eastAsia" w:ascii="宋体" w:cs="宋体"/>
                <w:color w:val="auto"/>
                <w:sz w:val="28"/>
                <w:szCs w:val="28"/>
                <w:highlight w:val="none"/>
              </w:rPr>
            </w:pPr>
          </w:p>
          <w:p>
            <w:pPr>
              <w:spacing w:line="360" w:lineRule="auto"/>
              <w:ind w:firstLine="560" w:firstLineChars="200"/>
              <w:rPr>
                <w:rFonts w:hint="eastAsia" w:ascii="宋体" w:hAnsi="宋体" w:cs="宋体"/>
                <w:color w:val="auto"/>
                <w:sz w:val="28"/>
                <w:szCs w:val="28"/>
                <w:highlight w:val="none"/>
              </w:rPr>
            </w:pPr>
            <w:r>
              <w:rPr>
                <w:rFonts w:hint="eastAsia" w:ascii="宋体" w:cs="宋体"/>
                <w:color w:val="auto"/>
                <w:sz w:val="28"/>
                <w:szCs w:val="28"/>
                <w:highlight w:val="none"/>
              </w:rPr>
              <w:t>我单位对</w:t>
            </w:r>
            <w:r>
              <w:rPr>
                <w:rFonts w:hint="eastAsia" w:ascii="宋体" w:cs="宋体"/>
                <w:color w:val="auto"/>
                <w:sz w:val="28"/>
                <w:szCs w:val="28"/>
                <w:highlight w:val="none"/>
                <w:u w:val="single"/>
                <w:lang w:val="en-US" w:eastAsia="zh-CN"/>
              </w:rPr>
              <w:t>滁州市扬子工业投资集团有限公司2023年度财务年报审计服务项目</w:t>
            </w:r>
            <w:r>
              <w:rPr>
                <w:rFonts w:hint="eastAsia" w:ascii="宋体" w:cs="宋体"/>
                <w:color w:val="auto"/>
                <w:sz w:val="28"/>
                <w:szCs w:val="28"/>
                <w:highlight w:val="none"/>
              </w:rPr>
              <w:t>的招标文件进行确认。</w:t>
            </w:r>
          </w:p>
          <w:p>
            <w:pPr>
              <w:spacing w:line="360" w:lineRule="auto"/>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招标单位：</w:t>
            </w:r>
            <w:r>
              <w:rPr>
                <w:rFonts w:hint="eastAsia" w:ascii="宋体" w:hAnsi="宋体" w:cs="宋体"/>
                <w:color w:val="auto"/>
                <w:sz w:val="28"/>
                <w:szCs w:val="28"/>
                <w:highlight w:val="none"/>
                <w:lang w:eastAsia="zh-CN"/>
              </w:rPr>
              <w:t>滁州市扬子工业投资集团有限公司</w:t>
            </w:r>
          </w:p>
          <w:p>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委托代理人：</w:t>
            </w:r>
            <w:r>
              <w:rPr>
                <w:rFonts w:hint="eastAsia" w:ascii="宋体" w:hAnsi="宋体" w:cs="宋体"/>
                <w:color w:val="auto"/>
                <w:sz w:val="28"/>
                <w:szCs w:val="28"/>
                <w:highlight w:val="none"/>
                <w:lang w:val="en-US" w:eastAsia="zh-CN"/>
              </w:rPr>
              <w:t>徐川</w:t>
            </w:r>
          </w:p>
          <w:p>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联系电话：</w:t>
            </w:r>
            <w:r>
              <w:rPr>
                <w:rFonts w:hint="eastAsia" w:ascii="宋体" w:hAnsi="宋体" w:cs="宋体"/>
                <w:color w:val="auto"/>
                <w:sz w:val="28"/>
                <w:szCs w:val="28"/>
                <w:highlight w:val="none"/>
                <w:lang w:val="en-US" w:eastAsia="zh-CN"/>
              </w:rPr>
              <w:t>0550-3018129</w:t>
            </w:r>
          </w:p>
          <w:p>
            <w:pPr>
              <w:spacing w:line="540" w:lineRule="exact"/>
              <w:ind w:firstLine="7140" w:firstLineChars="2550"/>
              <w:rPr>
                <w:rFonts w:hint="eastAsia" w:ascii="宋体" w:cs="宋体"/>
                <w:color w:val="auto"/>
                <w:sz w:val="28"/>
                <w:szCs w:val="28"/>
                <w:highlight w:val="none"/>
              </w:rPr>
            </w:pPr>
          </w:p>
          <w:p>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2023年</w:t>
            </w:r>
            <w:r>
              <w:rPr>
                <w:rFonts w:hint="eastAsia" w:ascii="宋体" w:cs="宋体"/>
                <w:color w:val="auto"/>
                <w:sz w:val="28"/>
                <w:szCs w:val="28"/>
                <w:highlight w:val="none"/>
                <w:lang w:val="en-US" w:eastAsia="zh-CN"/>
              </w:rPr>
              <w:t>12</w:t>
            </w:r>
            <w:r>
              <w:rPr>
                <w:rFonts w:hint="eastAsia" w:ascii="宋体" w:cs="宋体"/>
                <w:color w:val="auto"/>
                <w:sz w:val="28"/>
                <w:szCs w:val="28"/>
                <w:highlight w:val="none"/>
              </w:rPr>
              <w:t>月</w:t>
            </w:r>
          </w:p>
        </w:tc>
      </w:tr>
      <w:tr>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宋体" w:cs="宋体"/>
                <w:color w:val="auto"/>
                <w:sz w:val="28"/>
                <w:szCs w:val="28"/>
                <w:highlight w:val="none"/>
              </w:rPr>
            </w:pPr>
          </w:p>
          <w:p>
            <w:pPr>
              <w:spacing w:line="520" w:lineRule="exact"/>
              <w:ind w:firstLine="560" w:firstLineChars="200"/>
              <w:rPr>
                <w:rFonts w:hint="eastAsia" w:ascii="宋体" w:eastAsia="宋体" w:cs="宋体"/>
                <w:color w:val="auto"/>
                <w:sz w:val="28"/>
                <w:szCs w:val="28"/>
                <w:highlight w:val="none"/>
                <w:lang w:eastAsia="zh-CN"/>
              </w:rPr>
            </w:pPr>
            <w:r>
              <w:rPr>
                <w:rFonts w:hint="eastAsia" w:ascii="宋体" w:cs="宋体"/>
                <w:color w:val="auto"/>
                <w:sz w:val="28"/>
                <w:szCs w:val="28"/>
                <w:highlight w:val="none"/>
              </w:rPr>
              <w:t>招标代理机构：</w:t>
            </w:r>
            <w:r>
              <w:rPr>
                <w:rFonts w:hint="eastAsia" w:ascii="宋体" w:cs="宋体"/>
                <w:color w:val="auto"/>
                <w:sz w:val="28"/>
                <w:szCs w:val="28"/>
                <w:highlight w:val="none"/>
                <w:lang w:eastAsia="zh-CN"/>
              </w:rPr>
              <w:t>滁州市城投工程咨询管理有限公司</w:t>
            </w:r>
          </w:p>
          <w:p>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经办人：杨韦</w:t>
            </w:r>
          </w:p>
          <w:p>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电  话：0550-3519590、18005501210</w:t>
            </w:r>
          </w:p>
          <w:p>
            <w:pPr>
              <w:spacing w:line="520" w:lineRule="exact"/>
              <w:ind w:firstLine="6300" w:firstLineChars="2250"/>
              <w:rPr>
                <w:rFonts w:hint="eastAsia" w:ascii="宋体" w:cs="宋体"/>
                <w:color w:val="auto"/>
                <w:sz w:val="28"/>
                <w:szCs w:val="28"/>
                <w:highlight w:val="none"/>
              </w:rPr>
            </w:pPr>
          </w:p>
          <w:p>
            <w:pPr>
              <w:pStyle w:val="2"/>
              <w:rPr>
                <w:rFonts w:hint="eastAsia"/>
                <w:color w:val="auto"/>
                <w:highlight w:val="none"/>
              </w:rPr>
            </w:pPr>
          </w:p>
          <w:p>
            <w:pPr>
              <w:spacing w:line="520" w:lineRule="exact"/>
              <w:ind w:firstLine="6580" w:firstLineChars="2350"/>
              <w:rPr>
                <w:rFonts w:hint="eastAsia" w:ascii="宋体" w:cs="宋体"/>
                <w:color w:val="auto"/>
                <w:sz w:val="28"/>
                <w:szCs w:val="28"/>
                <w:highlight w:val="none"/>
              </w:rPr>
            </w:pPr>
          </w:p>
          <w:p>
            <w:pPr>
              <w:spacing w:line="52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2023年</w:t>
            </w:r>
            <w:r>
              <w:rPr>
                <w:rFonts w:hint="eastAsia" w:ascii="宋体" w:cs="宋体"/>
                <w:color w:val="auto"/>
                <w:sz w:val="28"/>
                <w:szCs w:val="28"/>
                <w:highlight w:val="none"/>
                <w:lang w:val="en-US" w:eastAsia="zh-CN"/>
              </w:rPr>
              <w:t>12</w:t>
            </w:r>
            <w:r>
              <w:rPr>
                <w:rFonts w:hint="eastAsia" w:ascii="宋体" w:cs="宋体"/>
                <w:color w:val="auto"/>
                <w:sz w:val="28"/>
                <w:szCs w:val="28"/>
                <w:highlight w:val="none"/>
              </w:rPr>
              <w:t>月</w:t>
            </w:r>
          </w:p>
        </w:tc>
      </w:tr>
      <w:bookmarkEnd w:id="0"/>
    </w:tbl>
    <w:p>
      <w:pPr>
        <w:rPr>
          <w:color w:val="auto"/>
          <w:highlight w:val="none"/>
        </w:rPr>
      </w:pPr>
    </w:p>
    <w:sectPr>
      <w:headerReference r:id="rId11" w:type="default"/>
      <w:footerReference r:id="rId12"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40001" w:csb1="00000000"/>
  </w:font>
  <w:font w:name="DokChampa">
    <w:altName w:val="Leelawadee UI"/>
    <w:panose1 w:val="020B0604020202020204"/>
    <w:charset w:val="00"/>
    <w:family w:val="swiss"/>
    <w:pitch w:val="default"/>
    <w:sig w:usb0="00000000" w:usb1="00000000" w:usb2="00000000" w:usb3="00000000" w:csb0="4001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Leelawadee UI">
    <w:panose1 w:val="020B0502040204020203"/>
    <w:charset w:val="00"/>
    <w:family w:val="auto"/>
    <w:pitch w:val="default"/>
    <w:sig w:usb0="83000003" w:usb1="00000000" w:usb2="00010000" w:usb3="00000001" w:csb0="000101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tabs>
        <w:tab w:val="clear" w:pos="4153"/>
        <w:tab w:val="clear" w:pos="8306"/>
      </w:tabs>
      <w:rPr>
        <w:rStyle w:val="38"/>
      </w:rPr>
    </w:pPr>
    <w:r>
      <w:fldChar w:fldCharType="begin"/>
    </w:r>
    <w:r>
      <w:rPr>
        <w:rStyle w:val="38"/>
      </w:rPr>
      <w:instrText xml:space="preserve">PAGE  </w:instrText>
    </w:r>
    <w:r>
      <w:fldChar w:fldCharType="separate"/>
    </w:r>
    <w:r>
      <w:t xml:space="preserve"> </w:t>
    </w:r>
    <w:r>
      <w:fldChar w:fldCharType="end"/>
    </w:r>
  </w:p>
  <w:p>
    <w:pPr>
      <w:pStyle w:val="24"/>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tabs>
        <w:tab w:val="clear" w:pos="4153"/>
        <w:tab w:val="clear" w:pos="8306"/>
      </w:tabs>
      <w:rPr>
        <w:rStyle w:val="38"/>
        <w:rFonts w:hint="eastAsia"/>
      </w:rPr>
    </w:pPr>
  </w:p>
  <w:p>
    <w:pPr>
      <w:pStyle w:val="24"/>
      <w:tabs>
        <w:tab w:val="clear" w:pos="4153"/>
        <w:tab w:val="clear" w:pos="8306"/>
      </w:tabs>
      <w:rPr>
        <w:rFonts w:hint="eastAsia"/>
        <w:szCs w:val="21"/>
      </w:rPr>
    </w:pPr>
  </w:p>
  <w:p>
    <w:pPr>
      <w:pStyle w:val="24"/>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tabs>
        <w:tab w:val="clear" w:pos="4153"/>
        <w:tab w:val="clear" w:pos="8306"/>
      </w:tabs>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4"/>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&#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AZKvhZ0QEAAKMDAAAOAAAAAAAAAAEAIAAAACIB&#10;AABkcnMvZTJvRG9jLnhtbFBLBQYAAAAABgAGAFkBAABlBQAAAAA=&#10;">
              <v:fill on="f" focussize="0,0"/>
              <v:stroke on="f" weight="1.25pt"/>
              <v:imagedata o:title=""/>
              <o:lock v:ext="edit" aspectratio="f"/>
              <v:textbox inset="0mm,0mm,0mm,0mm" style="mso-fit-shape-to-text:t;">
                <w:txbxContent>
                  <w:p>
                    <w:pPr>
                      <w:pStyle w:val="2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4"/>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24"/>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4"/>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pPr>
                      <w:pStyle w:val="24"/>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6"/>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1"/>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28C4D73"/>
    <w:multiLevelType w:val="singleLevel"/>
    <w:tmpl w:val="228C4D73"/>
    <w:lvl w:ilvl="0" w:tentative="0">
      <w:start w:val="2"/>
      <w:numFmt w:val="decimal"/>
      <w:suff w:val="nothing"/>
      <w:lvlText w:val="%1、"/>
      <w:lvlJc w:val="left"/>
    </w:lvl>
  </w:abstractNum>
  <w:abstractNum w:abstractNumId="4">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6857717"/>
    <w:multiLevelType w:val="multilevel"/>
    <w:tmpl w:val="26857717"/>
    <w:lvl w:ilvl="0" w:tentative="0">
      <w:start w:val="1"/>
      <w:numFmt w:val="chineseCountingThousand"/>
      <w:pStyle w:val="99"/>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6">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7">
    <w:nsid w:val="6CB11212"/>
    <w:multiLevelType w:val="multilevel"/>
    <w:tmpl w:val="6CB11212"/>
    <w:lvl w:ilvl="0" w:tentative="0">
      <w:start w:val="1"/>
      <w:numFmt w:val="decimal"/>
      <w:pStyle w:val="14"/>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8">
    <w:nsid w:val="6F1D7D26"/>
    <w:multiLevelType w:val="multilevel"/>
    <w:tmpl w:val="6F1D7D26"/>
    <w:lvl w:ilvl="0" w:tentative="0">
      <w:start w:val="1"/>
      <w:numFmt w:val="decimal"/>
      <w:pStyle w:val="27"/>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7"/>
  </w:num>
  <w:num w:numId="3">
    <w:abstractNumId w:val="8"/>
  </w:num>
  <w:num w:numId="4">
    <w:abstractNumId w:val="4"/>
  </w:num>
  <w:num w:numId="5">
    <w:abstractNumId w:val="5"/>
  </w:num>
  <w:num w:numId="6">
    <w:abstractNumId w:val="2"/>
  </w:num>
  <w:num w:numId="7">
    <w:abstractNumId w:val="1"/>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5MGI3YTdkMjVkZTZjM2ZjZTQ5YjMxYTJjZjRlOWE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84108D"/>
    <w:rsid w:val="02846ED2"/>
    <w:rsid w:val="029F0F02"/>
    <w:rsid w:val="02AB3F80"/>
    <w:rsid w:val="02F92D08"/>
    <w:rsid w:val="02FF011F"/>
    <w:rsid w:val="0306625F"/>
    <w:rsid w:val="0314369E"/>
    <w:rsid w:val="032B6C3A"/>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E7569"/>
    <w:rsid w:val="069717B9"/>
    <w:rsid w:val="06D0451E"/>
    <w:rsid w:val="06DA6FC6"/>
    <w:rsid w:val="06EB6E0C"/>
    <w:rsid w:val="06F34B4B"/>
    <w:rsid w:val="06FF299A"/>
    <w:rsid w:val="070A729C"/>
    <w:rsid w:val="07342561"/>
    <w:rsid w:val="073C599D"/>
    <w:rsid w:val="073E5575"/>
    <w:rsid w:val="074128B0"/>
    <w:rsid w:val="074A10F8"/>
    <w:rsid w:val="0761194E"/>
    <w:rsid w:val="076432D3"/>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554C8F"/>
    <w:rsid w:val="0E5A2C39"/>
    <w:rsid w:val="0E736B11"/>
    <w:rsid w:val="0E7F3562"/>
    <w:rsid w:val="0E8E126E"/>
    <w:rsid w:val="0EBD2885"/>
    <w:rsid w:val="0EC34B2B"/>
    <w:rsid w:val="0ECA6B2D"/>
    <w:rsid w:val="0ECB5D10"/>
    <w:rsid w:val="0ECC1E18"/>
    <w:rsid w:val="0EE11257"/>
    <w:rsid w:val="0EE35EF2"/>
    <w:rsid w:val="0EEE749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3330B"/>
    <w:rsid w:val="1D0C2883"/>
    <w:rsid w:val="1D3B1144"/>
    <w:rsid w:val="1D44297A"/>
    <w:rsid w:val="1D4E4561"/>
    <w:rsid w:val="1D703128"/>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B06519"/>
    <w:rsid w:val="1EB458DE"/>
    <w:rsid w:val="1EC00497"/>
    <w:rsid w:val="1EDA5344"/>
    <w:rsid w:val="1EE613D0"/>
    <w:rsid w:val="1EF1268E"/>
    <w:rsid w:val="1EF21855"/>
    <w:rsid w:val="1EF501D6"/>
    <w:rsid w:val="1F1830CB"/>
    <w:rsid w:val="1F1D4CEA"/>
    <w:rsid w:val="1F3431EF"/>
    <w:rsid w:val="1F412ACD"/>
    <w:rsid w:val="1F896D6A"/>
    <w:rsid w:val="1FA51C58"/>
    <w:rsid w:val="1FA7649E"/>
    <w:rsid w:val="1FBE7B22"/>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6D1EE4"/>
    <w:rsid w:val="29944EB8"/>
    <w:rsid w:val="299C4433"/>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C30B5"/>
    <w:rsid w:val="2F486989"/>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A37FA3"/>
    <w:rsid w:val="33B73A4E"/>
    <w:rsid w:val="33B946F2"/>
    <w:rsid w:val="33B95A18"/>
    <w:rsid w:val="33D4718D"/>
    <w:rsid w:val="33E54418"/>
    <w:rsid w:val="33F07509"/>
    <w:rsid w:val="33F627C9"/>
    <w:rsid w:val="341A5E10"/>
    <w:rsid w:val="34272982"/>
    <w:rsid w:val="342804A8"/>
    <w:rsid w:val="343C7EFD"/>
    <w:rsid w:val="34472085"/>
    <w:rsid w:val="34572B3B"/>
    <w:rsid w:val="3474193F"/>
    <w:rsid w:val="347A4AA6"/>
    <w:rsid w:val="34BA5036"/>
    <w:rsid w:val="34BC5AFA"/>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D4741F"/>
    <w:rsid w:val="3CFB3A43"/>
    <w:rsid w:val="3CFB661F"/>
    <w:rsid w:val="3D0B626C"/>
    <w:rsid w:val="3D0F4D1C"/>
    <w:rsid w:val="3D487A50"/>
    <w:rsid w:val="3D5139EC"/>
    <w:rsid w:val="3D7A6218"/>
    <w:rsid w:val="3D8552FA"/>
    <w:rsid w:val="3D8C367A"/>
    <w:rsid w:val="3DB039E8"/>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5D3DAD"/>
    <w:rsid w:val="479C5383"/>
    <w:rsid w:val="479F646B"/>
    <w:rsid w:val="47A56FB4"/>
    <w:rsid w:val="47AD7CF1"/>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FA66B9"/>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9F27AB"/>
    <w:rsid w:val="4CBD4A44"/>
    <w:rsid w:val="4CD40D75"/>
    <w:rsid w:val="4CDE3815"/>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926FC"/>
    <w:rsid w:val="5BF54320"/>
    <w:rsid w:val="5C1633F6"/>
    <w:rsid w:val="5C246971"/>
    <w:rsid w:val="5C4867F4"/>
    <w:rsid w:val="5C6737F1"/>
    <w:rsid w:val="5C9C18B0"/>
    <w:rsid w:val="5C9E7970"/>
    <w:rsid w:val="5CBD1826"/>
    <w:rsid w:val="5CC37F37"/>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602534E"/>
    <w:rsid w:val="66065FEC"/>
    <w:rsid w:val="660A5F17"/>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36F9E"/>
    <w:rsid w:val="6B311795"/>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F13E2"/>
    <w:rsid w:val="70335C2F"/>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110428"/>
    <w:rsid w:val="7B113011"/>
    <w:rsid w:val="7B205002"/>
    <w:rsid w:val="7B220D7A"/>
    <w:rsid w:val="7B2F5349"/>
    <w:rsid w:val="7B5666FB"/>
    <w:rsid w:val="7B5C232E"/>
    <w:rsid w:val="7B5E12BB"/>
    <w:rsid w:val="7B637C47"/>
    <w:rsid w:val="7BA43E85"/>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3"/>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4"/>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5"/>
    <w:qFormat/>
    <w:uiPriority w:val="0"/>
    <w:pPr>
      <w:keepNext/>
      <w:keepLines/>
      <w:spacing w:before="280" w:after="290" w:line="376" w:lineRule="auto"/>
      <w:outlineLvl w:val="4"/>
    </w:pPr>
    <w:rPr>
      <w:b/>
      <w:bCs/>
      <w:sz w:val="28"/>
      <w:szCs w:val="28"/>
    </w:rPr>
  </w:style>
  <w:style w:type="paragraph" w:styleId="11">
    <w:name w:val="heading 6"/>
    <w:basedOn w:val="1"/>
    <w:next w:val="1"/>
    <w:link w:val="56"/>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7"/>
    <w:qFormat/>
    <w:uiPriority w:val="0"/>
    <w:pPr>
      <w:keepNext/>
      <w:keepLines/>
      <w:spacing w:before="240" w:after="64" w:line="320" w:lineRule="auto"/>
      <w:outlineLvl w:val="6"/>
    </w:pPr>
    <w:rPr>
      <w:b/>
      <w:bCs/>
      <w:sz w:val="24"/>
    </w:rPr>
  </w:style>
  <w:style w:type="character" w:default="1" w:styleId="36">
    <w:name w:val="Default Paragraph Font"/>
    <w:autoRedefine/>
    <w:semiHidden/>
    <w:qFormat/>
    <w:uiPriority w:val="0"/>
  </w:style>
  <w:style w:type="table" w:default="1" w:styleId="34">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5"/>
    <w:link w:val="52"/>
    <w:autoRedefine/>
    <w:uiPriority w:val="0"/>
    <w:pPr>
      <w:ind w:left="420" w:firstLine="420" w:firstLineChars="200"/>
    </w:pPr>
  </w:style>
  <w:style w:type="paragraph" w:styleId="3">
    <w:name w:val="Body Text Indent"/>
    <w:basedOn w:val="1"/>
    <w:next w:val="4"/>
    <w:link w:val="51"/>
    <w:autoRedefine/>
    <w:qFormat/>
    <w:uiPriority w:val="0"/>
    <w:pPr>
      <w:spacing w:after="120"/>
      <w:ind w:left="200" w:leftChars="200"/>
    </w:pPr>
  </w:style>
  <w:style w:type="paragraph" w:styleId="4">
    <w:name w:val="envelope return"/>
    <w:basedOn w:val="1"/>
    <w:qFormat/>
    <w:uiPriority w:val="0"/>
    <w:pPr>
      <w:snapToGrid w:val="0"/>
    </w:pPr>
    <w:rPr>
      <w:rFonts w:ascii="Arial" w:hAnsi="Arial"/>
    </w:rPr>
  </w:style>
  <w:style w:type="paragraph" w:styleId="5">
    <w:name w:val="List"/>
    <w:basedOn w:val="1"/>
    <w:autoRedefine/>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13">
    <w:name w:val="toc 7"/>
    <w:basedOn w:val="1"/>
    <w:next w:val="1"/>
    <w:autoRedefine/>
    <w:qFormat/>
    <w:uiPriority w:val="39"/>
    <w:pPr>
      <w:ind w:left="1260"/>
      <w:jc w:val="left"/>
    </w:pPr>
    <w:rPr>
      <w:sz w:val="18"/>
      <w:szCs w:val="18"/>
    </w:rPr>
  </w:style>
  <w:style w:type="paragraph" w:styleId="14">
    <w:name w:val="List Number 2"/>
    <w:basedOn w:val="1"/>
    <w:uiPriority w:val="0"/>
    <w:pPr>
      <w:numPr>
        <w:ilvl w:val="0"/>
        <w:numId w:val="2"/>
      </w:numPr>
      <w:tabs>
        <w:tab w:val="left" w:pos="567"/>
      </w:tabs>
      <w:adjustRightInd w:val="0"/>
      <w:spacing w:line="300" w:lineRule="auto"/>
      <w:textAlignment w:val="baseline"/>
    </w:pPr>
    <w:rPr>
      <w:kern w:val="0"/>
      <w:sz w:val="28"/>
      <w:szCs w:val="20"/>
    </w:rPr>
  </w:style>
  <w:style w:type="paragraph" w:styleId="15">
    <w:name w:val="Normal Indent"/>
    <w:basedOn w:val="1"/>
    <w:uiPriority w:val="0"/>
    <w:pPr>
      <w:adjustRightInd w:val="0"/>
      <w:spacing w:line="360" w:lineRule="atLeast"/>
      <w:ind w:firstLine="482"/>
      <w:textAlignment w:val="baseline"/>
    </w:pPr>
    <w:rPr>
      <w:kern w:val="0"/>
      <w:sz w:val="24"/>
      <w:szCs w:val="20"/>
    </w:rPr>
  </w:style>
  <w:style w:type="paragraph" w:styleId="16">
    <w:name w:val="annotation text"/>
    <w:basedOn w:val="1"/>
    <w:link w:val="58"/>
    <w:autoRedefine/>
    <w:qFormat/>
    <w:uiPriority w:val="0"/>
    <w:pPr>
      <w:jc w:val="left"/>
    </w:pPr>
  </w:style>
  <w:style w:type="paragraph" w:styleId="17">
    <w:name w:val="Body Text"/>
    <w:basedOn w:val="1"/>
    <w:next w:val="1"/>
    <w:semiHidden/>
    <w:qFormat/>
    <w:uiPriority w:val="0"/>
    <w:pPr>
      <w:spacing w:after="120"/>
    </w:pPr>
  </w:style>
  <w:style w:type="paragraph" w:styleId="18">
    <w:name w:val="toc 3"/>
    <w:basedOn w:val="1"/>
    <w:next w:val="1"/>
    <w:qFormat/>
    <w:uiPriority w:val="39"/>
    <w:pPr>
      <w:tabs>
        <w:tab w:val="right" w:leader="dot" w:pos="9288"/>
      </w:tabs>
      <w:ind w:left="400" w:leftChars="400"/>
    </w:pPr>
    <w:rPr>
      <w:rFonts w:ascii="宋体"/>
    </w:rPr>
  </w:style>
  <w:style w:type="paragraph" w:styleId="19">
    <w:name w:val="Plain Text"/>
    <w:basedOn w:val="1"/>
    <w:next w:val="1"/>
    <w:link w:val="59"/>
    <w:qFormat/>
    <w:uiPriority w:val="99"/>
    <w:rPr>
      <w:rFonts w:ascii="宋体"/>
      <w:color w:val="000000"/>
      <w:szCs w:val="20"/>
      <w:u w:val="none" w:color="000000"/>
    </w:rPr>
  </w:style>
  <w:style w:type="paragraph" w:styleId="20">
    <w:name w:val="Date"/>
    <w:basedOn w:val="1"/>
    <w:next w:val="1"/>
    <w:link w:val="60"/>
    <w:autoRedefine/>
    <w:qFormat/>
    <w:uiPriority w:val="0"/>
    <w:rPr>
      <w:rFonts w:ascii="Arial" w:hAnsi="Arial" w:eastAsia="仿宋_GB2312"/>
      <w:color w:val="000000"/>
      <w:sz w:val="32"/>
      <w:szCs w:val="20"/>
      <w:u w:val="none" w:color="000000"/>
    </w:rPr>
  </w:style>
  <w:style w:type="paragraph" w:styleId="21">
    <w:name w:val="Body Text Indent 2"/>
    <w:basedOn w:val="1"/>
    <w:link w:val="61"/>
    <w:qFormat/>
    <w:uiPriority w:val="0"/>
    <w:pPr>
      <w:spacing w:after="120" w:line="480" w:lineRule="auto"/>
      <w:ind w:left="420" w:leftChars="200"/>
    </w:pPr>
  </w:style>
  <w:style w:type="paragraph" w:styleId="22">
    <w:name w:val="endnote text"/>
    <w:basedOn w:val="1"/>
    <w:autoRedefine/>
    <w:qFormat/>
    <w:uiPriority w:val="99"/>
    <w:pPr>
      <w:snapToGrid w:val="0"/>
    </w:pPr>
    <w:rPr>
      <w:rFonts w:ascii="仿宋" w:hAnsi="仿宋"/>
    </w:rPr>
  </w:style>
  <w:style w:type="paragraph" w:styleId="23">
    <w:name w:val="Balloon Text"/>
    <w:basedOn w:val="1"/>
    <w:link w:val="62"/>
    <w:autoRedefine/>
    <w:qFormat/>
    <w:uiPriority w:val="0"/>
    <w:rPr>
      <w:sz w:val="18"/>
      <w:szCs w:val="18"/>
    </w:rPr>
  </w:style>
  <w:style w:type="paragraph" w:styleId="24">
    <w:name w:val="footer"/>
    <w:basedOn w:val="1"/>
    <w:link w:val="63"/>
    <w:qFormat/>
    <w:uiPriority w:val="0"/>
    <w:pPr>
      <w:tabs>
        <w:tab w:val="center" w:pos="4153"/>
        <w:tab w:val="right" w:pos="8306"/>
      </w:tabs>
      <w:snapToGrid w:val="0"/>
      <w:jc w:val="left"/>
    </w:pPr>
    <w:rPr>
      <w:sz w:val="18"/>
      <w:szCs w:val="18"/>
    </w:rPr>
  </w:style>
  <w:style w:type="paragraph" w:styleId="25">
    <w:name w:val="header"/>
    <w:basedOn w:val="1"/>
    <w:link w:val="64"/>
    <w:autoRedefine/>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autoRedefine/>
    <w:qFormat/>
    <w:uiPriority w:val="39"/>
  </w:style>
  <w:style w:type="paragraph" w:styleId="27">
    <w:name w:val="Subtitle"/>
    <w:basedOn w:val="1"/>
    <w:next w:val="1"/>
    <w:autoRedefine/>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8">
    <w:name w:val="toc 2"/>
    <w:basedOn w:val="1"/>
    <w:next w:val="1"/>
    <w:qFormat/>
    <w:uiPriority w:val="39"/>
    <w:pPr>
      <w:ind w:left="200" w:leftChars="200"/>
    </w:pPr>
  </w:style>
  <w:style w:type="paragraph" w:styleId="29">
    <w:name w:val="Normal (Web)"/>
    <w:basedOn w:val="1"/>
    <w:next w:val="30"/>
    <w:autoRedefine/>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autoRedefine/>
    <w:qFormat/>
    <w:uiPriority w:val="0"/>
    <w:pPr>
      <w:ind w:left="240"/>
    </w:pPr>
    <w:rPr>
      <w:sz w:val="16"/>
    </w:rPr>
  </w:style>
  <w:style w:type="paragraph" w:styleId="31">
    <w:name w:val="index 1"/>
    <w:basedOn w:val="1"/>
    <w:next w:val="1"/>
    <w:autoRedefine/>
    <w:qFormat/>
    <w:uiPriority w:val="0"/>
    <w:pPr>
      <w:jc w:val="center"/>
    </w:pPr>
    <w:rPr>
      <w:rFonts w:ascii="Arial" w:hAnsi="Arial" w:eastAsia="Arial" w:cs="Arial"/>
      <w:b/>
      <w:bCs/>
      <w:sz w:val="28"/>
    </w:rPr>
  </w:style>
  <w:style w:type="paragraph" w:styleId="32">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6"/>
    <w:next w:val="16"/>
    <w:link w:val="65"/>
    <w:qFormat/>
    <w:uiPriority w:val="0"/>
    <w:rPr>
      <w:b/>
      <w:bCs/>
    </w:rPr>
  </w:style>
  <w:style w:type="table" w:styleId="35">
    <w:name w:val="Table Grid"/>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autoRedefine/>
    <w:qFormat/>
    <w:uiPriority w:val="0"/>
    <w:rPr>
      <w:b/>
    </w:rPr>
  </w:style>
  <w:style w:type="character" w:styleId="38">
    <w:name w:val="page number"/>
    <w:autoRedefine/>
    <w:qFormat/>
    <w:uiPriority w:val="0"/>
  </w:style>
  <w:style w:type="character" w:styleId="39">
    <w:name w:val="FollowedHyperlink"/>
    <w:autoRedefine/>
    <w:qFormat/>
    <w:uiPriority w:val="0"/>
    <w:rPr>
      <w:color w:val="333333"/>
      <w:u w:val="none"/>
    </w:rPr>
  </w:style>
  <w:style w:type="character" w:styleId="40">
    <w:name w:val="Emphasis"/>
    <w:qFormat/>
    <w:uiPriority w:val="20"/>
    <w:rPr>
      <w:i/>
      <w:iCs/>
    </w:rPr>
  </w:style>
  <w:style w:type="character" w:styleId="41">
    <w:name w:val="HTML Definition"/>
    <w:qFormat/>
    <w:uiPriority w:val="0"/>
  </w:style>
  <w:style w:type="character" w:styleId="42">
    <w:name w:val="HTML Typewriter"/>
    <w:autoRedefine/>
    <w:qFormat/>
    <w:uiPriority w:val="0"/>
    <w:rPr>
      <w:rFonts w:ascii="monospace" w:hAnsi="monospace" w:eastAsia="monospace" w:cs="monospace"/>
      <w:sz w:val="20"/>
    </w:rPr>
  </w:style>
  <w:style w:type="character" w:styleId="43">
    <w:name w:val="HTML Acronym"/>
    <w:autoRedefine/>
    <w:qFormat/>
    <w:uiPriority w:val="0"/>
  </w:style>
  <w:style w:type="character" w:styleId="44">
    <w:name w:val="HTML Variable"/>
    <w:qFormat/>
    <w:uiPriority w:val="0"/>
  </w:style>
  <w:style w:type="character" w:styleId="45">
    <w:name w:val="Hyperlink"/>
    <w:qFormat/>
    <w:uiPriority w:val="99"/>
    <w:rPr>
      <w:color w:val="333333"/>
      <w:u w:val="none"/>
    </w:rPr>
  </w:style>
  <w:style w:type="character" w:styleId="46">
    <w:name w:val="HTML Code"/>
    <w:autoRedefine/>
    <w:qFormat/>
    <w:uiPriority w:val="0"/>
    <w:rPr>
      <w:rFonts w:hint="default" w:ascii="monospace" w:hAnsi="monospace" w:eastAsia="monospace" w:cs="monospace"/>
      <w:sz w:val="20"/>
    </w:rPr>
  </w:style>
  <w:style w:type="character" w:styleId="47">
    <w:name w:val="annotation reference"/>
    <w:autoRedefine/>
    <w:qFormat/>
    <w:uiPriority w:val="0"/>
    <w:rPr>
      <w:sz w:val="21"/>
      <w:szCs w:val="21"/>
    </w:rPr>
  </w:style>
  <w:style w:type="character" w:styleId="48">
    <w:name w:val="HTML Cite"/>
    <w:autoRedefine/>
    <w:qFormat/>
    <w:uiPriority w:val="0"/>
  </w:style>
  <w:style w:type="character" w:styleId="49">
    <w:name w:val="HTML Keyboard"/>
    <w:qFormat/>
    <w:uiPriority w:val="0"/>
    <w:rPr>
      <w:rFonts w:hint="default" w:ascii="monospace" w:hAnsi="monospace" w:eastAsia="monospace" w:cs="monospace"/>
      <w:sz w:val="20"/>
    </w:rPr>
  </w:style>
  <w:style w:type="character" w:styleId="50">
    <w:name w:val="HTML Sample"/>
    <w:qFormat/>
    <w:uiPriority w:val="0"/>
    <w:rPr>
      <w:rFonts w:hint="default" w:ascii="monospace" w:hAnsi="monospace" w:eastAsia="monospace" w:cs="monospace"/>
    </w:rPr>
  </w:style>
  <w:style w:type="character" w:customStyle="1" w:styleId="51">
    <w:name w:val="正文文本缩进 字符"/>
    <w:link w:val="3"/>
    <w:autoRedefine/>
    <w:qFormat/>
    <w:uiPriority w:val="0"/>
    <w:rPr>
      <w:kern w:val="2"/>
      <w:sz w:val="21"/>
      <w:szCs w:val="24"/>
    </w:rPr>
  </w:style>
  <w:style w:type="character" w:customStyle="1" w:styleId="52">
    <w:name w:val="正文文本首行缩进 2 字符"/>
    <w:link w:val="2"/>
    <w:autoRedefine/>
    <w:qFormat/>
    <w:uiPriority w:val="0"/>
  </w:style>
  <w:style w:type="character" w:customStyle="1" w:styleId="53">
    <w:name w:val="标题 1 字符"/>
    <w:link w:val="6"/>
    <w:autoRedefine/>
    <w:qFormat/>
    <w:uiPriority w:val="0"/>
    <w:rPr>
      <w:b/>
      <w:bCs/>
      <w:kern w:val="44"/>
      <w:sz w:val="44"/>
      <w:szCs w:val="44"/>
    </w:rPr>
  </w:style>
  <w:style w:type="character" w:customStyle="1" w:styleId="54">
    <w:name w:val="标题 4 字符"/>
    <w:link w:val="9"/>
    <w:autoRedefine/>
    <w:qFormat/>
    <w:locked/>
    <w:uiPriority w:val="0"/>
    <w:rPr>
      <w:rFonts w:ascii="Arial" w:hAnsi="Arial" w:eastAsia="黑体"/>
      <w:b/>
      <w:bCs/>
      <w:color w:val="000000"/>
      <w:sz w:val="28"/>
      <w:szCs w:val="28"/>
      <w:u w:val="none" w:color="000000"/>
      <w:lang w:val="en-US" w:eastAsia="zh-CN" w:bidi="ar-SA"/>
    </w:rPr>
  </w:style>
  <w:style w:type="character" w:customStyle="1" w:styleId="55">
    <w:name w:val="标题 5 字符"/>
    <w:link w:val="10"/>
    <w:semiHidden/>
    <w:qFormat/>
    <w:uiPriority w:val="0"/>
    <w:rPr>
      <w:b/>
      <w:bCs/>
      <w:kern w:val="2"/>
      <w:sz w:val="28"/>
      <w:szCs w:val="28"/>
    </w:rPr>
  </w:style>
  <w:style w:type="character" w:customStyle="1" w:styleId="56">
    <w:name w:val="标题 6 字符"/>
    <w:link w:val="11"/>
    <w:semiHidden/>
    <w:qFormat/>
    <w:uiPriority w:val="0"/>
    <w:rPr>
      <w:rFonts w:ascii="Cambria" w:hAnsi="Cambria" w:eastAsia="宋体" w:cs="Times New Roman"/>
      <w:b/>
      <w:bCs/>
      <w:kern w:val="2"/>
      <w:sz w:val="24"/>
      <w:szCs w:val="24"/>
    </w:rPr>
  </w:style>
  <w:style w:type="character" w:customStyle="1" w:styleId="57">
    <w:name w:val="标题 7 字符"/>
    <w:link w:val="12"/>
    <w:semiHidden/>
    <w:qFormat/>
    <w:uiPriority w:val="0"/>
    <w:rPr>
      <w:b/>
      <w:bCs/>
      <w:kern w:val="2"/>
      <w:sz w:val="24"/>
      <w:szCs w:val="24"/>
    </w:rPr>
  </w:style>
  <w:style w:type="character" w:customStyle="1" w:styleId="58">
    <w:name w:val="批注文字 字符"/>
    <w:link w:val="16"/>
    <w:qFormat/>
    <w:uiPriority w:val="0"/>
    <w:rPr>
      <w:kern w:val="2"/>
      <w:sz w:val="21"/>
      <w:szCs w:val="24"/>
    </w:rPr>
  </w:style>
  <w:style w:type="character" w:customStyle="1" w:styleId="59">
    <w:name w:val="纯文本 字符"/>
    <w:link w:val="19"/>
    <w:qFormat/>
    <w:uiPriority w:val="99"/>
    <w:rPr>
      <w:rFonts w:ascii="宋体" w:eastAsia="宋体"/>
      <w:color w:val="000000"/>
      <w:kern w:val="2"/>
      <w:sz w:val="21"/>
      <w:u w:val="none" w:color="000000"/>
      <w:lang w:val="en-US" w:eastAsia="zh-CN" w:bidi="ar-SA"/>
    </w:rPr>
  </w:style>
  <w:style w:type="character" w:customStyle="1" w:styleId="60">
    <w:name w:val="日期 字符"/>
    <w:link w:val="20"/>
    <w:qFormat/>
    <w:uiPriority w:val="0"/>
    <w:rPr>
      <w:rFonts w:ascii="Arial" w:hAnsi="Arial" w:eastAsia="仿宋_GB2312"/>
      <w:color w:val="000000"/>
      <w:kern w:val="2"/>
      <w:sz w:val="32"/>
      <w:u w:val="none" w:color="000000"/>
    </w:rPr>
  </w:style>
  <w:style w:type="character" w:customStyle="1" w:styleId="61">
    <w:name w:val="正文文本缩进 2 字符"/>
    <w:link w:val="21"/>
    <w:autoRedefine/>
    <w:qFormat/>
    <w:uiPriority w:val="0"/>
    <w:rPr>
      <w:kern w:val="2"/>
      <w:sz w:val="21"/>
      <w:szCs w:val="24"/>
    </w:rPr>
  </w:style>
  <w:style w:type="character" w:customStyle="1" w:styleId="62">
    <w:name w:val="批注框文本 字符"/>
    <w:link w:val="23"/>
    <w:qFormat/>
    <w:uiPriority w:val="0"/>
    <w:rPr>
      <w:kern w:val="2"/>
      <w:sz w:val="18"/>
      <w:szCs w:val="18"/>
    </w:rPr>
  </w:style>
  <w:style w:type="character" w:customStyle="1" w:styleId="63">
    <w:name w:val="页脚 字符"/>
    <w:link w:val="24"/>
    <w:autoRedefine/>
    <w:qFormat/>
    <w:locked/>
    <w:uiPriority w:val="0"/>
    <w:rPr>
      <w:kern w:val="2"/>
      <w:sz w:val="18"/>
      <w:szCs w:val="18"/>
    </w:rPr>
  </w:style>
  <w:style w:type="character" w:customStyle="1" w:styleId="64">
    <w:name w:val="页眉 字符"/>
    <w:link w:val="25"/>
    <w:qFormat/>
    <w:locked/>
    <w:uiPriority w:val="0"/>
    <w:rPr>
      <w:kern w:val="2"/>
      <w:sz w:val="18"/>
      <w:szCs w:val="18"/>
    </w:rPr>
  </w:style>
  <w:style w:type="character" w:customStyle="1" w:styleId="65">
    <w:name w:val="批注主题 字符"/>
    <w:link w:val="33"/>
    <w:autoRedefine/>
    <w:qFormat/>
    <w:uiPriority w:val="0"/>
    <w:rPr>
      <w:b/>
      <w:bCs/>
      <w:kern w:val="2"/>
      <w:sz w:val="21"/>
      <w:szCs w:val="24"/>
    </w:rPr>
  </w:style>
  <w:style w:type="character" w:customStyle="1" w:styleId="66">
    <w:name w:val="font121"/>
    <w:autoRedefine/>
    <w:qFormat/>
    <w:uiPriority w:val="0"/>
    <w:rPr>
      <w:rFonts w:hint="eastAsia" w:ascii="宋体" w:hAnsi="宋体" w:eastAsia="宋体" w:cs="宋体"/>
      <w:color w:val="000000"/>
      <w:sz w:val="24"/>
      <w:szCs w:val="24"/>
      <w:u w:val="none"/>
    </w:rPr>
  </w:style>
  <w:style w:type="character" w:customStyle="1" w:styleId="67">
    <w:name w:val="font141"/>
    <w:qFormat/>
    <w:uiPriority w:val="0"/>
    <w:rPr>
      <w:rFonts w:ascii="Arial" w:hAnsi="Arial" w:cs="Arial"/>
      <w:color w:val="000000"/>
      <w:sz w:val="24"/>
      <w:szCs w:val="24"/>
      <w:u w:val="none"/>
    </w:rPr>
  </w:style>
  <w:style w:type="character" w:customStyle="1" w:styleId="68">
    <w:name w:val="_37aak"/>
    <w:autoRedefine/>
    <w:qFormat/>
    <w:uiPriority w:val="0"/>
  </w:style>
  <w:style w:type="character" w:customStyle="1" w:styleId="69">
    <w:name w:val="图表 Char"/>
    <w:link w:val="70"/>
    <w:qFormat/>
    <w:uiPriority w:val="0"/>
    <w:rPr>
      <w:kern w:val="2"/>
      <w:sz w:val="21"/>
      <w:szCs w:val="21"/>
    </w:rPr>
  </w:style>
  <w:style w:type="paragraph" w:customStyle="1" w:styleId="70">
    <w:name w:val="图表"/>
    <w:basedOn w:val="1"/>
    <w:next w:val="1"/>
    <w:link w:val="69"/>
    <w:autoRedefine/>
    <w:qFormat/>
    <w:uiPriority w:val="0"/>
    <w:pPr>
      <w:jc w:val="center"/>
    </w:pPr>
    <w:rPr>
      <w:szCs w:val="21"/>
    </w:rPr>
  </w:style>
  <w:style w:type="character" w:customStyle="1" w:styleId="71">
    <w:name w:val="font01"/>
    <w:qFormat/>
    <w:uiPriority w:val="0"/>
    <w:rPr>
      <w:rFonts w:hint="eastAsia" w:ascii="宋体" w:hAnsi="宋体" w:eastAsia="宋体" w:cs="宋体"/>
      <w:color w:val="000000"/>
      <w:sz w:val="22"/>
      <w:szCs w:val="22"/>
      <w:u w:val="none"/>
    </w:rPr>
  </w:style>
  <w:style w:type="character" w:customStyle="1" w:styleId="72">
    <w:name w:val="hover4"/>
    <w:autoRedefine/>
    <w:qFormat/>
    <w:uiPriority w:val="0"/>
    <w:rPr>
      <w:color w:val="2590EB"/>
      <w:shd w:val="clear" w:color="auto" w:fill="E9F4FD"/>
    </w:rPr>
  </w:style>
  <w:style w:type="character" w:customStyle="1" w:styleId="73">
    <w:name w:val="font101"/>
    <w:qFormat/>
    <w:uiPriority w:val="0"/>
    <w:rPr>
      <w:rFonts w:hint="eastAsia" w:ascii="宋体" w:hAnsi="宋体" w:eastAsia="宋体" w:cs="宋体"/>
      <w:color w:val="000000"/>
      <w:sz w:val="18"/>
      <w:szCs w:val="18"/>
      <w:u w:val="none"/>
    </w:rPr>
  </w:style>
  <w:style w:type="character" w:customStyle="1" w:styleId="74">
    <w:name w:val="font161"/>
    <w:qFormat/>
    <w:uiPriority w:val="0"/>
    <w:rPr>
      <w:rFonts w:hint="eastAsia" w:ascii="宋体" w:hAnsi="宋体" w:eastAsia="宋体" w:cs="宋体"/>
      <w:b/>
      <w:bCs/>
      <w:color w:val="333333"/>
      <w:sz w:val="27"/>
      <w:szCs w:val="27"/>
      <w:u w:val="none"/>
    </w:rPr>
  </w:style>
  <w:style w:type="character" w:customStyle="1" w:styleId="75">
    <w:name w:val="first-child"/>
    <w:qFormat/>
    <w:uiPriority w:val="0"/>
  </w:style>
  <w:style w:type="character" w:customStyle="1" w:styleId="76">
    <w:name w:val="【正文】 Char"/>
    <w:link w:val="77"/>
    <w:qFormat/>
    <w:uiPriority w:val="0"/>
    <w:rPr>
      <w:rFonts w:cs="DokChampa"/>
      <w:kern w:val="2"/>
      <w:sz w:val="24"/>
      <w:szCs w:val="22"/>
    </w:rPr>
  </w:style>
  <w:style w:type="paragraph" w:customStyle="1" w:styleId="77">
    <w:name w:val="【正文】"/>
    <w:basedOn w:val="1"/>
    <w:link w:val="76"/>
    <w:autoRedefine/>
    <w:qFormat/>
    <w:uiPriority w:val="0"/>
    <w:pPr>
      <w:spacing w:line="360" w:lineRule="auto"/>
      <w:ind w:firstLine="480" w:firstLineChars="200"/>
    </w:pPr>
    <w:rPr>
      <w:sz w:val="24"/>
      <w:szCs w:val="22"/>
    </w:rPr>
  </w:style>
  <w:style w:type="character" w:customStyle="1" w:styleId="78">
    <w:name w:val="font131"/>
    <w:qFormat/>
    <w:uiPriority w:val="0"/>
    <w:rPr>
      <w:rFonts w:ascii="仿宋" w:hAnsi="仿宋" w:eastAsia="仿宋" w:cs="仿宋"/>
      <w:color w:val="000000"/>
      <w:sz w:val="24"/>
      <w:szCs w:val="24"/>
      <w:u w:val="none"/>
    </w:rPr>
  </w:style>
  <w:style w:type="character" w:customStyle="1" w:styleId="79">
    <w:name w:val="font181"/>
    <w:qFormat/>
    <w:uiPriority w:val="0"/>
    <w:rPr>
      <w:rFonts w:hint="eastAsia" w:ascii="宋体" w:hAnsi="宋体" w:eastAsia="宋体" w:cs="宋体"/>
      <w:color w:val="1A66B3"/>
      <w:sz w:val="18"/>
      <w:szCs w:val="18"/>
      <w:u w:val="none"/>
    </w:rPr>
  </w:style>
  <w:style w:type="character" w:customStyle="1" w:styleId="80">
    <w:name w:val="hover3"/>
    <w:qFormat/>
    <w:uiPriority w:val="0"/>
  </w:style>
  <w:style w:type="character" w:customStyle="1" w:styleId="81">
    <w:name w:val="font112"/>
    <w:autoRedefine/>
    <w:qFormat/>
    <w:uiPriority w:val="0"/>
    <w:rPr>
      <w:rFonts w:ascii="Verdana" w:hAnsi="Verdana" w:cs="Verdana"/>
      <w:color w:val="000000"/>
      <w:sz w:val="18"/>
      <w:szCs w:val="18"/>
      <w:u w:val="none"/>
    </w:rPr>
  </w:style>
  <w:style w:type="character" w:customStyle="1" w:styleId="82">
    <w:name w:val="font81"/>
    <w:qFormat/>
    <w:uiPriority w:val="0"/>
    <w:rPr>
      <w:rFonts w:hint="default" w:ascii="Verdana" w:hAnsi="Verdana" w:cs="Verdana"/>
      <w:color w:val="000000"/>
      <w:sz w:val="18"/>
      <w:szCs w:val="18"/>
      <w:u w:val="none"/>
    </w:rPr>
  </w:style>
  <w:style w:type="character" w:customStyle="1" w:styleId="83">
    <w:name w:val="hover"/>
    <w:qFormat/>
    <w:uiPriority w:val="0"/>
    <w:rPr>
      <w:color w:val="2590EB"/>
      <w:shd w:val="clear" w:color="auto" w:fill="E9F4FD"/>
    </w:rPr>
  </w:style>
  <w:style w:type="character" w:customStyle="1" w:styleId="84">
    <w:name w:val="font41"/>
    <w:autoRedefine/>
    <w:qFormat/>
    <w:uiPriority w:val="0"/>
    <w:rPr>
      <w:rFonts w:hint="eastAsia" w:ascii="宋体" w:hAnsi="宋体" w:eastAsia="宋体" w:cs="宋体"/>
      <w:color w:val="000000"/>
      <w:sz w:val="22"/>
      <w:szCs w:val="22"/>
      <w:u w:val="none"/>
    </w:rPr>
  </w:style>
  <w:style w:type="character" w:customStyle="1" w:styleId="85">
    <w:name w:val="hover2"/>
    <w:qFormat/>
    <w:uiPriority w:val="0"/>
    <w:rPr>
      <w:color w:val="2590EB"/>
    </w:rPr>
  </w:style>
  <w:style w:type="character" w:customStyle="1" w:styleId="86">
    <w:name w:val="hover1"/>
    <w:qFormat/>
    <w:uiPriority w:val="0"/>
    <w:rPr>
      <w:color w:val="2590EB"/>
    </w:rPr>
  </w:style>
  <w:style w:type="character" w:customStyle="1" w:styleId="87">
    <w:name w:val="first-child1"/>
    <w:autoRedefine/>
    <w:qFormat/>
    <w:uiPriority w:val="0"/>
  </w:style>
  <w:style w:type="character" w:customStyle="1" w:styleId="88">
    <w:name w:val="selected"/>
    <w:qFormat/>
    <w:uiPriority w:val="0"/>
    <w:rPr>
      <w:shd w:val="clear" w:color="auto" w:fill="B00006"/>
    </w:rPr>
  </w:style>
  <w:style w:type="character" w:customStyle="1" w:styleId="89">
    <w:name w:val="gpa"/>
    <w:autoRedefine/>
    <w:qFormat/>
    <w:uiPriority w:val="0"/>
    <w:rPr>
      <w:rFonts w:ascii="Arial" w:hAnsi="Arial" w:cs="Arial"/>
      <w:sz w:val="15"/>
      <w:szCs w:val="15"/>
    </w:rPr>
  </w:style>
  <w:style w:type="character" w:customStyle="1" w:styleId="90">
    <w:name w:val="apple-converted-space"/>
    <w:qFormat/>
    <w:uiPriority w:val="0"/>
  </w:style>
  <w:style w:type="character" w:customStyle="1" w:styleId="91">
    <w:name w:val="列出段落 Char"/>
    <w:link w:val="92"/>
    <w:autoRedefine/>
    <w:qFormat/>
    <w:locked/>
    <w:uiPriority w:val="0"/>
    <w:rPr>
      <w:rFonts w:ascii="Calibri" w:hAnsi="Calibri" w:eastAsia="宋体"/>
      <w:kern w:val="2"/>
      <w:sz w:val="21"/>
      <w:szCs w:val="22"/>
      <w:lang w:val="en-US" w:eastAsia="zh-CN" w:bidi="ar-SA"/>
    </w:rPr>
  </w:style>
  <w:style w:type="paragraph" w:customStyle="1" w:styleId="92">
    <w:name w:val="List Paragraph1"/>
    <w:basedOn w:val="1"/>
    <w:link w:val="91"/>
    <w:qFormat/>
    <w:uiPriority w:val="0"/>
    <w:pPr>
      <w:spacing w:line="312" w:lineRule="auto"/>
      <w:ind w:firstLine="420" w:firstLineChars="200"/>
    </w:pPr>
    <w:rPr>
      <w:rFonts w:ascii="Calibri" w:hAnsi="Calibri"/>
      <w:szCs w:val="22"/>
    </w:rPr>
  </w:style>
  <w:style w:type="character" w:customStyle="1" w:styleId="93">
    <w:name w:val="displayarti"/>
    <w:qFormat/>
    <w:uiPriority w:val="0"/>
    <w:rPr>
      <w:color w:val="FFFFFF"/>
      <w:shd w:val="clear" w:color="auto" w:fill="A00000"/>
    </w:rPr>
  </w:style>
  <w:style w:type="character" w:customStyle="1" w:styleId="94">
    <w:name w:val="正文首行缩进 2 Char1"/>
    <w:autoRedefine/>
    <w:qFormat/>
    <w:uiPriority w:val="0"/>
  </w:style>
  <w:style w:type="character" w:customStyle="1" w:styleId="95">
    <w:name w:val="layui-this"/>
    <w:autoRedefine/>
    <w:qFormat/>
    <w:uiPriority w:val="0"/>
    <w:rPr>
      <w:bdr w:val="single" w:color="EEEEEE" w:sz="6" w:space="0"/>
      <w:shd w:val="clear" w:color="auto" w:fill="FFFFFF"/>
    </w:rPr>
  </w:style>
  <w:style w:type="character" w:customStyle="1" w:styleId="96">
    <w:name w:val="font151"/>
    <w:autoRedefine/>
    <w:qFormat/>
    <w:uiPriority w:val="0"/>
    <w:rPr>
      <w:rFonts w:hint="default" w:ascii="Verdana" w:hAnsi="Verdana" w:cs="Verdana"/>
      <w:b/>
      <w:bCs/>
      <w:color w:val="333333"/>
      <w:sz w:val="27"/>
      <w:szCs w:val="27"/>
      <w:u w:val="none"/>
    </w:rPr>
  </w:style>
  <w:style w:type="character" w:customStyle="1" w:styleId="97">
    <w:name w:val="font171"/>
    <w:autoRedefine/>
    <w:qFormat/>
    <w:uiPriority w:val="0"/>
    <w:rPr>
      <w:rFonts w:hint="eastAsia" w:ascii="宋体" w:hAnsi="宋体" w:eastAsia="宋体" w:cs="宋体"/>
      <w:color w:val="646464"/>
      <w:sz w:val="18"/>
      <w:szCs w:val="18"/>
      <w:u w:val="none"/>
    </w:rPr>
  </w:style>
  <w:style w:type="character" w:customStyle="1" w:styleId="98">
    <w:name w:val="hover7"/>
    <w:autoRedefine/>
    <w:qFormat/>
    <w:uiPriority w:val="0"/>
    <w:rPr>
      <w:color w:val="315EFB"/>
    </w:rPr>
  </w:style>
  <w:style w:type="paragraph" w:customStyle="1" w:styleId="99">
    <w:name w:val="列表2"/>
    <w:basedOn w:val="1"/>
    <w:next w:val="1"/>
    <w:qFormat/>
    <w:uiPriority w:val="0"/>
    <w:pPr>
      <w:numPr>
        <w:ilvl w:val="0"/>
        <w:numId w:val="5"/>
      </w:numPr>
      <w:spacing w:line="200" w:lineRule="atLeast"/>
    </w:pPr>
    <w:rPr>
      <w:rFonts w:eastAsia="仿宋"/>
      <w:sz w:val="28"/>
    </w:rPr>
  </w:style>
  <w:style w:type="paragraph" w:customStyle="1" w:styleId="100">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1">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2">
    <w:name w:val="Char"/>
    <w:basedOn w:val="1"/>
    <w:next w:val="1"/>
    <w:autoRedefine/>
    <w:qFormat/>
    <w:uiPriority w:val="0"/>
    <w:pPr>
      <w:widowControl/>
      <w:spacing w:line="360" w:lineRule="auto"/>
      <w:jc w:val="left"/>
    </w:pPr>
    <w:rPr>
      <w:kern w:val="0"/>
      <w:szCs w:val="20"/>
      <w:lang w:eastAsia="en-US"/>
    </w:rPr>
  </w:style>
  <w:style w:type="paragraph" w:customStyle="1" w:styleId="103">
    <w:name w:val="样式1"/>
    <w:basedOn w:val="1"/>
    <w:qFormat/>
    <w:uiPriority w:val="0"/>
    <w:pPr>
      <w:spacing w:line="360" w:lineRule="auto"/>
      <w:jc w:val="center"/>
    </w:pPr>
    <w:rPr>
      <w:rFonts w:ascii="Times New Roman" w:hAnsi="Times New Roman" w:cs="Times New Roman"/>
      <w:b/>
      <w:sz w:val="30"/>
      <w:szCs w:val="30"/>
    </w:rPr>
  </w:style>
  <w:style w:type="paragraph" w:customStyle="1" w:styleId="104">
    <w:name w:val=" Char Char Char Char"/>
    <w:basedOn w:val="1"/>
    <w:qFormat/>
    <w:uiPriority w:val="0"/>
    <w:rPr>
      <w:rFonts w:ascii="Tahoma" w:hAnsi="Tahoma"/>
      <w:sz w:val="24"/>
      <w:szCs w:val="20"/>
    </w:rPr>
  </w:style>
  <w:style w:type="paragraph" w:customStyle="1" w:styleId="105">
    <w:name w:val="_Style 4"/>
    <w:basedOn w:val="1"/>
    <w:qFormat/>
    <w:uiPriority w:val="34"/>
    <w:pPr>
      <w:adjustRightInd w:val="0"/>
      <w:ind w:firstLine="420" w:firstLineChars="200"/>
      <w:jc w:val="left"/>
      <w:textAlignment w:val="baseline"/>
    </w:pPr>
    <w:rPr>
      <w:kern w:val="0"/>
      <w:szCs w:val="20"/>
    </w:rPr>
  </w:style>
  <w:style w:type="paragraph" w:customStyle="1" w:styleId="106">
    <w:name w:val="列出段落2"/>
    <w:basedOn w:val="1"/>
    <w:autoRedefine/>
    <w:qFormat/>
    <w:uiPriority w:val="0"/>
    <w:pPr>
      <w:ind w:firstLine="420" w:firstLineChars="200"/>
    </w:pPr>
    <w:rPr>
      <w:rFonts w:ascii="Calibri" w:hAnsi="Calibri"/>
      <w:szCs w:val="22"/>
    </w:rPr>
  </w:style>
  <w:style w:type="paragraph" w:customStyle="1" w:styleId="107">
    <w:name w:val="列出段落11"/>
    <w:basedOn w:val="1"/>
    <w:qFormat/>
    <w:uiPriority w:val="0"/>
    <w:pPr>
      <w:spacing w:after="120" w:line="360" w:lineRule="auto"/>
      <w:ind w:firstLine="420" w:firstLineChars="200"/>
    </w:pPr>
    <w:rPr>
      <w:rFonts w:ascii="Calibri" w:hAnsi="Calibri"/>
      <w:szCs w:val="22"/>
    </w:rPr>
  </w:style>
  <w:style w:type="paragraph" w:customStyle="1" w:styleId="108">
    <w:name w:val="xl25"/>
    <w:basedOn w:val="1"/>
    <w:autoRedefine/>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09">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0">
    <w:name w:val="Table Paragraph"/>
    <w:basedOn w:val="1"/>
    <w:autoRedefine/>
    <w:qFormat/>
    <w:uiPriority w:val="1"/>
    <w:rPr>
      <w:rFonts w:ascii="宋体" w:hAnsi="宋体" w:eastAsia="宋体" w:cs="宋体"/>
      <w:lang w:val="zh-CN" w:eastAsia="zh-CN" w:bidi="zh-CN"/>
    </w:rPr>
  </w:style>
  <w:style w:type="paragraph" w:customStyle="1" w:styleId="111">
    <w:name w:val="D&amp;L"/>
    <w:basedOn w:val="25"/>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2">
    <w:name w:val="列出段落1"/>
    <w:basedOn w:val="1"/>
    <w:qFormat/>
    <w:uiPriority w:val="34"/>
    <w:pPr>
      <w:ind w:firstLine="420" w:firstLineChars="200"/>
    </w:pPr>
  </w:style>
  <w:style w:type="paragraph" w:customStyle="1" w:styleId="113">
    <w:name w:val="Char Char Char Char Char Char Char1 Char"/>
    <w:basedOn w:val="1"/>
    <w:qFormat/>
    <w:uiPriority w:val="0"/>
    <w:rPr>
      <w:rFonts w:ascii="Tahoma" w:hAnsi="Tahoma"/>
      <w:sz w:val="24"/>
      <w:szCs w:val="20"/>
    </w:rPr>
  </w:style>
  <w:style w:type="paragraph" w:styleId="114">
    <w:name w:val="List Paragraph"/>
    <w:basedOn w:val="1"/>
    <w:qFormat/>
    <w:uiPriority w:val="0"/>
    <w:pPr>
      <w:spacing w:line="360" w:lineRule="auto"/>
      <w:ind w:firstLine="420" w:firstLineChars="200"/>
    </w:pPr>
    <w:rPr>
      <w:rFonts w:ascii="宋体" w:hAnsi="宋体" w:cs="宋体"/>
      <w:sz w:val="24"/>
    </w:rPr>
  </w:style>
  <w:style w:type="paragraph" w:customStyle="1" w:styleId="115">
    <w:name w:val="List Paragraph2"/>
    <w:basedOn w:val="1"/>
    <w:autoRedefine/>
    <w:qFormat/>
    <w:uiPriority w:val="0"/>
    <w:pPr>
      <w:spacing w:line="360" w:lineRule="auto"/>
      <w:ind w:firstLine="420"/>
    </w:pPr>
    <w:rPr>
      <w:color w:val="000000"/>
      <w:sz w:val="24"/>
      <w:szCs w:val="21"/>
    </w:rPr>
  </w:style>
  <w:style w:type="paragraph" w:customStyle="1" w:styleId="116">
    <w:name w:val="（无样式）"/>
    <w:basedOn w:val="1"/>
    <w:qFormat/>
    <w:uiPriority w:val="0"/>
    <w:pPr>
      <w:widowControl/>
      <w:numPr>
        <w:ilvl w:val="0"/>
        <w:numId w:val="7"/>
      </w:numPr>
      <w:spacing w:line="360" w:lineRule="auto"/>
      <w:ind w:firstLine="0"/>
    </w:pPr>
    <w:rPr>
      <w:sz w:val="24"/>
      <w:szCs w:val="20"/>
    </w:rPr>
  </w:style>
  <w:style w:type="paragraph" w:customStyle="1" w:styleId="117">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8">
    <w:name w:val="标题3-副本"/>
    <w:basedOn w:val="27"/>
    <w:qFormat/>
    <w:uiPriority w:val="0"/>
    <w:pPr>
      <w:numPr>
        <w:ilvl w:val="0"/>
        <w:numId w:val="0"/>
      </w:numPr>
      <w:ind w:left="840"/>
    </w:pPr>
  </w:style>
  <w:style w:type="paragraph" w:customStyle="1" w:styleId="119">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120">
    <w:name w:val="_Style 2"/>
    <w:basedOn w:val="1"/>
    <w:qFormat/>
    <w:uiPriority w:val="0"/>
  </w:style>
  <w:style w:type="paragraph" w:customStyle="1" w:styleId="121">
    <w:name w:val="p0"/>
    <w:basedOn w:val="1"/>
    <w:autoRedefine/>
    <w:qFormat/>
    <w:uiPriority w:val="0"/>
    <w:pPr>
      <w:widowControl/>
      <w:spacing w:line="365" w:lineRule="atLeast"/>
      <w:ind w:left="1"/>
      <w:textAlignment w:val="bottom"/>
    </w:pPr>
    <w:rPr>
      <w:rFonts w:ascii="Calibri" w:hAnsi="Calibri"/>
      <w:kern w:val="0"/>
      <w:sz w:val="20"/>
      <w:szCs w:val="22"/>
    </w:rPr>
  </w:style>
  <w:style w:type="paragraph" w:customStyle="1" w:styleId="122">
    <w:name w:val="xl31"/>
    <w:basedOn w:val="1"/>
    <w:qFormat/>
    <w:uiPriority w:val="0"/>
    <w:pPr>
      <w:widowControl/>
      <w:spacing w:before="100" w:beforeAutospacing="1" w:after="100" w:afterAutospacing="1"/>
      <w:jc w:val="center"/>
    </w:pPr>
    <w:rPr>
      <w:b/>
      <w:bCs/>
      <w:kern w:val="0"/>
      <w:sz w:val="28"/>
      <w:szCs w:val="28"/>
    </w:rPr>
  </w:style>
  <w:style w:type="paragraph" w:customStyle="1" w:styleId="123">
    <w:name w:val=" Char"/>
    <w:basedOn w:val="1"/>
    <w:autoRedefine/>
    <w:qFormat/>
    <w:uiPriority w:val="0"/>
  </w:style>
  <w:style w:type="paragraph" w:customStyle="1" w:styleId="124">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5">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26">
    <w:name w:val="_Style 117"/>
    <w:basedOn w:val="1"/>
    <w:next w:val="1"/>
    <w:autoRedefine/>
    <w:qFormat/>
    <w:uiPriority w:val="0"/>
    <w:pPr>
      <w:pBdr>
        <w:bottom w:val="single" w:color="auto" w:sz="6" w:space="1"/>
      </w:pBdr>
      <w:jc w:val="center"/>
    </w:pPr>
    <w:rPr>
      <w:rFonts w:ascii="Arial" w:eastAsia="宋体"/>
      <w:vanish/>
      <w:sz w:val="16"/>
    </w:rPr>
  </w:style>
  <w:style w:type="paragraph" w:customStyle="1" w:styleId="127">
    <w:name w:val="_Style 118"/>
    <w:basedOn w:val="1"/>
    <w:next w:val="1"/>
    <w:autoRedefine/>
    <w:qFormat/>
    <w:uiPriority w:val="0"/>
    <w:pPr>
      <w:pBdr>
        <w:top w:val="single" w:color="auto" w:sz="6" w:space="1"/>
      </w:pBdr>
      <w:jc w:val="center"/>
    </w:pPr>
    <w:rPr>
      <w:rFonts w:ascii="Arial" w:eastAsia="宋体"/>
      <w:vanish/>
      <w:sz w:val="16"/>
    </w:rPr>
  </w:style>
  <w:style w:type="character" w:customStyle="1" w:styleId="128">
    <w:name w:val="num"/>
    <w:basedOn w:val="36"/>
    <w:autoRedefine/>
    <w:qFormat/>
    <w:uiPriority w:val="0"/>
    <w:rPr>
      <w:b/>
      <w:bCs/>
      <w:color w:val="FF7800"/>
    </w:rPr>
  </w:style>
  <w:style w:type="character" w:customStyle="1" w:styleId="129">
    <w:name w:val="a-desc"/>
    <w:basedOn w:val="36"/>
    <w:autoRedefine/>
    <w:qFormat/>
    <w:uiPriority w:val="0"/>
    <w:rPr>
      <w:color w:val="315EFB"/>
    </w:rPr>
  </w:style>
  <w:style w:type="character" w:customStyle="1" w:styleId="130">
    <w:name w:val="bg"/>
    <w:basedOn w:val="36"/>
    <w:autoRedefine/>
    <w:qFormat/>
    <w:uiPriority w:val="0"/>
    <w:rPr>
      <w:shd w:val="clear" w:color="auto" w:fill="000000"/>
    </w:rPr>
  </w:style>
  <w:style w:type="character" w:customStyle="1" w:styleId="131">
    <w:name w:val="bg1"/>
    <w:basedOn w:val="36"/>
    <w:qFormat/>
    <w:uiPriority w:val="0"/>
    <w:rPr>
      <w:shd w:val="clear" w:color="auto" w:fill="000000"/>
    </w:rPr>
  </w:style>
  <w:style w:type="character" w:customStyle="1" w:styleId="132">
    <w:name w:val="bg2"/>
    <w:basedOn w:val="36"/>
    <w:qFormat/>
    <w:uiPriority w:val="0"/>
    <w:rPr>
      <w:shd w:val="clear" w:color="auto" w:fill="000000"/>
    </w:rPr>
  </w:style>
  <w:style w:type="character" w:customStyle="1" w:styleId="133">
    <w:name w:val="iknow-qb-ad-sou-icon"/>
    <w:basedOn w:val="36"/>
    <w:autoRedefine/>
    <w:qFormat/>
    <w:uiPriority w:val="0"/>
  </w:style>
  <w:style w:type="character" w:customStyle="1" w:styleId="134">
    <w:name w:val="del-btn"/>
    <w:basedOn w:val="36"/>
    <w:autoRedefine/>
    <w:qFormat/>
    <w:uiPriority w:val="0"/>
  </w:style>
  <w:style w:type="character" w:customStyle="1" w:styleId="135">
    <w:name w:val="del-btn1"/>
    <w:basedOn w:val="36"/>
    <w:qFormat/>
    <w:uiPriority w:val="0"/>
  </w:style>
  <w:style w:type="character" w:customStyle="1" w:styleId="136">
    <w:name w:val="del-btn2"/>
    <w:basedOn w:val="36"/>
    <w:qFormat/>
    <w:uiPriority w:val="0"/>
  </w:style>
  <w:style w:type="character" w:customStyle="1" w:styleId="137">
    <w:name w:val="answer-title"/>
    <w:basedOn w:val="36"/>
    <w:qFormat/>
    <w:uiPriority w:val="0"/>
  </w:style>
  <w:style w:type="character" w:customStyle="1" w:styleId="138">
    <w:name w:val="new-icon2"/>
    <w:basedOn w:val="36"/>
    <w:qFormat/>
    <w:uiPriority w:val="0"/>
  </w:style>
  <w:style w:type="character" w:customStyle="1" w:styleId="139">
    <w:name w:val="new-icon3"/>
    <w:basedOn w:val="36"/>
    <w:qFormat/>
    <w:uiPriority w:val="0"/>
  </w:style>
  <w:style w:type="character" w:customStyle="1" w:styleId="140">
    <w:name w:val="green"/>
    <w:basedOn w:val="36"/>
    <w:qFormat/>
    <w:uiPriority w:val="0"/>
    <w:rPr>
      <w:color w:val="3B6FFF"/>
    </w:rPr>
  </w:style>
  <w:style w:type="character" w:customStyle="1" w:styleId="141">
    <w:name w:val="green1"/>
    <w:basedOn w:val="36"/>
    <w:autoRedefine/>
    <w:qFormat/>
    <w:uiPriority w:val="0"/>
    <w:rPr>
      <w:color w:val="3B6FFF"/>
    </w:rPr>
  </w:style>
  <w:style w:type="character" w:customStyle="1" w:styleId="142">
    <w:name w:val="green2"/>
    <w:basedOn w:val="36"/>
    <w:qFormat/>
    <w:uiPriority w:val="0"/>
    <w:rPr>
      <w:color w:val="4DC86F"/>
    </w:rPr>
  </w:style>
  <w:style w:type="character" w:customStyle="1" w:styleId="143">
    <w:name w:val="green3"/>
    <w:basedOn w:val="36"/>
    <w:qFormat/>
    <w:uiPriority w:val="0"/>
    <w:rPr>
      <w:color w:val="4DC86F"/>
    </w:rPr>
  </w:style>
  <w:style w:type="character" w:customStyle="1" w:styleId="144">
    <w:name w:val="answer-title2"/>
    <w:basedOn w:val="36"/>
    <w:qFormat/>
    <w:uiPriority w:val="0"/>
  </w:style>
  <w:style w:type="character" w:customStyle="1" w:styleId="145">
    <w:name w:val="new-icon"/>
    <w:basedOn w:val="36"/>
    <w:qFormat/>
    <w:uiPriority w:val="0"/>
  </w:style>
  <w:style w:type="character" w:customStyle="1" w:styleId="146">
    <w:name w:val="new-icon1"/>
    <w:basedOn w:val="36"/>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72</Pages>
  <Words>39643</Words>
  <Characters>42369</Characters>
  <Lines>358</Lines>
  <Paragraphs>100</Paragraphs>
  <TotalTime>7</TotalTime>
  <ScaleCrop>false</ScaleCrop>
  <LinksUpToDate>false</LinksUpToDate>
  <CharactersWithSpaces>46884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韦韦</cp:lastModifiedBy>
  <cp:lastPrinted>2023-12-15T01:51:00Z</cp:lastPrinted>
  <dcterms:modified xsi:type="dcterms:W3CDTF">2023-12-19T09:59:41Z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1E635EE98FC244849E5B1E42E59CA979_13</vt:lpwstr>
  </property>
</Properties>
</file>