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line="400" w:lineRule="exact"/>
        <w:jc w:val="center"/>
        <w:rPr>
          <w:rFonts w:hint="eastAsia" w:ascii="宋体" w:hAnsi="宋体" w:eastAsia="新宋体" w:cs="宋体"/>
          <w:lang w:val="en-US" w:eastAsia="zh-CN"/>
        </w:rPr>
      </w:pPr>
      <w:r>
        <w:rPr>
          <w:rFonts w:hint="eastAsia" w:ascii="新宋体" w:hAnsi="新宋体" w:eastAsia="新宋体" w:cs="新宋体"/>
          <w:b/>
          <w:bCs/>
          <w:sz w:val="30"/>
          <w:szCs w:val="30"/>
        </w:rPr>
        <w:t>滁州工投科技产业园食堂经营权项目招标</w:t>
      </w:r>
      <w:r>
        <w:rPr>
          <w:rFonts w:hint="eastAsia" w:ascii="新宋体" w:hAnsi="新宋体" w:eastAsia="新宋体" w:cs="新宋体"/>
          <w:b/>
          <w:bCs/>
          <w:sz w:val="30"/>
          <w:szCs w:val="30"/>
          <w:lang w:val="en-US" w:eastAsia="zh-CN"/>
        </w:rPr>
        <w:t>文件</w:t>
      </w:r>
    </w:p>
    <w:p>
      <w:pPr>
        <w:pStyle w:val="8"/>
        <w:widowControl/>
        <w:overflowPunct w:val="0"/>
        <w:spacing w:line="400" w:lineRule="exact"/>
        <w:jc w:val="center"/>
        <w:rPr>
          <w:rFonts w:ascii="Times New Roman" w:hAnsi="Times New Roman"/>
          <w:sz w:val="20"/>
          <w:szCs w:val="20"/>
        </w:rPr>
      </w:pPr>
      <w:r>
        <w:rPr>
          <w:rFonts w:hint="eastAsia" w:ascii="宋体" w:hAnsi="宋体" w:cs="宋体"/>
        </w:rPr>
        <w:t xml:space="preserve">项目编号：  </w:t>
      </w:r>
    </w:p>
    <w:p>
      <w:pPr>
        <w:pStyle w:val="8"/>
        <w:widowControl/>
        <w:wordWrap w:val="0"/>
        <w:spacing w:line="400" w:lineRule="exact"/>
        <w:ind w:right="-512" w:rightChars="-244" w:firstLine="480" w:firstLineChars="200"/>
        <w:rPr>
          <w:rFonts w:ascii="宋体" w:hAnsi="宋体" w:cs="宋体"/>
        </w:rPr>
      </w:pPr>
      <w:r>
        <w:rPr>
          <w:rFonts w:hint="eastAsia"/>
        </w:rPr>
        <w:t>滁州工投科技产业园发展有限公司</w:t>
      </w:r>
      <w:r>
        <w:rPr>
          <w:rFonts w:hint="eastAsia" w:ascii="宋体" w:hAnsi="宋体" w:cs="宋体"/>
        </w:rPr>
        <w:t>将于202</w:t>
      </w:r>
      <w:r>
        <w:rPr>
          <w:rFonts w:hint="eastAsia" w:ascii="宋体" w:hAnsi="宋体" w:cs="宋体"/>
          <w:lang w:val="en-US" w:eastAsia="zh-CN"/>
        </w:rPr>
        <w:t>3</w:t>
      </w:r>
      <w:r>
        <w:rPr>
          <w:rFonts w:hint="eastAsia" w:ascii="宋体" w:hAnsi="宋体" w:cs="宋体"/>
        </w:rPr>
        <w:t>年</w:t>
      </w:r>
      <w:r>
        <w:rPr>
          <w:rFonts w:hint="eastAsia" w:ascii="宋体" w:hAnsi="宋体" w:cs="宋体"/>
          <w:lang w:val="en-US" w:eastAsia="zh-CN"/>
        </w:rPr>
        <w:t>12</w:t>
      </w:r>
      <w:r>
        <w:rPr>
          <w:rFonts w:hint="eastAsia" w:ascii="宋体" w:hAnsi="宋体" w:cs="宋体"/>
        </w:rPr>
        <w:t>月</w:t>
      </w:r>
      <w:r>
        <w:rPr>
          <w:rFonts w:hint="eastAsia" w:ascii="宋体" w:hAnsi="宋体" w:cs="宋体"/>
          <w:lang w:val="en-US" w:eastAsia="zh-CN"/>
        </w:rPr>
        <w:t>20</w:t>
      </w:r>
      <w:r>
        <w:rPr>
          <w:rFonts w:hint="eastAsia" w:ascii="宋体" w:hAnsi="宋体" w:cs="宋体"/>
        </w:rPr>
        <w:t>日</w:t>
      </w:r>
      <w:r>
        <w:rPr>
          <w:rFonts w:hint="eastAsia" w:ascii="宋体" w:hAnsi="宋体" w:cs="宋体"/>
          <w:lang w:val="en-US" w:eastAsia="zh-CN"/>
        </w:rPr>
        <w:t>15</w:t>
      </w:r>
      <w:r>
        <w:rPr>
          <w:rFonts w:hint="eastAsia" w:ascii="宋体" w:hAnsi="宋体" w:cs="宋体"/>
        </w:rPr>
        <w:t>时在滁州市醉翁路与中都大道交叉口西南侧城投大厦13楼会议室对该项目进行公开招标，现公告如下：</w:t>
      </w:r>
    </w:p>
    <w:p>
      <w:pPr>
        <w:pStyle w:val="8"/>
        <w:widowControl/>
        <w:wordWrap w:val="0"/>
        <w:spacing w:line="400" w:lineRule="exact"/>
        <w:ind w:right="-512" w:rightChars="-244" w:firstLine="482" w:firstLineChars="200"/>
        <w:rPr>
          <w:rFonts w:hint="eastAsia" w:ascii="宋体" w:hAnsi="宋体" w:cs="宋体"/>
          <w:b/>
          <w:bCs/>
          <w:lang w:eastAsia="zh-CN"/>
        </w:rPr>
      </w:pPr>
      <w:r>
        <w:rPr>
          <w:rFonts w:hint="eastAsia" w:ascii="宋体" w:hAnsi="宋体" w:cs="宋体"/>
          <w:b/>
          <w:bCs/>
          <w:lang w:eastAsia="zh-CN"/>
        </w:rPr>
        <w:t>一、</w:t>
      </w:r>
      <w:r>
        <w:rPr>
          <w:rFonts w:hint="eastAsia" w:ascii="宋体" w:hAnsi="宋体" w:cs="宋体"/>
          <w:b/>
          <w:bCs/>
          <w:lang w:val="en-US" w:eastAsia="zh-CN"/>
        </w:rPr>
        <w:t>项目概况</w:t>
      </w:r>
      <w:r>
        <w:rPr>
          <w:rFonts w:hint="eastAsia" w:ascii="宋体" w:hAnsi="宋体" w:cs="宋体"/>
          <w:b/>
          <w:bCs/>
          <w:lang w:eastAsia="zh-CN"/>
        </w:rPr>
        <w:t>：</w:t>
      </w:r>
    </w:p>
    <w:p>
      <w:pPr>
        <w:pStyle w:val="8"/>
        <w:widowControl/>
        <w:wordWrap w:val="0"/>
        <w:spacing w:line="400" w:lineRule="exact"/>
        <w:ind w:right="-512" w:rightChars="-244" w:firstLine="480" w:firstLineChars="200"/>
        <w:rPr>
          <w:rFonts w:hint="eastAsia" w:ascii="宋体" w:hAnsi="宋体" w:cs="宋体"/>
          <w:lang w:eastAsia="zh-CN"/>
        </w:rPr>
      </w:pPr>
      <w:r>
        <w:rPr>
          <w:rFonts w:hint="eastAsia" w:ascii="宋体" w:hAnsi="宋体" w:cs="宋体"/>
          <w:lang w:eastAsia="zh-CN"/>
        </w:rPr>
        <w:t>滁州工投科技产业园食堂经营权招标项目，共一个标段；本次竞价标的物位于：安徽省滁州市苏滁产业园子美路9号滁州工投科技产业园。水电气已配备完毕、内部已完成装修，本招标项目已配备基础厨具设施设备及桌椅，中标方可根据自身需求进行设施设备完善，有意者自行现场勘察。本项目房产只能用于食堂（必须配备一个小型便利店）经营。中标方应按交易公告约定的用途依法经营，不得从事约定外的经营活动。滁州工投科技产业园</w:t>
      </w:r>
      <w:r>
        <w:rPr>
          <w:rFonts w:hint="eastAsia" w:ascii="宋体" w:hAnsi="宋体" w:eastAsia="宋体" w:cs="宋体"/>
          <w:lang w:eastAsia="zh-CN"/>
        </w:rPr>
        <w:t>位于苏滁产业园子美路9号，2020年7月份竣工投入使用，占地面积约16万㎡，建筑面积约22万㎡。共计厂房35家。食堂位于综合楼一、二层，食堂大厅1167平方米，</w:t>
      </w:r>
      <w:r>
        <w:rPr>
          <w:rFonts w:hint="eastAsia" w:ascii="宋体" w:hAnsi="宋体" w:eastAsia="宋体" w:cs="宋体"/>
          <w:lang w:val="en-US" w:eastAsia="zh-CN"/>
        </w:rPr>
        <w:t>后厨及售卖区629</w:t>
      </w:r>
      <w:r>
        <w:rPr>
          <w:rFonts w:hint="eastAsia" w:ascii="宋体" w:hAnsi="宋体" w:eastAsia="宋体" w:cs="宋体"/>
          <w:lang w:eastAsia="zh-CN"/>
        </w:rPr>
        <w:t>平方米，便利店</w:t>
      </w:r>
      <w:r>
        <w:rPr>
          <w:rFonts w:hint="eastAsia" w:ascii="宋体" w:hAnsi="宋体" w:eastAsia="宋体" w:cs="宋体"/>
          <w:lang w:val="en-US" w:eastAsia="zh-CN"/>
        </w:rPr>
        <w:t>90</w:t>
      </w:r>
      <w:r>
        <w:rPr>
          <w:rFonts w:hint="eastAsia" w:ascii="宋体" w:hAnsi="宋体" w:eastAsia="宋体" w:cs="宋体"/>
          <w:lang w:eastAsia="zh-CN"/>
        </w:rPr>
        <w:t>平方米，合计座位8</w:t>
      </w:r>
      <w:r>
        <w:rPr>
          <w:rFonts w:hint="eastAsia" w:ascii="宋体" w:hAnsi="宋体" w:eastAsia="宋体" w:cs="宋体"/>
          <w:lang w:val="en-US" w:eastAsia="zh-CN"/>
        </w:rPr>
        <w:t>00</w:t>
      </w:r>
      <w:r>
        <w:rPr>
          <w:rFonts w:hint="eastAsia" w:ascii="宋体" w:hAnsi="宋体" w:eastAsia="宋体" w:cs="宋体"/>
          <w:lang w:eastAsia="zh-CN"/>
        </w:rPr>
        <w:t>位。二楼包间4个，分别为21.6平方米两间，19.44平方米</w:t>
      </w:r>
      <w:r>
        <w:rPr>
          <w:rFonts w:hint="eastAsia" w:ascii="宋体" w:hAnsi="宋体" w:cs="宋体"/>
          <w:lang w:eastAsia="zh-CN"/>
        </w:rPr>
        <w:t>、37.75平方米各一间，</w:t>
      </w:r>
      <w:r>
        <w:rPr>
          <w:rFonts w:hint="eastAsia" w:ascii="宋体" w:hAnsi="宋体" w:cs="宋体"/>
          <w:lang w:val="en-US" w:eastAsia="zh-CN"/>
        </w:rPr>
        <w:t>合计1986.39平方米</w:t>
      </w:r>
      <w:r>
        <w:rPr>
          <w:rFonts w:hint="eastAsia" w:ascii="宋体" w:hAnsi="宋体" w:cs="宋体"/>
          <w:lang w:eastAsia="zh-CN"/>
        </w:rPr>
        <w:t>。</w:t>
      </w:r>
    </w:p>
    <w:p>
      <w:pPr>
        <w:pStyle w:val="8"/>
        <w:widowControl/>
        <w:overflowPunct w:val="0"/>
        <w:spacing w:line="400" w:lineRule="exact"/>
        <w:ind w:firstLine="480"/>
        <w:rPr>
          <w:rFonts w:ascii="宋体" w:hAnsi="宋体" w:cs="宋体"/>
        </w:rPr>
      </w:pPr>
      <w:r>
        <w:rPr>
          <w:rFonts w:hint="eastAsia" w:ascii="宋体" w:hAnsi="宋体" w:cs="宋体"/>
        </w:rPr>
        <w:t>具体以现状为准，标的现状自行踏勘现场，自行测算综合考虑竞价。一旦成交后价款即为合同价款，承担相应的风险，亏损均与招标人及代理机构无关。</w:t>
      </w:r>
    </w:p>
    <w:p>
      <w:pPr>
        <w:pStyle w:val="8"/>
        <w:widowControl/>
        <w:overflowPunct w:val="0"/>
        <w:spacing w:line="400" w:lineRule="exact"/>
        <w:ind w:firstLine="480"/>
        <w:rPr>
          <w:rFonts w:hint="eastAsia" w:ascii="宋体" w:hAnsi="宋体" w:cs="宋体"/>
        </w:rPr>
      </w:pPr>
      <w:r>
        <w:rPr>
          <w:rFonts w:hint="eastAsia" w:ascii="宋体" w:hAnsi="宋体" w:cs="宋体"/>
        </w:rPr>
        <w:t>二、</w:t>
      </w:r>
      <w:r>
        <w:rPr>
          <w:rFonts w:hint="eastAsia" w:ascii="宋体" w:hAnsi="宋体" w:cs="宋体"/>
          <w:b/>
          <w:bCs/>
          <w:lang w:eastAsia="zh-CN"/>
        </w:rPr>
        <w:t>投标人</w:t>
      </w:r>
      <w:r>
        <w:rPr>
          <w:rFonts w:hint="eastAsia" w:ascii="宋体" w:hAnsi="宋体" w:cs="宋体"/>
          <w:b/>
          <w:bCs/>
        </w:rPr>
        <w:t>应具备条件</w:t>
      </w:r>
      <w:r>
        <w:rPr>
          <w:rFonts w:hint="eastAsia" w:ascii="宋体" w:hAnsi="宋体" w:cs="宋体"/>
        </w:rPr>
        <w:t>（</w:t>
      </w:r>
      <w:r>
        <w:rPr>
          <w:rFonts w:hint="eastAsia" w:ascii="宋体" w:hAnsi="宋体" w:cs="宋体"/>
          <w:lang w:eastAsia="zh-CN"/>
        </w:rPr>
        <w:t>投标人</w:t>
      </w:r>
      <w:r>
        <w:rPr>
          <w:rFonts w:hint="eastAsia" w:ascii="宋体" w:hAnsi="宋体" w:cs="宋体"/>
        </w:rPr>
        <w:t>需在</w:t>
      </w:r>
      <w:r>
        <w:rPr>
          <w:rFonts w:hint="eastAsia" w:ascii="宋体" w:hAnsi="宋体" w:cs="宋体"/>
          <w:lang w:val="en-US" w:eastAsia="zh-CN"/>
        </w:rPr>
        <w:t>规定时间</w:t>
      </w:r>
      <w:r>
        <w:rPr>
          <w:rFonts w:hint="eastAsia" w:ascii="宋体" w:hAnsi="宋体" w:cs="宋体"/>
        </w:rPr>
        <w:t>前将相关材料交至招标单位进行审核并考察，考察通过后，方可参与</w:t>
      </w:r>
      <w:r>
        <w:rPr>
          <w:rFonts w:hint="eastAsia" w:ascii="宋体" w:hAnsi="宋体" w:cs="宋体"/>
          <w:lang w:val="en-US" w:eastAsia="zh-CN"/>
        </w:rPr>
        <w:t>投标，否则投标将被拒绝</w:t>
      </w:r>
      <w:r>
        <w:rPr>
          <w:rFonts w:hint="eastAsia" w:ascii="宋体" w:hAnsi="宋体" w:cs="宋体"/>
        </w:rPr>
        <w:t>）：</w:t>
      </w:r>
    </w:p>
    <w:p>
      <w:pPr>
        <w:pStyle w:val="8"/>
        <w:widowControl/>
        <w:overflowPunct w:val="0"/>
        <w:spacing w:line="400" w:lineRule="exact"/>
        <w:ind w:firstLine="480"/>
        <w:rPr>
          <w:rFonts w:hint="eastAsia" w:ascii="宋体" w:hAnsi="宋体" w:cs="宋体"/>
        </w:rPr>
      </w:pPr>
      <w:r>
        <w:rPr>
          <w:rFonts w:hint="eastAsia" w:ascii="宋体" w:hAnsi="宋体" w:cs="宋体"/>
        </w:rPr>
        <w:t>1、</w:t>
      </w:r>
      <w:r>
        <w:rPr>
          <w:rFonts w:hint="eastAsia" w:ascii="宋体" w:hAnsi="宋体" w:cs="宋体"/>
          <w:lang w:eastAsia="zh-CN"/>
        </w:rPr>
        <w:t>投标人</w:t>
      </w:r>
      <w:r>
        <w:rPr>
          <w:rFonts w:hint="eastAsia" w:ascii="宋体" w:hAnsi="宋体" w:cs="宋体"/>
        </w:rPr>
        <w:t>须为依法在中华人民共和国境内注册的独立法</w:t>
      </w:r>
      <w:r>
        <w:rPr>
          <w:rFonts w:hint="eastAsia" w:ascii="宋体" w:hAnsi="宋体" w:cs="宋体"/>
          <w:lang w:val="en-US" w:eastAsia="zh-CN"/>
        </w:rPr>
        <w:t xml:space="preserve"> </w:t>
      </w:r>
      <w:r>
        <w:rPr>
          <w:rFonts w:hint="eastAsia" w:ascii="宋体" w:hAnsi="宋体" w:cs="宋体"/>
        </w:rPr>
        <w:t>人或个体工商户，具有有效的营业执照。</w:t>
      </w:r>
      <w:r>
        <w:rPr>
          <w:rFonts w:hint="eastAsia" w:ascii="宋体" w:hAnsi="宋体" w:cs="宋体"/>
          <w:lang w:val="en-US" w:eastAsia="zh-CN"/>
        </w:rPr>
        <w:t>竞价</w:t>
      </w:r>
      <w:r>
        <w:rPr>
          <w:rFonts w:hint="eastAsia" w:ascii="宋体" w:hAnsi="宋体" w:cs="宋体"/>
        </w:rPr>
        <w:t>前必须向招标人提供法定代表人身份证明或授权委托书、营业执照</w:t>
      </w:r>
      <w:r>
        <w:rPr>
          <w:rFonts w:hint="eastAsia" w:ascii="宋体" w:hAnsi="宋体" w:cs="宋体"/>
          <w:lang w:val="en-US" w:eastAsia="zh-CN"/>
        </w:rPr>
        <w:t>复印件加盖公章</w:t>
      </w:r>
      <w:r>
        <w:rPr>
          <w:rFonts w:hint="eastAsia" w:ascii="宋体" w:hAnsi="宋体" w:cs="宋体"/>
          <w:lang w:eastAsia="zh-CN"/>
        </w:rPr>
        <w:t>（</w:t>
      </w:r>
      <w:r>
        <w:rPr>
          <w:rFonts w:hint="eastAsia" w:ascii="宋体" w:hAnsi="宋体" w:cs="宋体"/>
        </w:rPr>
        <w:t>原件</w:t>
      </w:r>
      <w:r>
        <w:rPr>
          <w:rFonts w:hint="eastAsia" w:ascii="宋体" w:hAnsi="宋体" w:cs="宋体"/>
          <w:lang w:val="en-US" w:eastAsia="zh-CN"/>
        </w:rPr>
        <w:t>携带备查</w:t>
      </w:r>
      <w:r>
        <w:rPr>
          <w:rFonts w:hint="eastAsia" w:ascii="宋体" w:hAnsi="宋体" w:cs="宋体"/>
          <w:lang w:eastAsia="zh-CN"/>
        </w:rPr>
        <w:t>）</w:t>
      </w:r>
      <w:r>
        <w:rPr>
          <w:rFonts w:hint="eastAsia" w:ascii="宋体" w:hAnsi="宋体" w:cs="宋体"/>
        </w:rPr>
        <w:t>、食品卫生许可证或餐饮服务许可证或食品经营许可证和近三年来无食品安全事故及不良记录承诺书（格式自拟）。</w:t>
      </w:r>
    </w:p>
    <w:p>
      <w:pPr>
        <w:pStyle w:val="8"/>
        <w:widowControl/>
        <w:overflowPunct w:val="0"/>
        <w:spacing w:line="400" w:lineRule="exact"/>
        <w:ind w:firstLine="480"/>
        <w:rPr>
          <w:rFonts w:hint="eastAsia" w:ascii="宋体" w:hAnsi="宋体" w:cs="宋体"/>
        </w:rPr>
      </w:pPr>
      <w:r>
        <w:rPr>
          <w:rFonts w:hint="eastAsia" w:ascii="宋体" w:hAnsi="宋体" w:cs="宋体"/>
        </w:rPr>
        <w:t>2、</w:t>
      </w:r>
      <w:r>
        <w:rPr>
          <w:rFonts w:hint="eastAsia" w:ascii="宋体" w:hAnsi="宋体" w:cs="宋体"/>
          <w:lang w:eastAsia="zh-CN"/>
        </w:rPr>
        <w:t>投标人</w:t>
      </w:r>
      <w:r>
        <w:rPr>
          <w:rFonts w:hint="eastAsia" w:ascii="宋体" w:hAnsi="宋体" w:cs="宋体"/>
        </w:rPr>
        <w:t>具有至少一个</w:t>
      </w:r>
      <w:r>
        <w:rPr>
          <w:rFonts w:hint="eastAsia" w:ascii="宋体" w:hAnsi="宋体" w:cs="宋体"/>
          <w:lang w:val="en-US" w:eastAsia="zh-CN"/>
        </w:rPr>
        <w:t>正在运营的5</w:t>
      </w:r>
      <w:r>
        <w:rPr>
          <w:rFonts w:hint="eastAsia" w:ascii="宋体" w:hAnsi="宋体" w:cs="宋体"/>
        </w:rPr>
        <w:t>00人</w:t>
      </w:r>
      <w:r>
        <w:rPr>
          <w:rFonts w:hint="eastAsia" w:ascii="宋体" w:hAnsi="宋体" w:cs="宋体"/>
          <w:lang w:val="en-US" w:eastAsia="zh-CN"/>
        </w:rPr>
        <w:t>及以上</w:t>
      </w:r>
      <w:r>
        <w:rPr>
          <w:rFonts w:hint="eastAsia" w:ascii="宋体" w:hAnsi="宋体" w:cs="宋体"/>
        </w:rPr>
        <w:t>用餐食堂或</w:t>
      </w:r>
      <w:r>
        <w:rPr>
          <w:rFonts w:hint="eastAsia" w:ascii="宋体" w:hAnsi="宋体" w:cs="宋体"/>
          <w:lang w:val="en-US" w:eastAsia="zh-CN"/>
        </w:rPr>
        <w:t>面积在800㎡及以上的食堂或经营场所</w:t>
      </w:r>
      <w:r>
        <w:rPr>
          <w:rFonts w:hint="eastAsia" w:ascii="宋体" w:hAnsi="宋体" w:cs="宋体"/>
        </w:rPr>
        <w:t>业绩</w:t>
      </w:r>
      <w:r>
        <w:rPr>
          <w:rFonts w:hint="eastAsia" w:ascii="宋体" w:hAnsi="宋体" w:cs="宋体"/>
          <w:lang w:val="en-US" w:eastAsia="zh-CN"/>
        </w:rPr>
        <w:t>且经营时间需要大于1年</w:t>
      </w:r>
      <w:r>
        <w:rPr>
          <w:rFonts w:hint="eastAsia" w:ascii="宋体" w:hAnsi="宋体" w:cs="宋体"/>
        </w:rPr>
        <w:t>，须向招标人提供业绩合同。</w:t>
      </w:r>
    </w:p>
    <w:p>
      <w:pPr>
        <w:pStyle w:val="8"/>
        <w:widowControl/>
        <w:overflowPunct w:val="0"/>
        <w:spacing w:line="400" w:lineRule="exact"/>
        <w:ind w:firstLine="480"/>
        <w:rPr>
          <w:rFonts w:hint="eastAsia" w:ascii="宋体" w:hAnsi="宋体" w:cs="宋体"/>
        </w:rPr>
      </w:pPr>
      <w:r>
        <w:rPr>
          <w:rFonts w:hint="eastAsia" w:ascii="宋体" w:hAnsi="宋体" w:cs="宋体"/>
        </w:rPr>
        <w:t>3、</w:t>
      </w:r>
      <w:r>
        <w:rPr>
          <w:rFonts w:hint="eastAsia" w:ascii="宋体" w:hAnsi="宋体" w:cs="宋体"/>
          <w:lang w:eastAsia="zh-CN"/>
        </w:rPr>
        <w:t>投标人</w:t>
      </w:r>
      <w:r>
        <w:rPr>
          <w:rFonts w:hint="eastAsia" w:ascii="宋体" w:hAnsi="宋体" w:cs="宋体"/>
        </w:rPr>
        <w:t>须在</w:t>
      </w:r>
      <w:r>
        <w:rPr>
          <w:rFonts w:hint="eastAsia" w:ascii="宋体" w:hAnsi="宋体" w:cs="宋体"/>
          <w:lang w:val="en-US" w:eastAsia="zh-CN"/>
        </w:rPr>
        <w:t>2023年12月18日15时</w:t>
      </w:r>
      <w:r>
        <w:rPr>
          <w:rFonts w:hint="eastAsia" w:ascii="宋体" w:hAnsi="宋体" w:cs="宋体"/>
        </w:rPr>
        <w:t>前将相关材料递交至招租人处进行审查，招租人完成评审、考察工作</w:t>
      </w:r>
      <w:r>
        <w:rPr>
          <w:rFonts w:hint="eastAsia" w:ascii="宋体" w:hAnsi="宋体" w:cs="宋体"/>
          <w:lang w:val="en-US" w:eastAsia="zh-CN"/>
        </w:rPr>
        <w:t>后向合格的投标人发放投标准入函</w:t>
      </w:r>
      <w:r>
        <w:rPr>
          <w:rFonts w:hint="eastAsia" w:ascii="宋体" w:hAnsi="宋体" w:cs="宋体"/>
        </w:rPr>
        <w:t>，只有</w:t>
      </w:r>
      <w:r>
        <w:rPr>
          <w:rFonts w:hint="eastAsia" w:ascii="宋体" w:hAnsi="宋体" w:cs="宋体"/>
          <w:lang w:val="en-US" w:eastAsia="zh-CN"/>
        </w:rPr>
        <w:t>携带投标准入函</w:t>
      </w:r>
      <w:r>
        <w:rPr>
          <w:rFonts w:hint="eastAsia" w:ascii="宋体" w:hAnsi="宋体" w:cs="宋体"/>
        </w:rPr>
        <w:t>的</w:t>
      </w:r>
      <w:r>
        <w:rPr>
          <w:rFonts w:hint="eastAsia" w:ascii="宋体" w:hAnsi="宋体" w:cs="宋体"/>
          <w:lang w:eastAsia="zh-CN"/>
        </w:rPr>
        <w:t>投标人</w:t>
      </w:r>
      <w:r>
        <w:rPr>
          <w:rFonts w:hint="eastAsia" w:ascii="宋体" w:hAnsi="宋体" w:cs="宋体"/>
        </w:rPr>
        <w:t>才能参与</w:t>
      </w:r>
      <w:r>
        <w:rPr>
          <w:rFonts w:hint="eastAsia" w:ascii="宋体" w:hAnsi="宋体" w:cs="宋体"/>
          <w:lang w:val="en-US" w:eastAsia="zh-CN"/>
        </w:rPr>
        <w:t>投标</w:t>
      </w:r>
      <w:r>
        <w:rPr>
          <w:rFonts w:hint="eastAsia" w:ascii="宋体" w:hAnsi="宋体" w:cs="宋体"/>
        </w:rPr>
        <w:t>，否则</w:t>
      </w:r>
      <w:r>
        <w:rPr>
          <w:rFonts w:hint="eastAsia" w:ascii="宋体" w:hAnsi="宋体" w:cs="宋体"/>
          <w:lang w:val="en-US" w:eastAsia="zh-CN"/>
        </w:rPr>
        <w:t>投标将被拒绝</w:t>
      </w:r>
      <w:r>
        <w:rPr>
          <w:rFonts w:hint="eastAsia" w:ascii="宋体" w:hAnsi="宋体" w:cs="宋体"/>
        </w:rPr>
        <w:t>。</w:t>
      </w:r>
    </w:p>
    <w:p>
      <w:pPr>
        <w:pStyle w:val="8"/>
        <w:widowControl/>
        <w:overflowPunct w:val="0"/>
        <w:spacing w:line="400" w:lineRule="exact"/>
        <w:ind w:firstLine="480"/>
        <w:rPr>
          <w:rFonts w:hint="eastAsia" w:ascii="宋体" w:hAnsi="宋体" w:cs="宋体"/>
        </w:rPr>
      </w:pPr>
      <w:r>
        <w:rPr>
          <w:rFonts w:hint="eastAsia" w:ascii="宋体" w:hAnsi="宋体" w:cs="宋体"/>
          <w:lang w:eastAsia="zh-CN"/>
        </w:rPr>
        <w:t>投标人</w:t>
      </w:r>
      <w:r>
        <w:rPr>
          <w:rFonts w:hint="eastAsia" w:ascii="宋体" w:hAnsi="宋体" w:cs="宋体"/>
        </w:rPr>
        <w:t>应在公告期内到现场实地踏勘，认真审阅本项目竞价须知、</w:t>
      </w:r>
      <w:r>
        <w:rPr>
          <w:rFonts w:hint="eastAsia" w:ascii="宋体" w:hAnsi="宋体" w:cs="宋体"/>
          <w:lang w:val="en-US" w:eastAsia="zh-CN"/>
        </w:rPr>
        <w:t>招标</w:t>
      </w:r>
      <w:r>
        <w:rPr>
          <w:rFonts w:hint="eastAsia" w:ascii="宋体" w:hAnsi="宋体" w:cs="宋体"/>
        </w:rPr>
        <w:t>公告和标的物介绍，中标后，如因未踏勘现场、未了解项目具体情况等原因造成的各项损失，由竞得人自理。如有疑问须在公告期内向招标人提出。凡参加本项目</w:t>
      </w:r>
      <w:r>
        <w:rPr>
          <w:rFonts w:hint="eastAsia" w:ascii="宋体" w:hAnsi="宋体" w:cs="宋体"/>
          <w:lang w:eastAsia="zh-CN"/>
        </w:rPr>
        <w:t>投标人</w:t>
      </w:r>
      <w:r>
        <w:rPr>
          <w:rFonts w:hint="eastAsia" w:ascii="宋体" w:hAnsi="宋体" w:cs="宋体"/>
        </w:rPr>
        <w:t>都视同已经实地踏勘，确认了</w:t>
      </w:r>
      <w:r>
        <w:rPr>
          <w:rFonts w:hint="eastAsia" w:ascii="宋体" w:hAnsi="宋体" w:cs="宋体"/>
          <w:lang w:val="en-US" w:eastAsia="zh-CN"/>
        </w:rPr>
        <w:t>招标</w:t>
      </w:r>
      <w:r>
        <w:rPr>
          <w:rFonts w:hint="eastAsia" w:ascii="宋体" w:hAnsi="宋体" w:cs="宋体"/>
        </w:rPr>
        <w:t>公告中的各项条款。</w:t>
      </w:r>
    </w:p>
    <w:p>
      <w:pPr>
        <w:pStyle w:val="8"/>
        <w:widowControl/>
        <w:overflowPunct w:val="0"/>
        <w:spacing w:line="400" w:lineRule="exact"/>
        <w:ind w:firstLine="480"/>
        <w:rPr>
          <w:rFonts w:ascii="宋体" w:hAnsi="宋体" w:cs="宋体"/>
        </w:rPr>
      </w:pPr>
      <w:r>
        <w:rPr>
          <w:rFonts w:hint="eastAsia" w:ascii="宋体" w:hAnsi="宋体" w:cs="宋体"/>
          <w:lang w:val="en-US" w:eastAsia="zh-CN"/>
        </w:rPr>
        <w:t>三、</w:t>
      </w:r>
      <w:r>
        <w:rPr>
          <w:rFonts w:hint="eastAsia" w:ascii="宋体" w:hAnsi="宋体" w:cs="宋体"/>
        </w:rPr>
        <w:t>重大事项披露 ：</w:t>
      </w:r>
    </w:p>
    <w:p>
      <w:pPr>
        <w:pStyle w:val="8"/>
        <w:widowControl/>
        <w:overflowPunct w:val="0"/>
        <w:spacing w:line="400" w:lineRule="exact"/>
        <w:ind w:firstLine="480"/>
        <w:rPr>
          <w:rFonts w:ascii="宋体" w:hAnsi="宋体" w:cs="宋体"/>
        </w:rPr>
      </w:pPr>
      <w:r>
        <w:rPr>
          <w:rFonts w:hint="eastAsia" w:ascii="宋体" w:hAnsi="宋体" w:cs="宋体"/>
        </w:rPr>
        <w:t>1、经营业态仅限为：食堂、便利店；中标方应按招标公告约定的用途依法经营，不得从事任何违法经营活动，禁止分包、转包。否则，招标人有权取消其竞得人资格，此次招标具体情况由</w:t>
      </w:r>
      <w:r>
        <w:rPr>
          <w:rFonts w:hint="eastAsia" w:ascii="宋体" w:hAnsi="宋体" w:cs="宋体"/>
          <w:lang w:eastAsia="zh-CN"/>
        </w:rPr>
        <w:t>投标人</w:t>
      </w:r>
      <w:r>
        <w:rPr>
          <w:rFonts w:hint="eastAsia" w:ascii="宋体" w:hAnsi="宋体" w:cs="宋体"/>
        </w:rPr>
        <w:t>自行勘察现场，以实际现状为准，成交后，所有费用由中标单位自理（包括但不限于税费、物业费、卫生保洁、垃圾清运、天然气、空调维保、食材等本项目所涉及的一切费用）。招标人将不为此承担任何责任和费用。</w:t>
      </w:r>
    </w:p>
    <w:p>
      <w:pPr>
        <w:pStyle w:val="8"/>
        <w:widowControl/>
        <w:overflowPunct w:val="0"/>
        <w:spacing w:line="400" w:lineRule="exact"/>
        <w:ind w:firstLine="480"/>
        <w:rPr>
          <w:rFonts w:ascii="宋体" w:hAnsi="宋体" w:cs="宋体"/>
        </w:rPr>
      </w:pPr>
      <w:r>
        <w:rPr>
          <w:rFonts w:hint="eastAsia" w:ascii="宋体" w:hAnsi="宋体" w:cs="宋体"/>
        </w:rPr>
        <w:t>2、承包期限：经营期3年。竞得人须在《食堂经营权合同》签定时一次性将履约保证金转入招标方</w:t>
      </w:r>
      <w:r>
        <w:rPr>
          <w:rFonts w:hint="eastAsia" w:ascii="宋体" w:hAnsi="宋体" w:cs="宋体"/>
          <w:lang w:eastAsia="zh-CN"/>
        </w:rPr>
        <w:t>指定账户</w:t>
      </w:r>
      <w:r>
        <w:rPr>
          <w:rFonts w:hint="eastAsia" w:ascii="宋体" w:hAnsi="宋体" w:cs="宋体"/>
        </w:rPr>
        <w:t>。先付款后使用。履约保证金：履约保证金为</w:t>
      </w:r>
      <w:r>
        <w:rPr>
          <w:rFonts w:hint="eastAsia" w:ascii="宋体" w:hAnsi="宋体" w:cs="宋体"/>
          <w:lang w:val="en-US" w:eastAsia="zh-CN"/>
        </w:rPr>
        <w:t>10</w:t>
      </w:r>
      <w:r>
        <w:rPr>
          <w:rFonts w:hint="eastAsia" w:ascii="宋体" w:hAnsi="宋体" w:cs="宋体"/>
        </w:rPr>
        <w:t>0000元，退场时验收合格后无息退还。</w:t>
      </w:r>
    </w:p>
    <w:p>
      <w:pPr>
        <w:pStyle w:val="8"/>
        <w:widowControl/>
        <w:overflowPunct w:val="0"/>
        <w:spacing w:line="400" w:lineRule="exact"/>
        <w:ind w:firstLine="425"/>
        <w:rPr>
          <w:rFonts w:ascii="宋体" w:hAnsi="宋体" w:cs="宋体"/>
        </w:rPr>
      </w:pPr>
      <w:r>
        <w:rPr>
          <w:rFonts w:hint="eastAsia" w:ascii="宋体" w:hAnsi="宋体" w:cs="宋体"/>
        </w:rPr>
        <w:t>3、履约保证金在合同签订前缴纳完毕。请各潜在</w:t>
      </w:r>
      <w:r>
        <w:rPr>
          <w:rFonts w:hint="eastAsia" w:ascii="宋体" w:hAnsi="宋体" w:cs="宋体"/>
          <w:lang w:eastAsia="zh-CN"/>
        </w:rPr>
        <w:t>投标人</w:t>
      </w:r>
      <w:r>
        <w:rPr>
          <w:rFonts w:hint="eastAsia" w:ascii="宋体" w:hAnsi="宋体" w:cs="宋体"/>
        </w:rPr>
        <w:t>在竞价前给予充分考虑，一旦签订合同，必须按合同要求内容执行。管理费结算方式为周结，中标方需按周总营业额乘以固定费率向招标人交纳管理费费用。</w:t>
      </w:r>
    </w:p>
    <w:p>
      <w:pPr>
        <w:pStyle w:val="8"/>
        <w:widowControl/>
        <w:overflowPunct w:val="0"/>
        <w:spacing w:line="400" w:lineRule="exact"/>
        <w:ind w:firstLine="425"/>
        <w:rPr>
          <w:rFonts w:ascii="宋体" w:hAnsi="宋体" w:cs="宋体"/>
        </w:rPr>
      </w:pPr>
      <w:r>
        <w:rPr>
          <w:rFonts w:hint="eastAsia" w:ascii="宋体" w:hAnsi="宋体" w:cs="宋体"/>
        </w:rPr>
        <w:t>4、承包期间，中标方发生的税费、水、电、燃气、暖气、通讯、收视、互联网、卫生等相关开户费、使用费以及房屋、附属物、相关设施设备的日常维修费等所有费用，均由中标方自行承担，并直接向有关管理单位交付。具体情况由</w:t>
      </w:r>
      <w:r>
        <w:rPr>
          <w:rFonts w:hint="eastAsia" w:ascii="宋体" w:hAnsi="宋体" w:cs="宋体"/>
          <w:lang w:eastAsia="zh-CN"/>
        </w:rPr>
        <w:t>投标人</w:t>
      </w:r>
      <w:r>
        <w:rPr>
          <w:rFonts w:hint="eastAsia" w:ascii="宋体" w:hAnsi="宋体" w:cs="宋体"/>
        </w:rPr>
        <w:t>自行现场勘查。</w:t>
      </w:r>
    </w:p>
    <w:p>
      <w:pPr>
        <w:pStyle w:val="8"/>
        <w:widowControl/>
        <w:overflowPunct w:val="0"/>
        <w:spacing w:line="400" w:lineRule="exact"/>
        <w:ind w:firstLine="425"/>
        <w:rPr>
          <w:rFonts w:ascii="宋体" w:hAnsi="宋体" w:cs="宋体"/>
        </w:rPr>
      </w:pPr>
      <w:r>
        <w:rPr>
          <w:rFonts w:hint="eastAsia" w:ascii="宋体" w:hAnsi="宋体" w:cs="宋体"/>
        </w:rPr>
        <w:t>5、经营期间，中标方有责任保护好房屋及设施，不得随意改变结构或损坏设施，如房</w:t>
      </w:r>
      <w:r>
        <w:rPr>
          <w:rFonts w:hint="eastAsia" w:ascii="宋体" w:hAnsi="宋体" w:cs="宋体"/>
          <w:lang w:val="en-US" w:eastAsia="zh-CN"/>
        </w:rPr>
        <w:t>屋</w:t>
      </w:r>
      <w:r>
        <w:rPr>
          <w:rFonts w:hint="eastAsia" w:ascii="宋体" w:hAnsi="宋体" w:cs="宋体"/>
        </w:rPr>
        <w:t>出现漏雨、漏水、雨水淹等，由中标方负责维修，维修费用由中标方承担，造成的损失与招标方无关。</w:t>
      </w:r>
    </w:p>
    <w:p>
      <w:pPr>
        <w:pStyle w:val="8"/>
        <w:widowControl/>
        <w:spacing w:line="400" w:lineRule="exact"/>
        <w:ind w:firstLine="426"/>
        <w:rPr>
          <w:rFonts w:ascii="宋体" w:hAnsi="宋体" w:cs="宋体"/>
        </w:rPr>
      </w:pPr>
      <w:r>
        <w:rPr>
          <w:rFonts w:hint="eastAsia" w:ascii="宋体" w:hAnsi="宋体" w:cs="宋体"/>
        </w:rPr>
        <w:t>6、经营期间，中标方须做好餐厨垃圾清理及工作，按照有关餐厨垃圾倾倒标准予以处理，因此产生的垃圾清运费则由中标方自行承担。</w:t>
      </w:r>
    </w:p>
    <w:p>
      <w:pPr>
        <w:pStyle w:val="8"/>
        <w:widowControl/>
        <w:spacing w:line="400" w:lineRule="exact"/>
        <w:ind w:firstLine="426"/>
        <w:rPr>
          <w:rFonts w:ascii="宋体" w:hAnsi="宋体" w:cs="宋体"/>
        </w:rPr>
      </w:pPr>
      <w:r>
        <w:rPr>
          <w:rFonts w:hint="eastAsia" w:ascii="宋体" w:hAnsi="宋体" w:cs="宋体"/>
        </w:rPr>
        <w:t>7、中标方须按招标公告约定的用途依法持证经营，必须遵守市容相关管理规定，禁止出店经营、占道经营，不得从事约定以外的用途及其他任何违法经营活动。</w:t>
      </w:r>
    </w:p>
    <w:p>
      <w:pPr>
        <w:pStyle w:val="8"/>
        <w:widowControl/>
        <w:spacing w:line="400" w:lineRule="exact"/>
        <w:ind w:firstLine="426"/>
        <w:rPr>
          <w:rFonts w:ascii="宋体" w:hAnsi="宋体" w:cs="宋体"/>
        </w:rPr>
      </w:pPr>
      <w:r>
        <w:rPr>
          <w:rFonts w:hint="eastAsia" w:ascii="宋体" w:hAnsi="宋体" w:cs="宋体"/>
        </w:rPr>
        <w:t>8、中标方在经营期间须保证早、中、晚餐正点、足量、安全、优质供应，饭菜价格不得高于市场价格，各类饭菜须明码标价。</w:t>
      </w:r>
    </w:p>
    <w:p>
      <w:pPr>
        <w:pStyle w:val="8"/>
        <w:widowControl/>
        <w:spacing w:line="400" w:lineRule="exact"/>
        <w:ind w:firstLine="426"/>
        <w:rPr>
          <w:rFonts w:ascii="宋体" w:hAnsi="宋体" w:cs="宋体"/>
        </w:rPr>
      </w:pPr>
      <w:r>
        <w:rPr>
          <w:rFonts w:hint="eastAsia" w:ascii="宋体" w:hAnsi="宋体" w:cs="宋体"/>
        </w:rPr>
        <w:t>早餐：供应时间6:30-8:00；</w:t>
      </w:r>
    </w:p>
    <w:p>
      <w:pPr>
        <w:pStyle w:val="8"/>
        <w:widowControl/>
        <w:spacing w:line="400" w:lineRule="exact"/>
        <w:ind w:firstLine="426"/>
        <w:rPr>
          <w:rFonts w:ascii="宋体" w:hAnsi="宋体" w:cs="宋体"/>
        </w:rPr>
      </w:pPr>
      <w:r>
        <w:rPr>
          <w:rFonts w:hint="eastAsia" w:ascii="宋体" w:hAnsi="宋体" w:cs="宋体"/>
        </w:rPr>
        <w:t>午餐：供应时间11:00-13:00，须有一类荤素搭配10元左右平价工作套餐；</w:t>
      </w:r>
    </w:p>
    <w:p>
      <w:pPr>
        <w:pStyle w:val="8"/>
        <w:widowControl/>
        <w:spacing w:line="400" w:lineRule="exact"/>
        <w:ind w:firstLine="426"/>
        <w:rPr>
          <w:rFonts w:ascii="宋体" w:hAnsi="宋体" w:cs="宋体"/>
        </w:rPr>
      </w:pPr>
      <w:r>
        <w:rPr>
          <w:rFonts w:hint="eastAsia" w:ascii="宋体" w:hAnsi="宋体" w:cs="宋体"/>
        </w:rPr>
        <w:t>晚餐：供应时间17:00-20:00。</w:t>
      </w:r>
    </w:p>
    <w:p>
      <w:pPr>
        <w:pStyle w:val="8"/>
        <w:widowControl/>
        <w:spacing w:line="400" w:lineRule="exact"/>
        <w:ind w:firstLine="426"/>
        <w:rPr>
          <w:rFonts w:ascii="宋体" w:hAnsi="宋体" w:cs="宋体"/>
        </w:rPr>
      </w:pPr>
      <w:r>
        <w:rPr>
          <w:rFonts w:hint="eastAsia" w:ascii="宋体" w:hAnsi="宋体" w:cs="宋体"/>
        </w:rPr>
        <w:t>（我方有权要求中标方根据实际情况更改供应时间）</w:t>
      </w:r>
    </w:p>
    <w:p>
      <w:pPr>
        <w:pStyle w:val="8"/>
        <w:widowControl/>
        <w:spacing w:line="400" w:lineRule="exact"/>
        <w:ind w:firstLine="426"/>
        <w:rPr>
          <w:rFonts w:ascii="宋体" w:hAnsi="宋体" w:cs="宋体"/>
        </w:rPr>
      </w:pPr>
      <w:r>
        <w:rPr>
          <w:rFonts w:hint="eastAsia" w:ascii="宋体" w:hAnsi="宋体" w:cs="宋体"/>
        </w:rPr>
        <w:t>园区定制安装刷卡机，就餐费用由招标方进行结算。</w:t>
      </w:r>
    </w:p>
    <w:p>
      <w:pPr>
        <w:pStyle w:val="8"/>
        <w:widowControl/>
        <w:spacing w:line="400" w:lineRule="exact"/>
        <w:ind w:firstLine="426"/>
        <w:rPr>
          <w:rFonts w:ascii="宋体" w:hAnsi="宋体" w:cs="宋体"/>
        </w:rPr>
      </w:pPr>
      <w:r>
        <w:rPr>
          <w:rFonts w:hint="eastAsia" w:ascii="宋体" w:hAnsi="宋体" w:cs="宋体"/>
        </w:rPr>
        <w:t>中标方提供的食物须符合国家相关卫生要求，如因食物问题导致用餐人员发生任何身体不适，我方有权立即封存食物，并将食物送至检验机构检验，如因此给我方或就餐人员造成损失的，由中标方承担一切赔偿责任。</w:t>
      </w:r>
    </w:p>
    <w:p>
      <w:pPr>
        <w:pStyle w:val="8"/>
        <w:widowControl/>
        <w:spacing w:line="400" w:lineRule="exact"/>
        <w:ind w:firstLine="426"/>
        <w:rPr>
          <w:rFonts w:ascii="Times New Roman" w:hAnsi="Times New Roman"/>
          <w:sz w:val="20"/>
          <w:szCs w:val="20"/>
        </w:rPr>
      </w:pPr>
      <w:r>
        <w:rPr>
          <w:rFonts w:hint="eastAsia" w:ascii="宋体" w:hAnsi="宋体" w:cs="宋体"/>
        </w:rPr>
        <w:t>备注：如因竞得人违法、违规、不服从管理等原因造成的各项纠纷及法律责任由竞得人负全部责任，招标人不承担任何连带责任。</w:t>
      </w:r>
    </w:p>
    <w:p>
      <w:pPr>
        <w:pStyle w:val="8"/>
        <w:widowControl/>
        <w:spacing w:line="400" w:lineRule="exact"/>
        <w:ind w:firstLine="425"/>
        <w:rPr>
          <w:rFonts w:ascii="宋体" w:hAnsi="宋体" w:cs="宋体"/>
          <w:b/>
          <w:bCs/>
        </w:rPr>
      </w:pPr>
      <w:r>
        <w:rPr>
          <w:rFonts w:hint="eastAsia" w:ascii="宋体" w:hAnsi="宋体" w:cs="宋体"/>
          <w:b/>
          <w:bCs/>
          <w:lang w:val="en-US" w:eastAsia="zh-CN"/>
        </w:rPr>
        <w:t>四</w:t>
      </w:r>
      <w:r>
        <w:rPr>
          <w:rFonts w:hint="eastAsia" w:ascii="宋体" w:hAnsi="宋体" w:cs="宋体"/>
          <w:b/>
          <w:bCs/>
        </w:rPr>
        <w:t>、</w:t>
      </w:r>
      <w:r>
        <w:rPr>
          <w:rFonts w:hint="eastAsia" w:ascii="宋体" w:hAnsi="宋体" w:cs="宋体"/>
          <w:b/>
          <w:bCs/>
          <w:lang w:val="en-US" w:eastAsia="zh-CN"/>
        </w:rPr>
        <w:t>投标报价要求</w:t>
      </w:r>
      <w:r>
        <w:rPr>
          <w:rFonts w:hint="eastAsia" w:ascii="宋体" w:hAnsi="宋体" w:cs="宋体"/>
          <w:b/>
          <w:bCs/>
        </w:rPr>
        <w:t>：</w:t>
      </w:r>
    </w:p>
    <w:p>
      <w:pPr>
        <w:pStyle w:val="8"/>
        <w:widowControl/>
        <w:spacing w:line="400" w:lineRule="exact"/>
        <w:ind w:firstLine="425"/>
        <w:rPr>
          <w:rFonts w:ascii="宋体" w:hAnsi="宋体" w:cs="宋体"/>
          <w:b/>
          <w:bCs/>
        </w:rPr>
      </w:pPr>
      <w:r>
        <w:rPr>
          <w:rFonts w:hint="eastAsia" w:ascii="宋体" w:hAnsi="宋体" w:cs="宋体"/>
          <w:b/>
          <w:bCs/>
          <w:lang w:val="en-US" w:eastAsia="zh-CN"/>
        </w:rPr>
        <w:t>本项目最低限价为71510.04元/年（不含物业费1元/平方米/月），投标人投标报价不得低于最低限价，否则投标将被拒绝</w:t>
      </w:r>
      <w:r>
        <w:rPr>
          <w:rFonts w:hint="eastAsia" w:ascii="宋体" w:hAnsi="宋体" w:cs="宋体"/>
          <w:b/>
          <w:bCs/>
        </w:rPr>
        <w:t>。 本项目</w:t>
      </w:r>
      <w:r>
        <w:rPr>
          <w:rFonts w:hint="eastAsia" w:ascii="宋体" w:hAnsi="宋体" w:cs="宋体"/>
          <w:b/>
          <w:bCs/>
          <w:lang w:val="en-US" w:eastAsia="zh-CN"/>
        </w:rPr>
        <w:t>采用一次性报价，价高者得</w:t>
      </w:r>
      <w:r>
        <w:rPr>
          <w:rFonts w:hint="eastAsia" w:ascii="宋体" w:hAnsi="宋体" w:cs="宋体"/>
          <w:b/>
          <w:bCs/>
        </w:rPr>
        <w:t>。请</w:t>
      </w:r>
      <w:r>
        <w:rPr>
          <w:rFonts w:hint="eastAsia" w:ascii="宋体" w:hAnsi="宋体" w:cs="宋体"/>
          <w:b/>
          <w:bCs/>
          <w:lang w:eastAsia="zh-CN"/>
        </w:rPr>
        <w:t>投标人</w:t>
      </w:r>
      <w:r>
        <w:rPr>
          <w:rFonts w:hint="eastAsia" w:ascii="宋体" w:hAnsi="宋体" w:cs="宋体"/>
          <w:b/>
          <w:bCs/>
        </w:rPr>
        <w:t>充分考虑各种因素，成交后固定</w:t>
      </w:r>
      <w:r>
        <w:rPr>
          <w:rFonts w:hint="eastAsia" w:ascii="宋体" w:hAnsi="宋体" w:cs="宋体"/>
          <w:b/>
          <w:bCs/>
          <w:lang w:val="en-US" w:eastAsia="zh-CN"/>
        </w:rPr>
        <w:t>总价</w:t>
      </w:r>
      <w:r>
        <w:rPr>
          <w:rFonts w:hint="eastAsia" w:ascii="宋体" w:hAnsi="宋体" w:cs="宋体"/>
          <w:b/>
          <w:bCs/>
        </w:rPr>
        <w:t>不予调整，不得因各种理由拖欠费用。</w:t>
      </w:r>
    </w:p>
    <w:p>
      <w:pPr>
        <w:pStyle w:val="8"/>
        <w:widowControl/>
        <w:spacing w:line="400" w:lineRule="exact"/>
        <w:ind w:firstLine="426"/>
        <w:rPr>
          <w:rFonts w:ascii="Times New Roman" w:hAnsi="Times New Roman"/>
          <w:sz w:val="20"/>
          <w:szCs w:val="20"/>
        </w:rPr>
      </w:pPr>
      <w:r>
        <w:rPr>
          <w:rFonts w:hint="eastAsia" w:ascii="宋体" w:hAnsi="宋体" w:cs="宋体"/>
          <w:b/>
          <w:bCs/>
          <w:lang w:val="en-US" w:eastAsia="zh-CN"/>
        </w:rPr>
        <w:t>五</w:t>
      </w:r>
      <w:r>
        <w:rPr>
          <w:rFonts w:hint="eastAsia" w:ascii="宋体" w:hAnsi="宋体" w:cs="宋体"/>
          <w:b/>
          <w:bCs/>
        </w:rPr>
        <w:t>、</w:t>
      </w:r>
      <w:r>
        <w:rPr>
          <w:rFonts w:hint="eastAsia" w:ascii="宋体" w:hAnsi="宋体" w:cs="宋体"/>
        </w:rPr>
        <w:t>本次竞价项目由滁州市城投工程咨询管理有限公司。代理费3000元，由</w:t>
      </w:r>
      <w:r>
        <w:rPr>
          <w:rFonts w:hint="eastAsia" w:ascii="宋体" w:hAnsi="宋体" w:cs="宋体"/>
          <w:lang w:val="en-US" w:eastAsia="zh-CN"/>
        </w:rPr>
        <w:t>中标人</w:t>
      </w:r>
      <w:r>
        <w:rPr>
          <w:rFonts w:hint="eastAsia" w:ascii="宋体" w:hAnsi="宋体" w:cs="宋体"/>
        </w:rPr>
        <w:t>在领取中标通知书前支付给代理公司，请</w:t>
      </w:r>
      <w:r>
        <w:rPr>
          <w:rFonts w:hint="eastAsia" w:ascii="宋体" w:hAnsi="宋体" w:cs="宋体"/>
          <w:lang w:eastAsia="zh-CN"/>
        </w:rPr>
        <w:t>投标人</w:t>
      </w:r>
      <w:r>
        <w:rPr>
          <w:rFonts w:hint="eastAsia" w:ascii="宋体" w:hAnsi="宋体" w:cs="宋体"/>
        </w:rPr>
        <w:t>在竞价过程中充分考虑此项费用。</w:t>
      </w:r>
    </w:p>
    <w:p>
      <w:pPr>
        <w:pStyle w:val="8"/>
        <w:widowControl/>
        <w:spacing w:line="400" w:lineRule="exact"/>
        <w:ind w:firstLine="424"/>
        <w:rPr>
          <w:rFonts w:ascii="Times New Roman" w:hAnsi="Times New Roman"/>
          <w:sz w:val="20"/>
          <w:szCs w:val="20"/>
        </w:rPr>
      </w:pPr>
      <w:r>
        <w:rPr>
          <w:rFonts w:hint="eastAsia" w:ascii="宋体" w:hAnsi="宋体" w:cs="宋体"/>
          <w:b/>
          <w:bCs/>
          <w:lang w:val="en-US" w:eastAsia="zh-CN"/>
        </w:rPr>
        <w:t>六</w:t>
      </w:r>
      <w:r>
        <w:rPr>
          <w:rFonts w:hint="eastAsia" w:ascii="宋体" w:hAnsi="宋体" w:cs="宋体"/>
          <w:b/>
          <w:bCs/>
        </w:rPr>
        <w:t>、咨询、看样的时间：</w:t>
      </w:r>
    </w:p>
    <w:p>
      <w:pPr>
        <w:pStyle w:val="8"/>
        <w:widowControl/>
        <w:spacing w:line="400" w:lineRule="exact"/>
        <w:ind w:firstLine="422"/>
        <w:rPr>
          <w:rFonts w:ascii="Times New Roman" w:hAnsi="Times New Roman"/>
          <w:sz w:val="20"/>
          <w:szCs w:val="20"/>
        </w:rPr>
      </w:pPr>
      <w:r>
        <w:rPr>
          <w:rFonts w:hint="eastAsia" w:ascii="宋体" w:hAnsi="宋体" w:cs="宋体"/>
        </w:rPr>
        <w:t>自公告之日起至202</w:t>
      </w:r>
      <w:r>
        <w:rPr>
          <w:rFonts w:hint="eastAsia" w:ascii="宋体" w:hAnsi="宋体" w:cs="宋体"/>
          <w:lang w:val="en-US" w:eastAsia="zh-CN"/>
        </w:rPr>
        <w:t>3</w:t>
      </w:r>
      <w:r>
        <w:rPr>
          <w:rFonts w:hint="eastAsia" w:ascii="宋体" w:hAnsi="宋体" w:cs="宋体"/>
        </w:rPr>
        <w:t>年</w:t>
      </w:r>
      <w:r>
        <w:rPr>
          <w:rFonts w:hint="eastAsia" w:ascii="宋体" w:hAnsi="宋体" w:cs="宋体"/>
          <w:lang w:val="en-US" w:eastAsia="zh-CN"/>
        </w:rPr>
        <w:t>12</w:t>
      </w:r>
      <w:r>
        <w:rPr>
          <w:rFonts w:hint="eastAsia" w:ascii="宋体" w:hAnsi="宋体" w:cs="宋体"/>
        </w:rPr>
        <w:t>月</w:t>
      </w:r>
      <w:r>
        <w:rPr>
          <w:rFonts w:hint="eastAsia" w:ascii="宋体" w:hAnsi="宋体" w:cs="宋体"/>
          <w:lang w:val="en-US" w:eastAsia="zh-CN"/>
        </w:rPr>
        <w:t>18</w:t>
      </w:r>
      <w:r>
        <w:rPr>
          <w:rFonts w:hint="eastAsia" w:ascii="宋体" w:hAnsi="宋体" w:cs="宋体"/>
        </w:rPr>
        <w:t>日</w:t>
      </w:r>
      <w:r>
        <w:rPr>
          <w:rFonts w:hint="eastAsia" w:ascii="宋体" w:hAnsi="宋体" w:cs="宋体"/>
          <w:lang w:val="en-US" w:eastAsia="zh-CN"/>
        </w:rPr>
        <w:t>15</w:t>
      </w:r>
      <w:r>
        <w:rPr>
          <w:rFonts w:hint="eastAsia" w:ascii="宋体" w:hAnsi="宋体" w:cs="宋体"/>
        </w:rPr>
        <w:t>时止接受咨询（节假日休息），有意者请与招标人联系。</w:t>
      </w:r>
    </w:p>
    <w:p>
      <w:pPr>
        <w:pStyle w:val="8"/>
        <w:widowControl/>
        <w:spacing w:line="400" w:lineRule="exact"/>
        <w:ind w:firstLine="424"/>
        <w:rPr>
          <w:rFonts w:ascii="Times New Roman" w:hAnsi="Times New Roman"/>
          <w:sz w:val="20"/>
          <w:szCs w:val="20"/>
        </w:rPr>
      </w:pPr>
      <w:r>
        <w:rPr>
          <w:rFonts w:hint="eastAsia" w:ascii="宋体" w:hAnsi="宋体" w:cs="宋体"/>
          <w:b/>
          <w:bCs/>
          <w:lang w:val="en-US" w:eastAsia="zh-CN"/>
        </w:rPr>
        <w:t>七</w:t>
      </w:r>
      <w:r>
        <w:rPr>
          <w:rFonts w:hint="eastAsia" w:ascii="宋体" w:hAnsi="宋体" w:cs="宋体"/>
          <w:b/>
          <w:bCs/>
        </w:rPr>
        <w:t>、特别提醒：</w:t>
      </w:r>
    </w:p>
    <w:p>
      <w:pPr>
        <w:pStyle w:val="8"/>
        <w:widowControl/>
        <w:spacing w:line="400" w:lineRule="exact"/>
        <w:ind w:firstLine="422"/>
        <w:rPr>
          <w:rFonts w:ascii="Times New Roman" w:hAnsi="Times New Roman"/>
          <w:sz w:val="20"/>
          <w:szCs w:val="20"/>
        </w:rPr>
      </w:pPr>
      <w:r>
        <w:rPr>
          <w:rFonts w:hint="eastAsia" w:ascii="宋体" w:hAnsi="宋体" w:cs="宋体"/>
        </w:rPr>
        <w:t>1</w:t>
      </w:r>
      <w:r>
        <w:rPr>
          <w:rFonts w:hint="eastAsia" w:ascii="宋体" w:hAnsi="宋体" w:cs="宋体"/>
          <w:lang w:eastAsia="zh-CN"/>
        </w:rPr>
        <w:t>）</w:t>
      </w:r>
      <w:r>
        <w:rPr>
          <w:rFonts w:hint="eastAsia" w:ascii="宋体" w:hAnsi="宋体" w:cs="宋体"/>
        </w:rPr>
        <w:t>标的物以现状为准，招标人不承担本标的物的瑕疵担保责任。请慎重决定竞标行为，</w:t>
      </w:r>
      <w:r>
        <w:rPr>
          <w:rFonts w:hint="eastAsia" w:ascii="宋体" w:hAnsi="宋体" w:cs="宋体"/>
          <w:lang w:eastAsia="zh-CN"/>
        </w:rPr>
        <w:t>投标人</w:t>
      </w:r>
      <w:r>
        <w:rPr>
          <w:rFonts w:hint="eastAsia" w:ascii="宋体" w:hAnsi="宋体" w:cs="宋体"/>
        </w:rPr>
        <w:t>一旦作出竞标决定，即表明已完全了解，并接受标的物的现状和一切已知及未知的瑕疵。</w:t>
      </w:r>
    </w:p>
    <w:p>
      <w:pPr>
        <w:pStyle w:val="8"/>
        <w:widowControl/>
        <w:spacing w:line="400" w:lineRule="exact"/>
        <w:ind w:firstLine="425"/>
        <w:rPr>
          <w:rFonts w:ascii="Times New Roman" w:hAnsi="Times New Roman"/>
          <w:sz w:val="20"/>
          <w:szCs w:val="20"/>
        </w:rPr>
      </w:pPr>
      <w:r>
        <w:rPr>
          <w:rFonts w:hint="eastAsia" w:ascii="宋体" w:hAnsi="宋体" w:cs="宋体"/>
        </w:rPr>
        <w:t>2</w:t>
      </w:r>
      <w:r>
        <w:rPr>
          <w:rFonts w:hint="eastAsia" w:ascii="宋体" w:hAnsi="宋体" w:cs="宋体"/>
          <w:lang w:eastAsia="zh-CN"/>
        </w:rPr>
        <w:t>）投标人</w:t>
      </w:r>
      <w:r>
        <w:rPr>
          <w:rFonts w:hint="eastAsia" w:ascii="宋体" w:hAnsi="宋体" w:cs="宋体"/>
        </w:rPr>
        <w:t>在竞标前自行做好尽职调查，</w:t>
      </w:r>
      <w:r>
        <w:rPr>
          <w:rFonts w:hint="eastAsia" w:ascii="宋体" w:hAnsi="宋体" w:cs="宋体"/>
          <w:lang w:eastAsia="zh-CN"/>
        </w:rPr>
        <w:t>投标人</w:t>
      </w:r>
      <w:r>
        <w:rPr>
          <w:rFonts w:hint="eastAsia" w:ascii="宋体" w:hAnsi="宋体" w:cs="宋体"/>
        </w:rPr>
        <w:t>自行判断是否符合受让本项目资格。因不符合条件参加竞标的，由</w:t>
      </w:r>
      <w:r>
        <w:rPr>
          <w:rFonts w:hint="eastAsia" w:ascii="宋体" w:hAnsi="宋体" w:cs="宋体"/>
          <w:lang w:eastAsia="zh-CN"/>
        </w:rPr>
        <w:t>投标人</w:t>
      </w:r>
      <w:r>
        <w:rPr>
          <w:rFonts w:hint="eastAsia" w:ascii="宋体" w:hAnsi="宋体" w:cs="宋体"/>
        </w:rPr>
        <w:t>自行承担相应的法律责任，并自行承担由此产生的全部责任及后果，包括但不限于费用、风险和损失。</w:t>
      </w:r>
    </w:p>
    <w:p>
      <w:pPr>
        <w:pStyle w:val="8"/>
        <w:widowControl/>
        <w:spacing w:line="400" w:lineRule="exact"/>
        <w:ind w:firstLine="425"/>
        <w:rPr>
          <w:rFonts w:ascii="宋体" w:hAnsi="宋体" w:cs="宋体"/>
        </w:rPr>
      </w:pPr>
      <w:r>
        <w:rPr>
          <w:rFonts w:hint="eastAsia" w:ascii="宋体" w:hAnsi="宋体" w:cs="宋体"/>
        </w:rPr>
        <w:t>3</w:t>
      </w:r>
      <w:r>
        <w:rPr>
          <w:rFonts w:hint="eastAsia" w:ascii="宋体" w:hAnsi="宋体" w:cs="宋体"/>
          <w:lang w:eastAsia="zh-CN"/>
        </w:rPr>
        <w:t>）</w:t>
      </w:r>
      <w:r>
        <w:rPr>
          <w:rFonts w:hint="eastAsia" w:ascii="宋体" w:hAnsi="宋体" w:cs="宋体"/>
        </w:rPr>
        <w:t>竞得人在中标通知书发放之日起15日内缴纳履约保证金并主动与招标人签订合同，否则视为竞得人自动放弃成交资格，竞价保证金不予退还，且招标人有权对外重新公开竞价。</w:t>
      </w:r>
    </w:p>
    <w:p>
      <w:pPr>
        <w:pStyle w:val="8"/>
        <w:widowControl/>
        <w:spacing w:line="400" w:lineRule="exact"/>
        <w:ind w:firstLine="425"/>
        <w:rPr>
          <w:rFonts w:ascii="宋体" w:hAnsi="宋体" w:cs="宋体"/>
        </w:rPr>
      </w:pPr>
      <w:r>
        <w:rPr>
          <w:rFonts w:hint="eastAsia" w:ascii="宋体" w:hAnsi="宋体" w:cs="宋体"/>
        </w:rPr>
        <w:t>4</w:t>
      </w:r>
      <w:r>
        <w:rPr>
          <w:rFonts w:hint="eastAsia" w:ascii="宋体" w:hAnsi="宋体" w:cs="宋体"/>
          <w:lang w:eastAsia="zh-CN"/>
        </w:rPr>
        <w:t>）</w:t>
      </w:r>
      <w:r>
        <w:rPr>
          <w:rFonts w:hint="eastAsia" w:ascii="宋体" w:hAnsi="宋体" w:cs="宋体"/>
        </w:rPr>
        <w:t>标的物经营登记手续由经营人自行办理，所涉及的一切税费均由经营人承担。</w:t>
      </w:r>
    </w:p>
    <w:p>
      <w:pPr>
        <w:pStyle w:val="8"/>
        <w:widowControl/>
        <w:spacing w:line="400" w:lineRule="exact"/>
        <w:ind w:firstLine="425"/>
        <w:rPr>
          <w:rFonts w:ascii="宋体" w:hAnsi="宋体" w:cs="宋体"/>
        </w:rPr>
      </w:pPr>
    </w:p>
    <w:p>
      <w:pPr>
        <w:pStyle w:val="8"/>
        <w:widowControl/>
        <w:spacing w:line="400" w:lineRule="exact"/>
        <w:ind w:firstLine="480" w:firstLineChars="200"/>
      </w:pPr>
      <w:r>
        <w:rPr>
          <w:rFonts w:hint="eastAsia"/>
        </w:rPr>
        <w:t>联系方式：</w:t>
      </w:r>
    </w:p>
    <w:p>
      <w:pPr>
        <w:pStyle w:val="8"/>
        <w:widowControl/>
        <w:spacing w:line="400" w:lineRule="exact"/>
        <w:ind w:firstLine="480" w:firstLineChars="200"/>
      </w:pPr>
      <w:r>
        <w:rPr>
          <w:rFonts w:hint="eastAsia"/>
        </w:rPr>
        <w:t>代理公司：滁州市城投工程咨询管理有限公司</w:t>
      </w:r>
    </w:p>
    <w:p>
      <w:pPr>
        <w:pStyle w:val="8"/>
        <w:widowControl/>
        <w:spacing w:line="400" w:lineRule="exact"/>
        <w:ind w:firstLine="480" w:firstLineChars="200"/>
      </w:pPr>
      <w:r>
        <w:rPr>
          <w:rFonts w:hint="eastAsia"/>
        </w:rPr>
        <w:t>联系人：曹思敏 电话：</w:t>
      </w:r>
      <w:r>
        <w:t>0550-</w:t>
      </w:r>
      <w:r>
        <w:rPr>
          <w:rFonts w:hint="eastAsia"/>
        </w:rPr>
        <w:t>3519516、18712012204</w:t>
      </w:r>
    </w:p>
    <w:p>
      <w:pPr>
        <w:pStyle w:val="8"/>
        <w:widowControl/>
        <w:spacing w:line="400" w:lineRule="exact"/>
        <w:ind w:firstLine="480" w:firstLineChars="200"/>
      </w:pPr>
      <w:r>
        <w:rPr>
          <w:rFonts w:hint="eastAsia"/>
        </w:rPr>
        <w:t xml:space="preserve">联系地址：滁州市龙蟠大道109号房产大厦6楼605 </w:t>
      </w:r>
    </w:p>
    <w:p>
      <w:pPr>
        <w:pStyle w:val="8"/>
        <w:widowControl/>
        <w:spacing w:line="400" w:lineRule="exact"/>
        <w:ind w:firstLine="480" w:firstLineChars="200"/>
      </w:pPr>
      <w:r>
        <w:rPr>
          <w:rFonts w:hint="eastAsia"/>
        </w:rPr>
        <w:t xml:space="preserve">招标单位：滁州工投科技产业园发展有限公司  </w:t>
      </w:r>
    </w:p>
    <w:p>
      <w:pPr>
        <w:pStyle w:val="8"/>
        <w:widowControl/>
        <w:spacing w:line="400" w:lineRule="exact"/>
        <w:ind w:firstLine="480" w:firstLineChars="200"/>
        <w:rPr>
          <w:rFonts w:hint="eastAsia"/>
        </w:rPr>
      </w:pPr>
      <w:r>
        <w:rPr>
          <w:rFonts w:hint="eastAsia"/>
        </w:rPr>
        <w:t>联系人：王昊  联系方式：0550-3990933</w:t>
      </w:r>
    </w:p>
    <w:p>
      <w:pPr>
        <w:pStyle w:val="8"/>
        <w:widowControl/>
        <w:spacing w:line="400" w:lineRule="exact"/>
        <w:ind w:firstLine="2160" w:firstLineChars="900"/>
      </w:pPr>
      <w:r>
        <w:rPr>
          <w:rFonts w:hint="eastAsia"/>
        </w:rPr>
        <w:t>监督电话：0550-3017855</w:t>
      </w:r>
    </w:p>
    <w:p>
      <w:pPr>
        <w:pStyle w:val="8"/>
        <w:widowControl/>
        <w:spacing w:line="400" w:lineRule="exact"/>
        <w:ind w:firstLine="480" w:firstLineChars="200"/>
      </w:pPr>
      <w:r>
        <w:rPr>
          <w:rFonts w:hint="eastAsia"/>
        </w:rPr>
        <w:t xml:space="preserve">联系地址：滁州市醉翁路与中都大道交叉口西南侧城投大厦 </w:t>
      </w:r>
    </w:p>
    <w:p>
      <w:pPr>
        <w:pStyle w:val="8"/>
        <w:widowControl/>
        <w:spacing w:line="400" w:lineRule="exact"/>
        <w:ind w:firstLine="5280" w:firstLineChars="2200"/>
        <w:rPr>
          <w:rFonts w:ascii="宋体" w:hAnsi="宋体" w:cs="宋体"/>
        </w:rPr>
        <w:sectPr>
          <w:pgSz w:w="11906" w:h="16838"/>
          <w:pgMar w:top="1440" w:right="1800" w:bottom="1440" w:left="1800" w:header="851" w:footer="992" w:gutter="0"/>
          <w:cols w:space="720" w:num="1"/>
          <w:docGrid w:type="lines" w:linePitch="312" w:charSpace="0"/>
        </w:sectPr>
      </w:pPr>
      <w:r>
        <w:rPr>
          <w:rFonts w:hint="eastAsia"/>
        </w:rPr>
        <w:tab/>
      </w:r>
      <w:r>
        <w:t>202</w:t>
      </w:r>
      <w:r>
        <w:rPr>
          <w:rFonts w:hint="eastAsia"/>
          <w:lang w:val="en-US" w:eastAsia="zh-CN"/>
        </w:rPr>
        <w:t>3</w:t>
      </w:r>
      <w:r>
        <w:rPr>
          <w:rFonts w:hint="eastAsia" w:ascii="宋体" w:hAnsi="宋体" w:cs="宋体"/>
        </w:rPr>
        <w:t>年</w:t>
      </w:r>
      <w:r>
        <w:rPr>
          <w:rFonts w:hint="eastAsia"/>
          <w:lang w:val="en-US" w:eastAsia="zh-CN"/>
        </w:rPr>
        <w:t>12</w:t>
      </w:r>
      <w:r>
        <w:rPr>
          <w:rFonts w:hint="eastAsia" w:ascii="宋体" w:hAnsi="宋体" w:cs="宋体"/>
        </w:rPr>
        <w:t>月</w:t>
      </w:r>
      <w:r>
        <w:rPr>
          <w:rFonts w:hint="eastAsia" w:ascii="宋体" w:hAnsi="宋体" w:cs="宋体"/>
          <w:lang w:val="en-US" w:eastAsia="zh-CN"/>
        </w:rPr>
        <w:t>14</w:t>
      </w:r>
      <w:r>
        <w:rPr>
          <w:rFonts w:hint="eastAsia" w:ascii="宋体" w:hAnsi="宋体" w:cs="宋体"/>
        </w:rPr>
        <w:t>日</w:t>
      </w:r>
    </w:p>
    <w:p>
      <w:pPr>
        <w:jc w:val="center"/>
        <w:rPr>
          <w:rFonts w:ascii="黑体" w:eastAsia="黑体"/>
          <w:b/>
          <w:sz w:val="32"/>
          <w:szCs w:val="32"/>
        </w:rPr>
      </w:pPr>
      <w:r>
        <w:rPr>
          <w:rFonts w:hint="eastAsia" w:ascii="黑体" w:eastAsia="黑体"/>
          <w:b/>
          <w:sz w:val="32"/>
          <w:szCs w:val="32"/>
        </w:rPr>
        <w:t>滁州工投科技产业园食堂考核实施细则</w:t>
      </w:r>
    </w:p>
    <w:p>
      <w:pPr>
        <w:spacing w:line="360" w:lineRule="auto"/>
        <w:rPr>
          <w:b/>
          <w:sz w:val="24"/>
        </w:rPr>
      </w:pPr>
      <w:r>
        <w:rPr>
          <w:rFonts w:hint="eastAsia"/>
          <w:b/>
          <w:sz w:val="24"/>
        </w:rPr>
        <w:t>一、考核目的</w:t>
      </w:r>
    </w:p>
    <w:p>
      <w:pPr>
        <w:numPr>
          <w:ilvl w:val="0"/>
          <w:numId w:val="1"/>
        </w:numPr>
        <w:spacing w:line="360" w:lineRule="auto"/>
        <w:rPr>
          <w:sz w:val="24"/>
        </w:rPr>
      </w:pPr>
      <w:r>
        <w:rPr>
          <w:rFonts w:hint="eastAsia"/>
          <w:sz w:val="24"/>
        </w:rPr>
        <w:t>加强对滁州工投科技产业园食堂的规范化、制度化、标准化管理；</w:t>
      </w:r>
    </w:p>
    <w:p>
      <w:pPr>
        <w:numPr>
          <w:ilvl w:val="0"/>
          <w:numId w:val="1"/>
        </w:numPr>
        <w:spacing w:line="360" w:lineRule="auto"/>
        <w:rPr>
          <w:sz w:val="24"/>
        </w:rPr>
      </w:pPr>
      <w:r>
        <w:rPr>
          <w:rFonts w:hint="eastAsia"/>
          <w:sz w:val="24"/>
        </w:rPr>
        <w:t>提升滁州工投科技产业园食堂的形象、不断满足市场需求，提高顾客满意度；</w:t>
      </w:r>
    </w:p>
    <w:p>
      <w:pPr>
        <w:spacing w:line="360" w:lineRule="auto"/>
        <w:rPr>
          <w:b/>
          <w:sz w:val="24"/>
        </w:rPr>
      </w:pPr>
      <w:r>
        <w:rPr>
          <w:rFonts w:hint="eastAsia"/>
          <w:b/>
          <w:sz w:val="24"/>
        </w:rPr>
        <w:t>二、考核对象</w:t>
      </w:r>
    </w:p>
    <w:p>
      <w:pPr>
        <w:spacing w:line="360" w:lineRule="auto"/>
        <w:ind w:firstLine="480" w:firstLineChars="200"/>
        <w:rPr>
          <w:sz w:val="24"/>
        </w:rPr>
      </w:pPr>
      <w:r>
        <w:rPr>
          <w:rFonts w:hint="eastAsia"/>
          <w:sz w:val="24"/>
        </w:rPr>
        <w:t>滁州工投科技产业园食堂中标人</w:t>
      </w:r>
    </w:p>
    <w:p>
      <w:pPr>
        <w:tabs>
          <w:tab w:val="right" w:pos="8306"/>
        </w:tabs>
        <w:spacing w:line="360" w:lineRule="auto"/>
        <w:rPr>
          <w:b/>
          <w:sz w:val="24"/>
        </w:rPr>
      </w:pPr>
      <w:r>
        <w:rPr>
          <w:rFonts w:hint="eastAsia"/>
          <w:b/>
          <w:sz w:val="24"/>
        </w:rPr>
        <w:t>三、考核标准</w:t>
      </w:r>
      <w:r>
        <w:rPr>
          <w:b/>
          <w:sz w:val="24"/>
        </w:rPr>
        <w:tab/>
      </w:r>
    </w:p>
    <w:p>
      <w:pPr>
        <w:spacing w:line="360" w:lineRule="auto"/>
        <w:rPr>
          <w:b/>
          <w:sz w:val="24"/>
        </w:rPr>
      </w:pPr>
      <w:r>
        <w:rPr>
          <w:rFonts w:hint="eastAsia"/>
          <w:b/>
          <w:sz w:val="24"/>
        </w:rPr>
        <w:t>（一）一般违规扣分标准</w:t>
      </w:r>
    </w:p>
    <w:tbl>
      <w:tblPr>
        <w:tblStyle w:val="9"/>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096"/>
        <w:gridCol w:w="1620"/>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8" w:type="dxa"/>
            <w:noWrap/>
          </w:tcPr>
          <w:p>
            <w:pPr>
              <w:jc w:val="center"/>
              <w:rPr>
                <w:b/>
                <w:sz w:val="28"/>
                <w:szCs w:val="28"/>
              </w:rPr>
            </w:pPr>
            <w:r>
              <w:rPr>
                <w:rFonts w:hint="eastAsia"/>
                <w:b/>
                <w:sz w:val="28"/>
                <w:szCs w:val="28"/>
              </w:rPr>
              <w:t>序号</w:t>
            </w:r>
          </w:p>
        </w:tc>
        <w:tc>
          <w:tcPr>
            <w:tcW w:w="5096" w:type="dxa"/>
            <w:noWrap/>
          </w:tcPr>
          <w:p>
            <w:pPr>
              <w:jc w:val="center"/>
              <w:rPr>
                <w:b/>
                <w:sz w:val="28"/>
                <w:szCs w:val="28"/>
              </w:rPr>
            </w:pPr>
            <w:r>
              <w:rPr>
                <w:rFonts w:hint="eastAsia"/>
                <w:b/>
                <w:sz w:val="28"/>
                <w:szCs w:val="28"/>
              </w:rPr>
              <w:t>违规扣分内容</w:t>
            </w:r>
          </w:p>
        </w:tc>
        <w:tc>
          <w:tcPr>
            <w:tcW w:w="1620" w:type="dxa"/>
            <w:noWrap/>
          </w:tcPr>
          <w:p>
            <w:pPr>
              <w:jc w:val="center"/>
              <w:rPr>
                <w:b/>
                <w:sz w:val="28"/>
                <w:szCs w:val="28"/>
              </w:rPr>
            </w:pPr>
            <w:r>
              <w:rPr>
                <w:rFonts w:hint="eastAsia"/>
                <w:b/>
                <w:sz w:val="28"/>
                <w:szCs w:val="28"/>
              </w:rPr>
              <w:t>扣分标准</w:t>
            </w:r>
          </w:p>
        </w:tc>
        <w:tc>
          <w:tcPr>
            <w:tcW w:w="1744" w:type="dxa"/>
            <w:noWrap/>
          </w:tcPr>
          <w:p>
            <w:pPr>
              <w:jc w:val="center"/>
              <w:rPr>
                <w:b/>
                <w:sz w:val="28"/>
                <w:szCs w:val="28"/>
              </w:rPr>
            </w:pPr>
            <w:r>
              <w:rPr>
                <w:rFonts w:hint="eastAsia"/>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证照不全、证照不在有效期内或擅自更改，没按规定亮证经营（营业执照、卫生许可证、税务登记证、健康证、肉类、家禽检疫证、豆制品合格证等）。</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5</w:t>
            </w:r>
          </w:p>
        </w:tc>
        <w:tc>
          <w:tcPr>
            <w:tcW w:w="1744" w:type="dxa"/>
            <w:noWrap/>
            <w:vAlign w:val="center"/>
          </w:tcPr>
          <w:p>
            <w:pPr>
              <w:widowControl/>
              <w:jc w:val="center"/>
              <w:rPr>
                <w:rFonts w:ascii="宋体" w:hAnsi="宋体" w:cs="宋体"/>
                <w:kern w:val="0"/>
                <w:szCs w:val="21"/>
              </w:rPr>
            </w:pPr>
            <w:r>
              <w:rPr>
                <w:rFonts w:hint="eastAsia" w:ascii="宋体" w:hAnsi="宋体" w:cs="宋体"/>
                <w:kern w:val="0"/>
                <w:szCs w:val="21"/>
              </w:rPr>
              <w:t>过期3天以上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2</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营业时间衣冠不整。</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1</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3</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营业时间在公共通道堆物、放车、配菜或作业。</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2</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4</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食堂区域内部脏乱差。</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1</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5</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不按规定做好店内灭蝇、灭鼠、灭虫工作。店内无防蝇、防虫、防尘设施。</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5</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6</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创建资料不全或不符合要求（索证材料、进货台账、进货凭证等）。</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1</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7</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出售食品未标明生产日期和保质期。</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2</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8</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商品或菜品不明码标价或不按标价售货，擅自提价。</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5</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9</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顾客一般投诉或对顾客投诉不服从管理人员仲裁。</w:t>
            </w:r>
          </w:p>
        </w:tc>
        <w:tc>
          <w:tcPr>
            <w:tcW w:w="1620" w:type="dxa"/>
            <w:noWrap/>
            <w:vAlign w:val="center"/>
          </w:tcPr>
          <w:p>
            <w:pPr>
              <w:widowControl/>
              <w:jc w:val="center"/>
              <w:rPr>
                <w:rFonts w:ascii="宋体" w:hAnsi="宋体" w:cs="宋体"/>
                <w:b/>
                <w:kern w:val="0"/>
                <w:szCs w:val="21"/>
              </w:rPr>
            </w:pPr>
            <w:r>
              <w:rPr>
                <w:rFonts w:hint="eastAsia" w:ascii="宋体" w:hAnsi="宋体" w:cs="宋体"/>
                <w:b/>
                <w:kern w:val="0"/>
                <w:szCs w:val="21"/>
              </w:rPr>
              <w:t>2</w:t>
            </w:r>
          </w:p>
        </w:tc>
        <w:tc>
          <w:tcPr>
            <w:tcW w:w="1744"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10</w:t>
            </w:r>
          </w:p>
        </w:tc>
        <w:tc>
          <w:tcPr>
            <w:tcW w:w="5096" w:type="dxa"/>
            <w:noWrap/>
            <w:vAlign w:val="center"/>
          </w:tcPr>
          <w:p>
            <w:pPr>
              <w:widowControl/>
              <w:rPr>
                <w:rFonts w:ascii="宋体" w:hAnsi="宋体" w:cs="宋体"/>
                <w:kern w:val="0"/>
                <w:szCs w:val="21"/>
              </w:rPr>
            </w:pPr>
            <w:r>
              <w:rPr>
                <w:rFonts w:hint="eastAsia" w:ascii="宋体" w:hAnsi="宋体" w:cs="宋体"/>
                <w:kern w:val="0"/>
                <w:szCs w:val="21"/>
              </w:rPr>
              <w:t>管理部已通知的各类会议、培训等活动迟到、缺席。</w:t>
            </w:r>
          </w:p>
        </w:tc>
        <w:tc>
          <w:tcPr>
            <w:tcW w:w="1620" w:type="dxa"/>
            <w:noWrap/>
            <w:vAlign w:val="center"/>
          </w:tcPr>
          <w:p>
            <w:pPr>
              <w:widowControl/>
              <w:jc w:val="center"/>
              <w:rPr>
                <w:b/>
                <w:kern w:val="0"/>
                <w:szCs w:val="21"/>
              </w:rPr>
            </w:pPr>
            <w:r>
              <w:rPr>
                <w:rFonts w:hint="eastAsia"/>
                <w:b/>
                <w:kern w:val="0"/>
                <w:szCs w:val="21"/>
              </w:rPr>
              <w:t>2</w:t>
            </w:r>
          </w:p>
        </w:tc>
        <w:tc>
          <w:tcPr>
            <w:tcW w:w="1744" w:type="dxa"/>
            <w:noWrap/>
            <w:vAlign w:val="center"/>
          </w:tcPr>
          <w:p>
            <w:pPr>
              <w:widowControl/>
              <w:jc w:val="center"/>
              <w:rPr>
                <w:rFonts w:ascii="宋体" w:hAnsi="宋体" w:cs="宋体"/>
                <w:kern w:val="0"/>
                <w:szCs w:val="21"/>
              </w:rPr>
            </w:pPr>
          </w:p>
        </w:tc>
      </w:tr>
    </w:tbl>
    <w:p>
      <w:pPr>
        <w:rPr>
          <w:b/>
          <w:sz w:val="24"/>
        </w:rPr>
      </w:pPr>
    </w:p>
    <w:p>
      <w:pPr>
        <w:rPr>
          <w:b/>
          <w:sz w:val="24"/>
        </w:rPr>
      </w:pPr>
    </w:p>
    <w:p>
      <w:pPr>
        <w:rPr>
          <w:b/>
          <w:sz w:val="24"/>
        </w:rPr>
      </w:pPr>
      <w:r>
        <w:rPr>
          <w:rFonts w:hint="eastAsia"/>
          <w:b/>
          <w:sz w:val="24"/>
        </w:rPr>
        <w:t>（二）重大违规扣分标准</w:t>
      </w:r>
    </w:p>
    <w:tbl>
      <w:tblPr>
        <w:tblStyle w:val="9"/>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040"/>
        <w:gridCol w:w="1620"/>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tcPr>
          <w:p>
            <w:pPr>
              <w:jc w:val="center"/>
              <w:rPr>
                <w:b/>
                <w:sz w:val="28"/>
                <w:szCs w:val="28"/>
              </w:rPr>
            </w:pPr>
            <w:r>
              <w:rPr>
                <w:rFonts w:hint="eastAsia"/>
                <w:b/>
                <w:sz w:val="28"/>
                <w:szCs w:val="28"/>
              </w:rPr>
              <w:t>序号</w:t>
            </w:r>
          </w:p>
        </w:tc>
        <w:tc>
          <w:tcPr>
            <w:tcW w:w="5040" w:type="dxa"/>
            <w:noWrap/>
          </w:tcPr>
          <w:p>
            <w:pPr>
              <w:jc w:val="center"/>
              <w:rPr>
                <w:b/>
                <w:sz w:val="28"/>
                <w:szCs w:val="28"/>
              </w:rPr>
            </w:pPr>
            <w:r>
              <w:rPr>
                <w:rFonts w:hint="eastAsia"/>
                <w:b/>
                <w:sz w:val="28"/>
                <w:szCs w:val="28"/>
              </w:rPr>
              <w:t>违规扣分内容</w:t>
            </w:r>
          </w:p>
        </w:tc>
        <w:tc>
          <w:tcPr>
            <w:tcW w:w="1620" w:type="dxa"/>
            <w:noWrap/>
          </w:tcPr>
          <w:p>
            <w:pPr>
              <w:jc w:val="center"/>
              <w:rPr>
                <w:b/>
                <w:sz w:val="28"/>
                <w:szCs w:val="28"/>
              </w:rPr>
            </w:pPr>
            <w:r>
              <w:rPr>
                <w:rFonts w:hint="eastAsia"/>
                <w:b/>
                <w:sz w:val="28"/>
                <w:szCs w:val="28"/>
              </w:rPr>
              <w:t>扣分标准</w:t>
            </w:r>
          </w:p>
        </w:tc>
        <w:tc>
          <w:tcPr>
            <w:tcW w:w="1866" w:type="dxa"/>
            <w:noWrap/>
          </w:tcPr>
          <w:p>
            <w:pPr>
              <w:jc w:val="center"/>
              <w:rPr>
                <w:b/>
                <w:sz w:val="28"/>
                <w:szCs w:val="28"/>
              </w:rPr>
            </w:pPr>
            <w:r>
              <w:rPr>
                <w:rFonts w:hint="eastAsia"/>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1</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拒不服从管理、辱骂、殴打管理人员，并按有关治安条例处理。</w:t>
            </w:r>
          </w:p>
        </w:tc>
        <w:tc>
          <w:tcPr>
            <w:tcW w:w="1620" w:type="dxa"/>
            <w:noWrap/>
            <w:vAlign w:val="center"/>
          </w:tcPr>
          <w:p>
            <w:pPr>
              <w:widowControl/>
              <w:jc w:val="center"/>
              <w:rPr>
                <w:b/>
                <w:kern w:val="0"/>
                <w:szCs w:val="21"/>
              </w:rPr>
            </w:pPr>
            <w:r>
              <w:rPr>
                <w:b/>
                <w:kern w:val="0"/>
                <w:szCs w:val="21"/>
              </w:rPr>
              <w:t>20~40</w:t>
            </w:r>
          </w:p>
        </w:tc>
        <w:tc>
          <w:tcPr>
            <w:tcW w:w="1866" w:type="dxa"/>
            <w:noWrap/>
            <w:vAlign w:val="center"/>
          </w:tcPr>
          <w:p>
            <w:pPr>
              <w:widowControl/>
              <w:jc w:val="center"/>
              <w:rPr>
                <w:rFonts w:ascii="宋体" w:hAnsi="宋体" w:cs="宋体"/>
                <w:b/>
                <w:kern w:val="0"/>
                <w:szCs w:val="21"/>
              </w:rPr>
            </w:pPr>
            <w:r>
              <w:rPr>
                <w:rFonts w:hint="eastAsia" w:ascii="宋体" w:hAnsi="宋体" w:cs="宋体"/>
                <w:b/>
                <w:kern w:val="0"/>
                <w:szCs w:val="21"/>
              </w:rPr>
              <w:t>甲方有权进行清退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2</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擅自转让经营场地。（不含超市）</w:t>
            </w:r>
          </w:p>
        </w:tc>
        <w:tc>
          <w:tcPr>
            <w:tcW w:w="1620" w:type="dxa"/>
            <w:noWrap/>
            <w:vAlign w:val="center"/>
          </w:tcPr>
          <w:p>
            <w:pPr>
              <w:widowControl/>
              <w:jc w:val="center"/>
              <w:rPr>
                <w:b/>
                <w:kern w:val="0"/>
                <w:szCs w:val="21"/>
              </w:rPr>
            </w:pPr>
            <w:r>
              <w:rPr>
                <w:b/>
                <w:kern w:val="0"/>
                <w:szCs w:val="21"/>
              </w:rPr>
              <w:t>40</w:t>
            </w:r>
          </w:p>
        </w:tc>
        <w:tc>
          <w:tcPr>
            <w:tcW w:w="1866" w:type="dxa"/>
            <w:noWrap/>
            <w:vAlign w:val="center"/>
          </w:tcPr>
          <w:p>
            <w:pPr>
              <w:widowControl/>
              <w:jc w:val="center"/>
              <w:rPr>
                <w:rFonts w:ascii="宋体" w:hAnsi="宋体" w:cs="宋体"/>
                <w:b/>
                <w:kern w:val="0"/>
                <w:szCs w:val="21"/>
              </w:rPr>
            </w:pPr>
            <w:r>
              <w:rPr>
                <w:rFonts w:hint="eastAsia" w:ascii="宋体" w:hAnsi="宋体" w:cs="宋体"/>
                <w:b/>
                <w:kern w:val="0"/>
                <w:szCs w:val="21"/>
              </w:rPr>
              <w:t>甲方有权进行清退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3</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拖欠场地经营费或其它费用</w:t>
            </w:r>
            <w:r>
              <w:rPr>
                <w:rFonts w:hint="eastAsia"/>
                <w:kern w:val="0"/>
                <w:szCs w:val="21"/>
              </w:rPr>
              <w:t>20</w:t>
            </w:r>
            <w:r>
              <w:rPr>
                <w:rFonts w:hint="eastAsia" w:ascii="宋体" w:hAnsi="宋体" w:cs="宋体"/>
                <w:kern w:val="0"/>
                <w:szCs w:val="21"/>
              </w:rPr>
              <w:t>日以上（含20日）。</w:t>
            </w:r>
          </w:p>
        </w:tc>
        <w:tc>
          <w:tcPr>
            <w:tcW w:w="1620" w:type="dxa"/>
            <w:noWrap/>
            <w:vAlign w:val="center"/>
          </w:tcPr>
          <w:p>
            <w:pPr>
              <w:widowControl/>
              <w:jc w:val="center"/>
              <w:rPr>
                <w:b/>
                <w:kern w:val="0"/>
                <w:szCs w:val="21"/>
              </w:rPr>
            </w:pPr>
            <w:r>
              <w:rPr>
                <w:b/>
                <w:kern w:val="0"/>
                <w:szCs w:val="21"/>
              </w:rPr>
              <w:t>10~20</w:t>
            </w:r>
          </w:p>
        </w:tc>
        <w:tc>
          <w:tcPr>
            <w:tcW w:w="1866" w:type="dxa"/>
            <w:noWrap/>
            <w:vAlign w:val="center"/>
          </w:tcPr>
          <w:p>
            <w:pPr>
              <w:widowControl/>
              <w:jc w:val="center"/>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4</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被执法部门（工商、税务、卫生、物价、质量等）发出书面整改通知。</w:t>
            </w:r>
          </w:p>
        </w:tc>
        <w:tc>
          <w:tcPr>
            <w:tcW w:w="1620" w:type="dxa"/>
            <w:noWrap/>
            <w:vAlign w:val="center"/>
          </w:tcPr>
          <w:p>
            <w:pPr>
              <w:widowControl/>
              <w:jc w:val="center"/>
              <w:rPr>
                <w:b/>
                <w:kern w:val="0"/>
                <w:szCs w:val="21"/>
              </w:rPr>
            </w:pPr>
            <w:r>
              <w:rPr>
                <w:b/>
                <w:kern w:val="0"/>
                <w:szCs w:val="21"/>
              </w:rPr>
              <w:t>20</w:t>
            </w:r>
          </w:p>
        </w:tc>
        <w:tc>
          <w:tcPr>
            <w:tcW w:w="1866" w:type="dxa"/>
            <w:noWrap/>
            <w:vAlign w:val="center"/>
          </w:tcPr>
          <w:p>
            <w:pPr>
              <w:widowControl/>
              <w:jc w:val="center"/>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5</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销售假冒伪劣商品或国家明令淘汰、禁止、退市的商品。销售过期变质商品或未按规定检验、检疫的商品而造成恶劣影响。</w:t>
            </w:r>
          </w:p>
        </w:tc>
        <w:tc>
          <w:tcPr>
            <w:tcW w:w="1620" w:type="dxa"/>
            <w:noWrap/>
            <w:vAlign w:val="center"/>
          </w:tcPr>
          <w:p>
            <w:pPr>
              <w:widowControl/>
              <w:jc w:val="center"/>
              <w:rPr>
                <w:b/>
                <w:kern w:val="0"/>
                <w:szCs w:val="21"/>
              </w:rPr>
            </w:pPr>
            <w:r>
              <w:rPr>
                <w:rFonts w:hint="eastAsia"/>
                <w:b/>
                <w:kern w:val="0"/>
                <w:szCs w:val="21"/>
              </w:rPr>
              <w:t>10-40</w:t>
            </w:r>
          </w:p>
        </w:tc>
        <w:tc>
          <w:tcPr>
            <w:tcW w:w="1866" w:type="dxa"/>
            <w:noWrap/>
            <w:vAlign w:val="center"/>
          </w:tcPr>
          <w:p>
            <w:pPr>
              <w:widowControl/>
              <w:jc w:val="center"/>
              <w:rPr>
                <w:rFonts w:ascii="宋体" w:hAnsi="宋体" w:cs="宋体"/>
                <w:b/>
                <w:kern w:val="0"/>
                <w:szCs w:val="21"/>
              </w:rPr>
            </w:pPr>
            <w:r>
              <w:rPr>
                <w:rFonts w:hint="eastAsia" w:ascii="宋体" w:hAnsi="宋体" w:cs="宋体"/>
                <w:b/>
                <w:kern w:val="0"/>
                <w:szCs w:val="21"/>
              </w:rPr>
              <w:t>甲方有权进行清退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6</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破坏主体结构、公共设施，包含配备的智能化等设备。</w:t>
            </w:r>
          </w:p>
        </w:tc>
        <w:tc>
          <w:tcPr>
            <w:tcW w:w="1620" w:type="dxa"/>
            <w:noWrap/>
            <w:vAlign w:val="center"/>
          </w:tcPr>
          <w:p>
            <w:pPr>
              <w:widowControl/>
              <w:jc w:val="center"/>
              <w:rPr>
                <w:b/>
                <w:kern w:val="0"/>
                <w:szCs w:val="21"/>
              </w:rPr>
            </w:pPr>
            <w:r>
              <w:rPr>
                <w:rFonts w:hint="eastAsia"/>
                <w:b/>
                <w:kern w:val="0"/>
                <w:szCs w:val="21"/>
              </w:rPr>
              <w:t>5</w:t>
            </w:r>
            <w:r>
              <w:rPr>
                <w:b/>
                <w:kern w:val="0"/>
                <w:szCs w:val="21"/>
              </w:rPr>
              <w:t>~</w:t>
            </w:r>
            <w:r>
              <w:rPr>
                <w:rFonts w:hint="eastAsia"/>
                <w:b/>
                <w:kern w:val="0"/>
                <w:szCs w:val="21"/>
              </w:rPr>
              <w:t>1</w:t>
            </w:r>
            <w:r>
              <w:rPr>
                <w:b/>
                <w:kern w:val="0"/>
                <w:szCs w:val="21"/>
              </w:rPr>
              <w:t>0</w:t>
            </w:r>
          </w:p>
        </w:tc>
        <w:tc>
          <w:tcPr>
            <w:tcW w:w="1866" w:type="dxa"/>
            <w:noWrap/>
            <w:vAlign w:val="center"/>
          </w:tcPr>
          <w:p>
            <w:pPr>
              <w:widowControl/>
              <w:jc w:val="center"/>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7</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顾客重大投诉，造成恶劣影响，或年度顾客一般投诉十次以上。月度客户满意度低于70分三次以上</w:t>
            </w:r>
          </w:p>
        </w:tc>
        <w:tc>
          <w:tcPr>
            <w:tcW w:w="1620" w:type="dxa"/>
            <w:noWrap/>
            <w:vAlign w:val="center"/>
          </w:tcPr>
          <w:p>
            <w:pPr>
              <w:widowControl/>
              <w:jc w:val="center"/>
              <w:rPr>
                <w:b/>
                <w:kern w:val="0"/>
                <w:szCs w:val="21"/>
              </w:rPr>
            </w:pPr>
            <w:r>
              <w:rPr>
                <w:rFonts w:hint="eastAsia"/>
                <w:b/>
                <w:kern w:val="0"/>
                <w:szCs w:val="21"/>
              </w:rPr>
              <w:t>10-40</w:t>
            </w:r>
          </w:p>
        </w:tc>
        <w:tc>
          <w:tcPr>
            <w:tcW w:w="1866" w:type="dxa"/>
            <w:noWrap/>
            <w:vAlign w:val="center"/>
          </w:tcPr>
          <w:p>
            <w:pPr>
              <w:widowControl/>
              <w:jc w:val="center"/>
              <w:rPr>
                <w:rFonts w:ascii="宋体" w:hAnsi="宋体" w:cs="宋体"/>
                <w:b/>
                <w:kern w:val="0"/>
                <w:szCs w:val="21"/>
              </w:rPr>
            </w:pPr>
            <w:r>
              <w:rPr>
                <w:rFonts w:hint="eastAsia" w:ascii="宋体" w:hAnsi="宋体" w:cs="宋体"/>
                <w:b/>
                <w:kern w:val="0"/>
                <w:szCs w:val="21"/>
              </w:rPr>
              <w:t>甲方有权进行清退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8</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打架、斗殴或聚众闹事。</w:t>
            </w:r>
          </w:p>
        </w:tc>
        <w:tc>
          <w:tcPr>
            <w:tcW w:w="1620" w:type="dxa"/>
            <w:noWrap/>
            <w:vAlign w:val="center"/>
          </w:tcPr>
          <w:p>
            <w:pPr>
              <w:widowControl/>
              <w:jc w:val="center"/>
              <w:rPr>
                <w:b/>
                <w:kern w:val="0"/>
                <w:szCs w:val="21"/>
              </w:rPr>
            </w:pPr>
            <w:r>
              <w:rPr>
                <w:rFonts w:hint="eastAsia"/>
                <w:b/>
                <w:kern w:val="0"/>
                <w:szCs w:val="21"/>
              </w:rPr>
              <w:t>10-30</w:t>
            </w:r>
          </w:p>
        </w:tc>
        <w:tc>
          <w:tcPr>
            <w:tcW w:w="1866" w:type="dxa"/>
            <w:noWrap/>
            <w:vAlign w:val="center"/>
          </w:tcPr>
          <w:p>
            <w:pPr>
              <w:widowControl/>
              <w:jc w:val="center"/>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28" w:type="dxa"/>
            <w:noWrap/>
            <w:vAlign w:val="center"/>
          </w:tcPr>
          <w:p>
            <w:pPr>
              <w:widowControl/>
              <w:jc w:val="center"/>
              <w:rPr>
                <w:rFonts w:ascii="宋体" w:hAnsi="宋体" w:cs="宋体"/>
                <w:kern w:val="0"/>
                <w:szCs w:val="21"/>
              </w:rPr>
            </w:pPr>
            <w:r>
              <w:rPr>
                <w:rFonts w:hint="eastAsia" w:ascii="宋体" w:hAnsi="宋体" w:cs="宋体"/>
                <w:kern w:val="0"/>
                <w:szCs w:val="21"/>
              </w:rPr>
              <w:t>9</w:t>
            </w:r>
          </w:p>
        </w:tc>
        <w:tc>
          <w:tcPr>
            <w:tcW w:w="5040" w:type="dxa"/>
            <w:noWrap/>
            <w:vAlign w:val="center"/>
          </w:tcPr>
          <w:p>
            <w:pPr>
              <w:widowControl/>
              <w:rPr>
                <w:rFonts w:ascii="宋体" w:hAnsi="宋体" w:cs="宋体"/>
                <w:kern w:val="0"/>
                <w:szCs w:val="21"/>
              </w:rPr>
            </w:pPr>
            <w:r>
              <w:rPr>
                <w:rFonts w:hint="eastAsia" w:ascii="宋体" w:hAnsi="宋体" w:cs="宋体"/>
                <w:kern w:val="0"/>
                <w:szCs w:val="21"/>
              </w:rPr>
              <w:t xml:space="preserve">发现一次偷摸消费者钱物的行为。 </w:t>
            </w:r>
          </w:p>
        </w:tc>
        <w:tc>
          <w:tcPr>
            <w:tcW w:w="1620" w:type="dxa"/>
            <w:noWrap/>
            <w:vAlign w:val="center"/>
          </w:tcPr>
          <w:p>
            <w:pPr>
              <w:widowControl/>
              <w:jc w:val="center"/>
              <w:rPr>
                <w:b/>
                <w:kern w:val="0"/>
                <w:szCs w:val="21"/>
              </w:rPr>
            </w:pPr>
            <w:r>
              <w:rPr>
                <w:rFonts w:hint="eastAsia"/>
                <w:b/>
                <w:kern w:val="0"/>
                <w:szCs w:val="21"/>
              </w:rPr>
              <w:t>10-40</w:t>
            </w:r>
          </w:p>
        </w:tc>
        <w:tc>
          <w:tcPr>
            <w:tcW w:w="1866" w:type="dxa"/>
            <w:noWrap/>
            <w:vAlign w:val="center"/>
          </w:tcPr>
          <w:p>
            <w:pPr>
              <w:widowControl/>
              <w:jc w:val="center"/>
              <w:rPr>
                <w:rFonts w:ascii="宋体" w:hAnsi="宋体" w:cs="宋体"/>
                <w:b/>
                <w:kern w:val="0"/>
                <w:szCs w:val="21"/>
              </w:rPr>
            </w:pPr>
            <w:r>
              <w:rPr>
                <w:rFonts w:hint="eastAsia" w:ascii="宋体" w:hAnsi="宋体" w:cs="宋体"/>
                <w:b/>
                <w:kern w:val="0"/>
                <w:szCs w:val="21"/>
              </w:rPr>
              <w:t>甲方有权进行清退</w:t>
            </w:r>
          </w:p>
        </w:tc>
      </w:tr>
    </w:tbl>
    <w:p>
      <w:pPr>
        <w:rPr>
          <w:b/>
          <w:sz w:val="24"/>
        </w:rPr>
      </w:pPr>
    </w:p>
    <w:p>
      <w:pPr>
        <w:numPr>
          <w:ilvl w:val="0"/>
          <w:numId w:val="2"/>
        </w:numPr>
        <w:rPr>
          <w:b/>
          <w:sz w:val="24"/>
        </w:rPr>
      </w:pPr>
      <w:r>
        <w:rPr>
          <w:rFonts w:hint="eastAsia"/>
          <w:b/>
          <w:sz w:val="24"/>
        </w:rPr>
        <w:t>客户满意度评分标准</w:t>
      </w:r>
    </w:p>
    <w:p>
      <w:pPr>
        <w:tabs>
          <w:tab w:val="left" w:pos="540"/>
        </w:tabs>
        <w:jc w:val="center"/>
        <w:rPr>
          <w:rFonts w:ascii="华文中宋" w:hAnsi="华文中宋" w:eastAsia="华文中宋" w:cs="华文中宋"/>
          <w:sz w:val="36"/>
          <w:szCs w:val="36"/>
        </w:rPr>
      </w:pPr>
      <w:r>
        <w:rPr>
          <w:rFonts w:hint="eastAsia" w:ascii="华文中宋" w:hAnsi="华文中宋" w:eastAsia="华文中宋" w:cs="华文中宋"/>
        </w:rPr>
        <w:t xml:space="preserve">  </w:t>
      </w:r>
      <w:r>
        <w:rPr>
          <w:rFonts w:hint="eastAsia" w:ascii="华文中宋" w:hAnsi="华文中宋" w:eastAsia="华文中宋" w:cs="华文中宋"/>
          <w:sz w:val="36"/>
          <w:szCs w:val="36"/>
        </w:rPr>
        <w:t>员工食堂满意度调查表</w:t>
      </w:r>
    </w:p>
    <w:p>
      <w:pPr>
        <w:spacing w:line="360" w:lineRule="exact"/>
        <w:ind w:left="-540" w:leftChars="-257"/>
        <w:jc w:val="left"/>
        <w:rPr>
          <w:sz w:val="24"/>
        </w:rPr>
      </w:pPr>
      <w:r>
        <w:rPr>
          <w:rFonts w:hint="eastAsia"/>
          <w:sz w:val="24"/>
        </w:rPr>
        <w:t>各位员工：</w:t>
      </w:r>
    </w:p>
    <w:p>
      <w:pPr>
        <w:spacing w:line="360" w:lineRule="exact"/>
        <w:ind w:left="-540" w:leftChars="-257" w:right="-512" w:rightChars="-244" w:firstLine="600"/>
        <w:jc w:val="left"/>
        <w:rPr>
          <w:rFonts w:ascii="宋体" w:hAnsi="宋体"/>
          <w:sz w:val="24"/>
        </w:rPr>
      </w:pPr>
      <w:r>
        <w:rPr>
          <w:rFonts w:hint="eastAsia"/>
          <w:sz w:val="24"/>
        </w:rPr>
        <w:t>为了完善公司食堂管理，持续提高服务质量，让员工更加精神饱满的做好生产，此次调查为不记名调查，希望大家从公司及自身实际出发，积极配合</w:t>
      </w:r>
      <w:r>
        <w:rPr>
          <w:rFonts w:hint="eastAsia" w:ascii="宋体" w:hAnsi="宋体"/>
          <w:sz w:val="24"/>
        </w:rPr>
        <w:t>、认真、详实的填写。谢谢配合！</w:t>
      </w:r>
      <w:r>
        <w:rPr>
          <w:rFonts w:hint="eastAsia" w:ascii="宋体" w:hAnsi="宋体"/>
          <w:sz w:val="24"/>
        </w:rPr>
        <w:tab/>
      </w:r>
    </w:p>
    <w:tbl>
      <w:tblPr>
        <w:tblStyle w:val="9"/>
        <w:tblpPr w:leftFromText="180" w:rightFromText="180" w:vertAnchor="text" w:horzAnchor="page" w:tblpX="1550" w:tblpY="302"/>
        <w:tblOverlap w:val="never"/>
        <w:tblW w:w="9277" w:type="dxa"/>
        <w:tblInd w:w="0" w:type="dxa"/>
        <w:tblLayout w:type="autofit"/>
        <w:tblCellMar>
          <w:top w:w="0" w:type="dxa"/>
          <w:left w:w="108" w:type="dxa"/>
          <w:bottom w:w="0" w:type="dxa"/>
          <w:right w:w="108" w:type="dxa"/>
        </w:tblCellMar>
      </w:tblPr>
      <w:tblGrid>
        <w:gridCol w:w="489"/>
        <w:gridCol w:w="890"/>
        <w:gridCol w:w="2789"/>
        <w:gridCol w:w="714"/>
        <w:gridCol w:w="691"/>
        <w:gridCol w:w="3704"/>
      </w:tblGrid>
      <w:tr>
        <w:tblPrEx>
          <w:tblCellMar>
            <w:top w:w="0" w:type="dxa"/>
            <w:left w:w="108" w:type="dxa"/>
            <w:bottom w:w="0" w:type="dxa"/>
            <w:right w:w="108" w:type="dxa"/>
          </w:tblCellMar>
        </w:tblPrEx>
        <w:trPr>
          <w:trHeight w:val="576" w:hRule="atLeast"/>
        </w:trPr>
        <w:tc>
          <w:tcPr>
            <w:tcW w:w="489" w:type="dxa"/>
            <w:vMerge w:val="restart"/>
            <w:tcBorders>
              <w:top w:val="single" w:color="000000" w:sz="8" w:space="0"/>
              <w:left w:val="single" w:color="000000" w:sz="8"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序号</w:t>
            </w:r>
          </w:p>
        </w:tc>
        <w:tc>
          <w:tcPr>
            <w:tcW w:w="890" w:type="dxa"/>
            <w:vMerge w:val="restart"/>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服务项目</w:t>
            </w:r>
          </w:p>
        </w:tc>
        <w:tc>
          <w:tcPr>
            <w:tcW w:w="2789" w:type="dxa"/>
            <w:vMerge w:val="restart"/>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服务内容</w:t>
            </w:r>
          </w:p>
        </w:tc>
        <w:tc>
          <w:tcPr>
            <w:tcW w:w="1405" w:type="dxa"/>
            <w:gridSpan w:val="2"/>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评价内容</w:t>
            </w:r>
          </w:p>
        </w:tc>
        <w:tc>
          <w:tcPr>
            <w:tcW w:w="3704" w:type="dxa"/>
            <w:vMerge w:val="restart"/>
            <w:tcBorders>
              <w:top w:val="single" w:color="000000" w:sz="8" w:space="0"/>
              <w:left w:val="single" w:color="000000" w:sz="4" w:space="0"/>
              <w:bottom w:val="single" w:color="000000" w:sz="4" w:space="0"/>
              <w:right w:val="single" w:color="auto"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不满意原因</w:t>
            </w:r>
          </w:p>
        </w:tc>
      </w:tr>
      <w:tr>
        <w:tblPrEx>
          <w:tblCellMar>
            <w:top w:w="0" w:type="dxa"/>
            <w:left w:w="108" w:type="dxa"/>
            <w:bottom w:w="0" w:type="dxa"/>
            <w:right w:w="108" w:type="dxa"/>
          </w:tblCellMar>
        </w:tblPrEx>
        <w:trPr>
          <w:trHeight w:val="560" w:hRule="atLeast"/>
        </w:trPr>
        <w:tc>
          <w:tcPr>
            <w:tcW w:w="489" w:type="dxa"/>
            <w:vMerge w:val="continue"/>
            <w:tcBorders>
              <w:top w:val="single" w:color="000000" w:sz="8" w:space="0"/>
              <w:left w:val="single" w:color="000000" w:sz="8"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890" w:type="dxa"/>
            <w:vMerge w:val="continue"/>
            <w:tcBorders>
              <w:top w:val="single" w:color="000000" w:sz="8"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2789" w:type="dxa"/>
            <w:vMerge w:val="continue"/>
            <w:tcBorders>
              <w:top w:val="single" w:color="000000" w:sz="8"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总分</w:t>
            </w:r>
          </w:p>
        </w:tc>
        <w:tc>
          <w:tcPr>
            <w:tcW w:w="6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评分</w:t>
            </w:r>
          </w:p>
        </w:tc>
        <w:tc>
          <w:tcPr>
            <w:tcW w:w="3704" w:type="dxa"/>
            <w:vMerge w:val="continue"/>
            <w:tcBorders>
              <w:top w:val="single" w:color="000000" w:sz="8" w:space="0"/>
              <w:left w:val="single" w:color="000000" w:sz="4" w:space="0"/>
              <w:bottom w:val="single" w:color="000000" w:sz="4" w:space="0"/>
              <w:right w:val="single" w:color="auto" w:sz="4" w:space="0"/>
            </w:tcBorders>
            <w:vAlign w:val="center"/>
          </w:tcPr>
          <w:p>
            <w:pPr>
              <w:jc w:val="center"/>
              <w:rPr>
                <w:rFonts w:ascii="仿宋" w:hAnsi="仿宋" w:eastAsia="仿宋" w:cs="仿宋"/>
                <w:sz w:val="20"/>
                <w:szCs w:val="20"/>
              </w:rPr>
            </w:pPr>
          </w:p>
        </w:tc>
      </w:tr>
      <w:tr>
        <w:tblPrEx>
          <w:tblCellMar>
            <w:top w:w="0" w:type="dxa"/>
            <w:left w:w="108" w:type="dxa"/>
            <w:bottom w:w="0" w:type="dxa"/>
            <w:right w:w="108" w:type="dxa"/>
          </w:tblCellMar>
        </w:tblPrEx>
        <w:trPr>
          <w:trHeight w:val="520" w:hRule="atLeast"/>
        </w:trPr>
        <w:tc>
          <w:tcPr>
            <w:tcW w:w="489" w:type="dxa"/>
            <w:vMerge w:val="restart"/>
            <w:tcBorders>
              <w:top w:val="single" w:color="000000" w:sz="4" w:space="0"/>
              <w:left w:val="single" w:color="000000" w:sz="8"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1</w:t>
            </w: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餐厅服务</w:t>
            </w:r>
          </w:p>
        </w:tc>
        <w:tc>
          <w:tcPr>
            <w:tcW w:w="2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sz w:val="20"/>
                <w:szCs w:val="20"/>
              </w:rPr>
            </w:pPr>
            <w:r>
              <w:rPr>
                <w:rFonts w:hint="eastAsia" w:ascii="仿宋" w:hAnsi="仿宋" w:eastAsia="仿宋" w:cs="仿宋"/>
                <w:kern w:val="0"/>
                <w:sz w:val="20"/>
                <w:szCs w:val="20"/>
              </w:rPr>
              <w:t>餐厅工作人员的服务态度</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30</w:t>
            </w:r>
          </w:p>
        </w:tc>
        <w:tc>
          <w:tcPr>
            <w:tcW w:w="6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s="仿宋"/>
                <w:sz w:val="20"/>
                <w:szCs w:val="20"/>
              </w:rPr>
            </w:pPr>
          </w:p>
        </w:tc>
      </w:tr>
      <w:tr>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sz w:val="20"/>
                <w:szCs w:val="20"/>
              </w:rPr>
            </w:pPr>
            <w:r>
              <w:rPr>
                <w:rFonts w:hint="eastAsia" w:ascii="仿宋" w:hAnsi="仿宋" w:eastAsia="仿宋" w:cs="仿宋"/>
                <w:kern w:val="0"/>
                <w:sz w:val="20"/>
                <w:szCs w:val="20"/>
              </w:rPr>
              <w:t>餐厅的环境卫生及就餐氛围</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25</w:t>
            </w:r>
          </w:p>
        </w:tc>
        <w:tc>
          <w:tcPr>
            <w:tcW w:w="6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s="仿宋"/>
                <w:sz w:val="20"/>
                <w:szCs w:val="20"/>
              </w:rPr>
            </w:pPr>
          </w:p>
        </w:tc>
      </w:tr>
      <w:tr>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sz w:val="20"/>
                <w:szCs w:val="20"/>
              </w:rPr>
            </w:pPr>
            <w:r>
              <w:rPr>
                <w:rFonts w:hint="eastAsia" w:ascii="仿宋" w:hAnsi="仿宋" w:eastAsia="仿宋" w:cs="仿宋"/>
                <w:kern w:val="0"/>
                <w:sz w:val="20"/>
                <w:szCs w:val="20"/>
              </w:rPr>
              <w:t>餐厅的菜品质量及餐食卫生</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25</w:t>
            </w:r>
          </w:p>
        </w:tc>
        <w:tc>
          <w:tcPr>
            <w:tcW w:w="6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s="仿宋"/>
                <w:sz w:val="20"/>
                <w:szCs w:val="20"/>
              </w:rPr>
            </w:pPr>
          </w:p>
        </w:tc>
      </w:tr>
      <w:tr>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sz w:val="20"/>
                <w:szCs w:val="20"/>
              </w:rPr>
            </w:pPr>
            <w:r>
              <w:rPr>
                <w:rFonts w:hint="eastAsia" w:ascii="仿宋" w:hAnsi="仿宋" w:eastAsia="仿宋" w:cs="仿宋"/>
                <w:kern w:val="0"/>
                <w:sz w:val="20"/>
                <w:szCs w:val="20"/>
              </w:rPr>
              <w:t>餐厅的菜品口味及新鲜度</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20</w:t>
            </w:r>
          </w:p>
        </w:tc>
        <w:tc>
          <w:tcPr>
            <w:tcW w:w="6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pPr>
              <w:jc w:val="center"/>
              <w:rPr>
                <w:rFonts w:ascii="仿宋" w:hAnsi="仿宋" w:eastAsia="仿宋" w:cs="仿宋"/>
                <w:sz w:val="20"/>
                <w:szCs w:val="20"/>
              </w:rPr>
            </w:pPr>
          </w:p>
        </w:tc>
      </w:tr>
      <w:tr>
        <w:tblPrEx>
          <w:tblCellMar>
            <w:top w:w="0" w:type="dxa"/>
            <w:left w:w="108" w:type="dxa"/>
            <w:bottom w:w="0" w:type="dxa"/>
            <w:right w:w="108" w:type="dxa"/>
          </w:tblCellMar>
        </w:tblPrEx>
        <w:trPr>
          <w:trHeight w:val="944" w:hRule="atLeast"/>
        </w:trPr>
        <w:tc>
          <w:tcPr>
            <w:tcW w:w="489" w:type="dxa"/>
            <w:tcBorders>
              <w:top w:val="single" w:color="000000" w:sz="4" w:space="0"/>
              <w:left w:val="single" w:color="000000" w:sz="8"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2</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其他期望、意见或建议</w:t>
            </w:r>
          </w:p>
        </w:tc>
        <w:tc>
          <w:tcPr>
            <w:tcW w:w="7898" w:type="dxa"/>
            <w:gridSpan w:val="4"/>
            <w:tcBorders>
              <w:top w:val="single" w:color="000000" w:sz="4" w:space="0"/>
              <w:left w:val="single" w:color="000000" w:sz="4" w:space="0"/>
              <w:bottom w:val="nil"/>
              <w:right w:val="single" w:color="000000" w:sz="4" w:space="0"/>
            </w:tcBorders>
            <w:vAlign w:val="center"/>
          </w:tcPr>
          <w:p>
            <w:pPr>
              <w:jc w:val="left"/>
              <w:rPr>
                <w:rFonts w:ascii="仿宋" w:hAnsi="仿宋" w:eastAsia="仿宋" w:cs="仿宋"/>
                <w:sz w:val="20"/>
                <w:szCs w:val="20"/>
              </w:rPr>
            </w:pPr>
          </w:p>
        </w:tc>
      </w:tr>
      <w:tr>
        <w:tblPrEx>
          <w:tblCellMar>
            <w:top w:w="0" w:type="dxa"/>
            <w:left w:w="108" w:type="dxa"/>
            <w:bottom w:w="0" w:type="dxa"/>
            <w:right w:w="108" w:type="dxa"/>
          </w:tblCellMar>
        </w:tblPrEx>
        <w:trPr>
          <w:trHeight w:val="652" w:hRule="atLeast"/>
        </w:trPr>
        <w:tc>
          <w:tcPr>
            <w:tcW w:w="489" w:type="dxa"/>
            <w:tcBorders>
              <w:top w:val="single" w:color="000000" w:sz="4" w:space="0"/>
              <w:left w:val="single" w:color="000000" w:sz="8" w:space="0"/>
              <w:bottom w:val="single" w:color="000000" w:sz="8"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3</w:t>
            </w:r>
          </w:p>
        </w:tc>
        <w:tc>
          <w:tcPr>
            <w:tcW w:w="890" w:type="dxa"/>
            <w:tcBorders>
              <w:top w:val="single" w:color="000000" w:sz="4" w:space="0"/>
              <w:left w:val="single" w:color="000000" w:sz="4" w:space="0"/>
              <w:bottom w:val="single" w:color="000000" w:sz="8" w:space="0"/>
              <w:right w:val="single" w:color="000000" w:sz="4" w:space="0"/>
            </w:tcBorders>
            <w:vAlign w:val="center"/>
          </w:tcPr>
          <w:p>
            <w:pPr>
              <w:widowControl/>
              <w:jc w:val="center"/>
              <w:textAlignment w:val="center"/>
              <w:rPr>
                <w:rFonts w:ascii="仿宋" w:hAnsi="仿宋" w:eastAsia="仿宋" w:cs="仿宋"/>
                <w:sz w:val="20"/>
                <w:szCs w:val="20"/>
              </w:rPr>
            </w:pPr>
            <w:r>
              <w:rPr>
                <w:rFonts w:hint="eastAsia" w:ascii="仿宋" w:hAnsi="仿宋" w:eastAsia="仿宋" w:cs="仿宋"/>
                <w:kern w:val="0"/>
                <w:sz w:val="20"/>
                <w:szCs w:val="20"/>
              </w:rPr>
              <w:t>客户签字确认</w:t>
            </w:r>
          </w:p>
        </w:tc>
        <w:tc>
          <w:tcPr>
            <w:tcW w:w="7898" w:type="dxa"/>
            <w:gridSpan w:val="4"/>
            <w:tcBorders>
              <w:top w:val="single" w:color="000000" w:sz="4" w:space="0"/>
              <w:left w:val="single" w:color="000000" w:sz="4" w:space="0"/>
              <w:bottom w:val="single" w:color="000000" w:sz="8" w:space="0"/>
              <w:right w:val="single" w:color="000000" w:sz="4" w:space="0"/>
            </w:tcBorders>
            <w:vAlign w:val="center"/>
          </w:tcPr>
          <w:p>
            <w:pPr>
              <w:jc w:val="center"/>
              <w:rPr>
                <w:rFonts w:ascii="仿宋" w:hAnsi="仿宋" w:eastAsia="仿宋" w:cs="仿宋"/>
                <w:sz w:val="20"/>
                <w:szCs w:val="20"/>
              </w:rPr>
            </w:pPr>
          </w:p>
        </w:tc>
      </w:tr>
    </w:tbl>
    <w:p>
      <w:pPr>
        <w:pStyle w:val="3"/>
        <w:ind w:firstLine="0"/>
      </w:pPr>
    </w:p>
    <w:p>
      <w:pPr>
        <w:pStyle w:val="3"/>
      </w:pPr>
    </w:p>
    <w:p>
      <w:pPr>
        <w:rPr>
          <w:b/>
          <w:sz w:val="24"/>
        </w:rPr>
      </w:pPr>
    </w:p>
    <w:p>
      <w:pPr>
        <w:spacing w:line="360" w:lineRule="exact"/>
        <w:rPr>
          <w:b/>
          <w:bCs/>
          <w:sz w:val="24"/>
        </w:rPr>
      </w:pPr>
      <w:r>
        <w:rPr>
          <w:rFonts w:hint="eastAsia"/>
          <w:b/>
          <w:bCs/>
          <w:sz w:val="24"/>
        </w:rPr>
        <w:t>四、实施细则</w:t>
      </w:r>
    </w:p>
    <w:p>
      <w:pPr>
        <w:spacing w:line="360" w:lineRule="exact"/>
        <w:rPr>
          <w:rFonts w:ascii="宋体" w:hAnsi="宋体" w:cs="宋体"/>
          <w:kern w:val="0"/>
          <w:szCs w:val="21"/>
        </w:rPr>
      </w:pPr>
      <w:r>
        <w:rPr>
          <w:rFonts w:hint="eastAsia" w:ascii="宋体" w:hAnsi="宋体" w:cs="宋体"/>
          <w:kern w:val="0"/>
          <w:szCs w:val="21"/>
        </w:rPr>
        <w:t>1、考核：</w:t>
      </w:r>
      <w:r>
        <w:rPr>
          <w:rFonts w:hint="eastAsia" w:ascii="宋体" w:hAnsi="宋体"/>
          <w:kern w:val="0"/>
          <w:szCs w:val="21"/>
        </w:rPr>
        <w:t>严按上述标准加分或扣分，</w:t>
      </w:r>
      <w:r>
        <w:rPr>
          <w:rFonts w:hint="eastAsia" w:ascii="宋体" w:hAnsi="宋体" w:cs="宋体"/>
          <w:kern w:val="0"/>
          <w:szCs w:val="21"/>
        </w:rPr>
        <w:t>考核必须以事实为依据，必须公平、公正、公开；</w:t>
      </w:r>
    </w:p>
    <w:p>
      <w:pPr>
        <w:spacing w:line="360" w:lineRule="exact"/>
        <w:ind w:left="315" w:hanging="315" w:hangingChars="150"/>
        <w:rPr>
          <w:rFonts w:ascii="宋体" w:hAnsi="宋体"/>
          <w:kern w:val="0"/>
          <w:szCs w:val="21"/>
        </w:rPr>
      </w:pPr>
      <w:r>
        <w:rPr>
          <w:rFonts w:hint="eastAsia" w:ascii="宋体" w:hAnsi="宋体" w:cs="宋体"/>
          <w:kern w:val="0"/>
          <w:szCs w:val="21"/>
        </w:rPr>
        <w:t>2、</w:t>
      </w:r>
      <w:r>
        <w:rPr>
          <w:rFonts w:hint="eastAsia" w:ascii="宋体" w:hAnsi="宋体"/>
          <w:kern w:val="0"/>
          <w:szCs w:val="21"/>
        </w:rPr>
        <w:t>奖惩：</w:t>
      </w:r>
    </w:p>
    <w:p>
      <w:pPr>
        <w:spacing w:line="360" w:lineRule="exact"/>
        <w:ind w:firstLine="420" w:firstLineChars="200"/>
        <w:rPr>
          <w:rFonts w:ascii="宋体" w:hAnsi="宋体"/>
          <w:kern w:val="0"/>
          <w:szCs w:val="21"/>
        </w:rPr>
      </w:pPr>
      <w:r>
        <w:rPr>
          <w:rFonts w:hint="eastAsia" w:ascii="宋体" w:hAnsi="宋体"/>
          <w:kern w:val="0"/>
          <w:szCs w:val="21"/>
        </w:rPr>
        <w:t>2.1  经营户年度累计扣分达40分，甲方有权终止合同，取消经营户的经营资格；</w:t>
      </w:r>
    </w:p>
    <w:p>
      <w:pPr>
        <w:spacing w:line="360" w:lineRule="exact"/>
        <w:ind w:firstLine="420" w:firstLineChars="200"/>
        <w:rPr>
          <w:rFonts w:ascii="宋体" w:hAnsi="宋体"/>
          <w:kern w:val="0"/>
          <w:szCs w:val="21"/>
        </w:rPr>
      </w:pPr>
      <w:r>
        <w:rPr>
          <w:rFonts w:hint="eastAsia" w:ascii="宋体" w:hAnsi="宋体"/>
          <w:kern w:val="0"/>
          <w:szCs w:val="21"/>
        </w:rPr>
        <w:t>2.2 对擅自转让、转包的经营户无论是转让方或受让方，均实行一票否决制，立即解除合同、收回场地，向原</w:t>
      </w:r>
      <w:bookmarkStart w:id="0" w:name="_GoBack"/>
      <w:bookmarkEnd w:id="0"/>
      <w:r>
        <w:rPr>
          <w:rFonts w:hint="eastAsia" w:ascii="宋体" w:hAnsi="宋体"/>
          <w:kern w:val="0"/>
          <w:szCs w:val="21"/>
        </w:rPr>
        <w:t>经营户收取违约金；</w:t>
      </w:r>
    </w:p>
    <w:p>
      <w:pPr>
        <w:spacing w:line="360" w:lineRule="exact"/>
        <w:rPr>
          <w:rFonts w:ascii="宋体" w:hAnsi="宋体"/>
          <w:kern w:val="0"/>
          <w:szCs w:val="21"/>
        </w:rPr>
      </w:pPr>
      <w:r>
        <w:rPr>
          <w:rFonts w:hint="eastAsia"/>
          <w:kern w:val="0"/>
          <w:szCs w:val="21"/>
        </w:rPr>
        <w:t>3、其他：</w:t>
      </w:r>
      <w:r>
        <w:rPr>
          <w:rFonts w:hint="eastAsia" w:ascii="宋体" w:hAnsi="宋体"/>
          <w:kern w:val="0"/>
          <w:szCs w:val="21"/>
        </w:rPr>
        <w:t>本考核细则作为本合同附件，具有同样法律效力，并同时于</w:t>
      </w:r>
      <w:r>
        <w:rPr>
          <w:rFonts w:hint="eastAsia"/>
          <w:kern w:val="0"/>
          <w:szCs w:val="21"/>
        </w:rPr>
        <w:t>2022</w:t>
      </w:r>
      <w:r>
        <w:rPr>
          <w:rFonts w:hint="eastAsia" w:ascii="宋体" w:hAnsi="宋体"/>
          <w:kern w:val="0"/>
          <w:szCs w:val="21"/>
        </w:rPr>
        <w:t>年</w:t>
      </w:r>
      <w:r>
        <w:rPr>
          <w:rFonts w:hint="eastAsia"/>
          <w:kern w:val="0"/>
          <w:szCs w:val="21"/>
        </w:rPr>
        <w:t>XX</w:t>
      </w:r>
      <w:r>
        <w:rPr>
          <w:rFonts w:hint="eastAsia" w:ascii="宋体" w:hAnsi="宋体"/>
          <w:kern w:val="0"/>
          <w:szCs w:val="21"/>
        </w:rPr>
        <w:t>月</w:t>
      </w:r>
      <w:r>
        <w:rPr>
          <w:rFonts w:hint="eastAsia"/>
          <w:kern w:val="0"/>
          <w:szCs w:val="21"/>
        </w:rPr>
        <w:t>XX</w:t>
      </w:r>
      <w:r>
        <w:rPr>
          <w:rFonts w:hint="eastAsia" w:ascii="宋体" w:hAnsi="宋体"/>
          <w:kern w:val="0"/>
          <w:szCs w:val="21"/>
        </w:rPr>
        <w:t>日生效。</w:t>
      </w:r>
    </w:p>
    <w:p>
      <w:pPr>
        <w:spacing w:line="360" w:lineRule="exact"/>
        <w:rPr>
          <w:rFonts w:ascii="宋体" w:hAnsi="宋体"/>
          <w:kern w:val="0"/>
          <w:szCs w:val="21"/>
        </w:rPr>
      </w:pPr>
    </w:p>
    <w:p>
      <w:pPr>
        <w:spacing w:line="360" w:lineRule="exact"/>
        <w:jc w:val="right"/>
        <w:rPr>
          <w:rFonts w:ascii="宋体" w:hAnsi="宋体"/>
          <w:kern w:val="0"/>
          <w:sz w:val="24"/>
        </w:rPr>
      </w:pPr>
      <w:r>
        <w:rPr>
          <w:rFonts w:hint="eastAsia" w:ascii="宋体" w:hAnsi="宋体"/>
          <w:kern w:val="0"/>
          <w:szCs w:val="21"/>
        </w:rPr>
        <w:t xml:space="preserve">                                 </w:t>
      </w:r>
      <w:r>
        <w:rPr>
          <w:rFonts w:hint="eastAsia"/>
          <w:sz w:val="24"/>
        </w:rPr>
        <w:t>滁州工投科技产业园发展有限公司客户服务部</w:t>
      </w:r>
    </w:p>
    <w:p>
      <w:pPr>
        <w:spacing w:line="360" w:lineRule="exact"/>
        <w:ind w:right="480" w:firstLine="5160" w:firstLineChars="2150"/>
        <w:rPr>
          <w:rFonts w:ascii="宋体" w:hAnsi="宋体"/>
          <w:kern w:val="0"/>
          <w:sz w:val="24"/>
        </w:rPr>
      </w:pPr>
      <w:r>
        <w:rPr>
          <w:rFonts w:hint="eastAsia" w:ascii="宋体" w:hAnsi="宋体"/>
          <w:kern w:val="0"/>
          <w:sz w:val="24"/>
        </w:rPr>
        <w:t>202</w:t>
      </w:r>
      <w:r>
        <w:rPr>
          <w:rFonts w:hint="eastAsia" w:ascii="宋体" w:hAnsi="宋体"/>
          <w:kern w:val="0"/>
          <w:sz w:val="24"/>
          <w:lang w:val="en-US" w:eastAsia="zh-CN"/>
        </w:rPr>
        <w:t>3</w:t>
      </w:r>
      <w:r>
        <w:rPr>
          <w:rFonts w:hint="eastAsia" w:ascii="宋体" w:hAnsi="宋体"/>
          <w:kern w:val="0"/>
          <w:sz w:val="24"/>
        </w:rPr>
        <w:t>年   月   日</w:t>
      </w:r>
    </w:p>
    <w:p>
      <w:pPr>
        <w:spacing w:line="360" w:lineRule="exact"/>
        <w:ind w:left="200" w:leftChars="-86" w:right="-178" w:rightChars="-85" w:hanging="381" w:hangingChars="158"/>
        <w:rPr>
          <w:rFonts w:ascii="宋体" w:hAnsi="宋体" w:cs="宋体"/>
          <w:b/>
          <w:bCs/>
          <w:sz w:val="24"/>
        </w:rPr>
      </w:pPr>
      <w:r>
        <w:rPr>
          <w:rFonts w:hint="eastAsia" w:ascii="宋体" w:hAnsi="宋体" w:cs="宋体"/>
          <w:b/>
          <w:bCs/>
          <w:sz w:val="24"/>
        </w:rPr>
        <w:t>……………………………………………………………………………………………</w:t>
      </w:r>
    </w:p>
    <w:p>
      <w:pPr>
        <w:spacing w:line="360" w:lineRule="exact"/>
        <w:ind w:left="197" w:leftChars="94" w:right="-178" w:rightChars="-85"/>
        <w:rPr>
          <w:sz w:val="24"/>
        </w:rPr>
      </w:pPr>
      <w:r>
        <w:rPr>
          <w:rFonts w:hint="eastAsia"/>
          <w:sz w:val="24"/>
        </w:rPr>
        <w:t>我单位</w:t>
      </w:r>
      <w:r>
        <w:rPr>
          <w:sz w:val="24"/>
        </w:rPr>
        <w:t>已详细阅读并完全理解</w:t>
      </w:r>
      <w:r>
        <w:rPr>
          <w:rFonts w:hint="eastAsia"/>
          <w:sz w:val="24"/>
        </w:rPr>
        <w:t>上述考核实施细则的全部内容，同意执行该考核实施细则。</w:t>
      </w:r>
    </w:p>
    <w:p>
      <w:pPr>
        <w:spacing w:line="360" w:lineRule="exact"/>
        <w:ind w:right="-540" w:rightChars="-257" w:firstLine="2400" w:firstLineChars="1000"/>
      </w:pPr>
      <w:r>
        <w:rPr>
          <w:rFonts w:hint="eastAsia"/>
          <w:sz w:val="24"/>
        </w:rPr>
        <w:t>签名或单位盖章：</w:t>
      </w:r>
      <w:r>
        <w:rPr>
          <w:rFonts w:hint="eastAsia"/>
          <w:sz w:val="24"/>
          <w:u w:val="single"/>
        </w:rPr>
        <w:t xml:space="preserve">                </w:t>
      </w:r>
      <w:r>
        <w:rPr>
          <w:rFonts w:hint="eastAsia"/>
          <w:sz w:val="24"/>
        </w:rPr>
        <w:t xml:space="preserve">  日期：</w:t>
      </w:r>
      <w:r>
        <w:rPr>
          <w:rFonts w:hint="eastAsia"/>
          <w:sz w:val="24"/>
          <w:u w:val="single"/>
        </w:rPr>
        <w:t xml:space="preserve">          </w:t>
      </w:r>
    </w:p>
    <w:p>
      <w:pPr>
        <w:pStyle w:val="24"/>
        <w:spacing w:line="500" w:lineRule="atLeast"/>
        <w:ind w:firstLine="560"/>
        <w:rPr>
          <w:rFonts w:hint="default" w:ascii="楷体_GB2312" w:hAnsi="楷体_GB2312" w:eastAsia="楷体_GB2312"/>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新宋体">
    <w:panose1 w:val="02010609030101010101"/>
    <w:charset w:val="86"/>
    <w:family w:val="modern"/>
    <w:pitch w:val="default"/>
    <w:sig w:usb0="0000020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BAD0C4"/>
    <w:multiLevelType w:val="singleLevel"/>
    <w:tmpl w:val="C7BAD0C4"/>
    <w:lvl w:ilvl="0" w:tentative="0">
      <w:start w:val="3"/>
      <w:numFmt w:val="chineseCounting"/>
      <w:suff w:val="nothing"/>
      <w:lvlText w:val="（%1）"/>
      <w:lvlJc w:val="left"/>
      <w:rPr>
        <w:rFonts w:hint="eastAsia"/>
      </w:rPr>
    </w:lvl>
  </w:abstractNum>
  <w:abstractNum w:abstractNumId="1">
    <w:nsid w:val="0D3D0E95"/>
    <w:multiLevelType w:val="multilevel"/>
    <w:tmpl w:val="0D3D0E95"/>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1D5767"/>
    <w:rsid w:val="000C53AE"/>
    <w:rsid w:val="000E0377"/>
    <w:rsid w:val="001D5767"/>
    <w:rsid w:val="00272132"/>
    <w:rsid w:val="00474E22"/>
    <w:rsid w:val="005D0769"/>
    <w:rsid w:val="00782717"/>
    <w:rsid w:val="007B3311"/>
    <w:rsid w:val="00903510"/>
    <w:rsid w:val="00A515F0"/>
    <w:rsid w:val="00BA3BD8"/>
    <w:rsid w:val="00EE5CD7"/>
    <w:rsid w:val="014C4DA3"/>
    <w:rsid w:val="039C5442"/>
    <w:rsid w:val="03DA48E8"/>
    <w:rsid w:val="04BD7D66"/>
    <w:rsid w:val="04FD623C"/>
    <w:rsid w:val="058D3B12"/>
    <w:rsid w:val="063E0A32"/>
    <w:rsid w:val="078A03D3"/>
    <w:rsid w:val="0A2C39C3"/>
    <w:rsid w:val="0A3A4AF3"/>
    <w:rsid w:val="0AF124EB"/>
    <w:rsid w:val="0B375DDD"/>
    <w:rsid w:val="0B9308CF"/>
    <w:rsid w:val="0D3D4FD2"/>
    <w:rsid w:val="0D476E1E"/>
    <w:rsid w:val="0F64683B"/>
    <w:rsid w:val="10501A8E"/>
    <w:rsid w:val="118F7CDE"/>
    <w:rsid w:val="11E044D4"/>
    <w:rsid w:val="11E05479"/>
    <w:rsid w:val="12AA36D7"/>
    <w:rsid w:val="13331EC0"/>
    <w:rsid w:val="137D2B9A"/>
    <w:rsid w:val="14185F29"/>
    <w:rsid w:val="15586D7A"/>
    <w:rsid w:val="155E1A30"/>
    <w:rsid w:val="159D7A35"/>
    <w:rsid w:val="15BF393E"/>
    <w:rsid w:val="16A20BA7"/>
    <w:rsid w:val="1739327C"/>
    <w:rsid w:val="173B6FF4"/>
    <w:rsid w:val="186B1B5B"/>
    <w:rsid w:val="1B713D30"/>
    <w:rsid w:val="1B926684"/>
    <w:rsid w:val="1C381D54"/>
    <w:rsid w:val="1CBF4223"/>
    <w:rsid w:val="1CD12A74"/>
    <w:rsid w:val="22600256"/>
    <w:rsid w:val="241B32F2"/>
    <w:rsid w:val="2480698E"/>
    <w:rsid w:val="257375D8"/>
    <w:rsid w:val="26B648E9"/>
    <w:rsid w:val="273B094A"/>
    <w:rsid w:val="2B683CD8"/>
    <w:rsid w:val="2BA411B4"/>
    <w:rsid w:val="2BCB2F48"/>
    <w:rsid w:val="2C3F712F"/>
    <w:rsid w:val="31717D8A"/>
    <w:rsid w:val="323E7977"/>
    <w:rsid w:val="32542C48"/>
    <w:rsid w:val="32CE6BF6"/>
    <w:rsid w:val="34102254"/>
    <w:rsid w:val="35C10BB4"/>
    <w:rsid w:val="35CD2672"/>
    <w:rsid w:val="39EF3F42"/>
    <w:rsid w:val="3A437F81"/>
    <w:rsid w:val="3A4C09E6"/>
    <w:rsid w:val="3C9C5ED7"/>
    <w:rsid w:val="3F012022"/>
    <w:rsid w:val="3F7E18C4"/>
    <w:rsid w:val="409F1AF2"/>
    <w:rsid w:val="41314523"/>
    <w:rsid w:val="417967E7"/>
    <w:rsid w:val="42341DF3"/>
    <w:rsid w:val="42823479"/>
    <w:rsid w:val="435A5D92"/>
    <w:rsid w:val="455C2428"/>
    <w:rsid w:val="46DD1A51"/>
    <w:rsid w:val="46EB5A91"/>
    <w:rsid w:val="46F56910"/>
    <w:rsid w:val="47CB6BE6"/>
    <w:rsid w:val="48D32C81"/>
    <w:rsid w:val="493E459E"/>
    <w:rsid w:val="496F2D97"/>
    <w:rsid w:val="49CF09D0"/>
    <w:rsid w:val="4AB851F3"/>
    <w:rsid w:val="4D6A23E3"/>
    <w:rsid w:val="4E1044B8"/>
    <w:rsid w:val="4F740CAC"/>
    <w:rsid w:val="50B82E88"/>
    <w:rsid w:val="50E772C9"/>
    <w:rsid w:val="512F27AE"/>
    <w:rsid w:val="519B00B4"/>
    <w:rsid w:val="537E15D4"/>
    <w:rsid w:val="547B4AD6"/>
    <w:rsid w:val="551B1E61"/>
    <w:rsid w:val="5533401D"/>
    <w:rsid w:val="55D60516"/>
    <w:rsid w:val="56813D1C"/>
    <w:rsid w:val="573C0840"/>
    <w:rsid w:val="57684EDC"/>
    <w:rsid w:val="585D2F42"/>
    <w:rsid w:val="58607CE3"/>
    <w:rsid w:val="58AB79EF"/>
    <w:rsid w:val="5CBB246D"/>
    <w:rsid w:val="5D4D5472"/>
    <w:rsid w:val="5E3803F9"/>
    <w:rsid w:val="5E8878D3"/>
    <w:rsid w:val="5FEF717B"/>
    <w:rsid w:val="60261490"/>
    <w:rsid w:val="67226E55"/>
    <w:rsid w:val="68CE2A99"/>
    <w:rsid w:val="69135C83"/>
    <w:rsid w:val="69F820EF"/>
    <w:rsid w:val="6BA37E39"/>
    <w:rsid w:val="6CAB3449"/>
    <w:rsid w:val="6CDA4851"/>
    <w:rsid w:val="6E0E3C8F"/>
    <w:rsid w:val="6ECB2099"/>
    <w:rsid w:val="6F4E2F24"/>
    <w:rsid w:val="71250630"/>
    <w:rsid w:val="726A7902"/>
    <w:rsid w:val="73AD7AA7"/>
    <w:rsid w:val="741952D5"/>
    <w:rsid w:val="745B5755"/>
    <w:rsid w:val="75984567"/>
    <w:rsid w:val="77AD276B"/>
    <w:rsid w:val="788D0542"/>
    <w:rsid w:val="79EB0257"/>
    <w:rsid w:val="7B7642FE"/>
    <w:rsid w:val="7D364FB1"/>
    <w:rsid w:val="7D60202E"/>
    <w:rsid w:val="7DCE6F97"/>
    <w:rsid w:val="7E1C6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qFormat/>
    <w:uiPriority w:val="9"/>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60" w:lineRule="atLeast"/>
      <w:ind w:firstLine="482"/>
      <w:textAlignment w:val="baseline"/>
    </w:pPr>
    <w:rPr>
      <w:kern w:val="0"/>
      <w:sz w:val="24"/>
      <w:szCs w:val="20"/>
    </w:rPr>
  </w:style>
  <w:style w:type="paragraph" w:styleId="4">
    <w:name w:val="Body Text Indent"/>
    <w:basedOn w:val="1"/>
    <w:next w:val="5"/>
    <w:qFormat/>
    <w:uiPriority w:val="0"/>
    <w:pPr>
      <w:ind w:firstLine="640" w:firstLineChars="200"/>
    </w:pPr>
    <w:rPr>
      <w:rFonts w:hint="eastAsia" w:ascii="仿宋_GB2312" w:hAnsi="宋体" w:eastAsia="仿宋_GB2312"/>
      <w:sz w:val="32"/>
    </w:rPr>
  </w:style>
  <w:style w:type="paragraph" w:styleId="5">
    <w:name w:val="envelope return"/>
    <w:basedOn w:val="1"/>
    <w:qFormat/>
    <w:uiPriority w:val="0"/>
    <w:pPr>
      <w:snapToGrid w:val="0"/>
    </w:pPr>
    <w:rPr>
      <w:rFonts w:ascii="Arial" w:hAnsi="Arial"/>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pPr>
    <w:rPr>
      <w:kern w:val="0"/>
      <w:sz w:val="24"/>
    </w:rPr>
  </w:style>
  <w:style w:type="character" w:styleId="11">
    <w:name w:val="page number"/>
    <w:basedOn w:val="10"/>
    <w:qFormat/>
    <w:uiPriority w:val="0"/>
  </w:style>
  <w:style w:type="character" w:styleId="12">
    <w:name w:val="FollowedHyperlink"/>
    <w:basedOn w:val="10"/>
    <w:qFormat/>
    <w:uiPriority w:val="0"/>
    <w:rPr>
      <w:color w:val="800080"/>
      <w:u w:val="none"/>
    </w:rPr>
  </w:style>
  <w:style w:type="character" w:styleId="13">
    <w:name w:val="HTML Definition"/>
    <w:basedOn w:val="10"/>
    <w:qFormat/>
    <w:uiPriority w:val="0"/>
  </w:style>
  <w:style w:type="character" w:styleId="14">
    <w:name w:val="HTML Typewriter"/>
    <w:basedOn w:val="10"/>
    <w:qFormat/>
    <w:uiPriority w:val="0"/>
    <w:rPr>
      <w:rFonts w:ascii="monospace" w:hAnsi="monospace" w:eastAsia="monospace" w:cs="monospace"/>
      <w:sz w:val="20"/>
    </w:rPr>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FF"/>
      <w:u w:val="none"/>
    </w:rPr>
  </w:style>
  <w:style w:type="character" w:styleId="18">
    <w:name w:val="HTML Code"/>
    <w:basedOn w:val="10"/>
    <w:qFormat/>
    <w:uiPriority w:val="0"/>
    <w:rPr>
      <w:rFonts w:hint="default" w:ascii="monospace" w:hAnsi="monospace" w:eastAsia="monospace" w:cs="monospace"/>
      <w:sz w:val="20"/>
    </w:rPr>
  </w:style>
  <w:style w:type="character" w:styleId="19">
    <w:name w:val="HTML Cite"/>
    <w:basedOn w:val="10"/>
    <w:qFormat/>
    <w:uiPriority w:val="0"/>
  </w:style>
  <w:style w:type="character" w:styleId="20">
    <w:name w:val="HTML Keyboard"/>
    <w:basedOn w:val="10"/>
    <w:qFormat/>
    <w:uiPriority w:val="0"/>
    <w:rPr>
      <w:rFonts w:hint="default" w:ascii="monospace" w:hAnsi="monospace" w:eastAsia="monospace" w:cs="monospace"/>
      <w:sz w:val="20"/>
    </w:rPr>
  </w:style>
  <w:style w:type="character" w:styleId="21">
    <w:name w:val="HTML Sample"/>
    <w:basedOn w:val="10"/>
    <w:qFormat/>
    <w:uiPriority w:val="0"/>
    <w:rPr>
      <w:rFonts w:hint="default" w:ascii="monospace" w:hAnsi="monospace" w:eastAsia="monospace" w:cs="monospace"/>
    </w:rPr>
  </w:style>
  <w:style w:type="character" w:customStyle="1" w:styleId="22">
    <w:name w:val="layui-this"/>
    <w:basedOn w:val="10"/>
    <w:qFormat/>
    <w:uiPriority w:val="0"/>
    <w:rPr>
      <w:bdr w:val="single" w:color="EEEEEE" w:sz="6" w:space="0"/>
      <w:shd w:val="clear" w:color="auto" w:fill="FFFFFF"/>
    </w:rPr>
  </w:style>
  <w:style w:type="character" w:customStyle="1" w:styleId="23">
    <w:name w:val="first-child"/>
    <w:basedOn w:val="10"/>
    <w:qFormat/>
    <w:uiPriority w:val="0"/>
  </w:style>
  <w:style w:type="paragraph" w:customStyle="1" w:styleId="24">
    <w:name w:val="p0"/>
    <w:basedOn w:val="1"/>
    <w:qFormat/>
    <w:uiPriority w:val="0"/>
    <w:pPr>
      <w:widowControl/>
    </w:pPr>
    <w:rPr>
      <w:rFonts w:hint="eastAsia"/>
    </w:rPr>
  </w:style>
  <w:style w:type="paragraph" w:customStyle="1" w:styleId="25">
    <w:name w:val="p"/>
    <w:basedOn w:val="1"/>
    <w:qFormat/>
    <w:uiPriority w:val="99"/>
    <w:pPr>
      <w:widowControl/>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2009</Words>
  <Characters>11455</Characters>
  <Lines>95</Lines>
  <Paragraphs>26</Paragraphs>
  <TotalTime>7</TotalTime>
  <ScaleCrop>false</ScaleCrop>
  <LinksUpToDate>false</LinksUpToDate>
  <CharactersWithSpaces>13438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2022-10-27T02:12:00Z</dcterms:created>
  <dc:creator>鲍飞</dc:creator>
  <cp:lastModifiedBy>好奇害死汪</cp:lastModifiedBy>
  <dcterms:modified xsi:type="dcterms:W3CDTF">2023-12-14T02:59:41Z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5288D6E4150A4C3F9F9CE307631DB51E_13</vt:lpwstr>
  </property>
</Properties>
</file>