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2"/>
          <w:szCs w:val="32"/>
        </w:rPr>
      </w:pPr>
      <w:r>
        <w:rPr>
          <w:rFonts w:hint="eastAsia" w:ascii="宋体" w:hAnsi="宋体" w:cs="方正小标宋简体"/>
          <w:b/>
          <w:bCs/>
          <w:color w:val="000000"/>
          <w:sz w:val="44"/>
          <w:szCs w:val="44"/>
        </w:rPr>
        <w:t>琴轩路停车场和凤凰西路与丰乐大道东南角停车场监控项目采购招标公告</w:t>
      </w:r>
    </w:p>
    <w:p>
      <w:pPr>
        <w:pStyle w:val="2"/>
        <w:ind w:left="0" w:leftChars="0" w:firstLine="640" w:firstLineChars="200"/>
      </w:pPr>
    </w:p>
    <w:p>
      <w:pPr>
        <w:pStyle w:val="2"/>
        <w:ind w:left="0" w:leftChars="0" w:firstLine="640" w:firstLineChars="200"/>
        <w:rPr>
          <w:rFonts w:ascii="仿宋" w:hAnsi="仿宋" w:eastAsia="仿宋"/>
        </w:rPr>
      </w:pPr>
      <w:r>
        <w:rPr>
          <w:rFonts w:hint="eastAsia" w:ascii="仿宋" w:hAnsi="仿宋" w:eastAsia="仿宋"/>
        </w:rPr>
        <w:t>滁州市城泊车辆服务有限公司所属琴轩路停车场和凤凰西路与丰乐大道东南角停车场监控项目的潜在投标人可在中国扬子集团（http://www.yangzigroup.cn）网站和滁州市工投公司公众号获取招标文件。</w:t>
      </w:r>
    </w:p>
    <w:p>
      <w:pPr>
        <w:pStyle w:val="2"/>
        <w:ind w:left="0" w:leftChars="0" w:firstLine="643" w:firstLineChars="200"/>
        <w:rPr>
          <w:rFonts w:ascii="仿宋" w:hAnsi="仿宋" w:eastAsia="仿宋"/>
          <w:b/>
          <w:bCs/>
        </w:rPr>
      </w:pPr>
      <w:r>
        <w:rPr>
          <w:rFonts w:hint="eastAsia" w:ascii="仿宋" w:hAnsi="仿宋" w:eastAsia="仿宋"/>
          <w:b/>
          <w:bCs/>
        </w:rPr>
        <w:t>一、项目基本情况</w:t>
      </w:r>
    </w:p>
    <w:p>
      <w:pPr>
        <w:pStyle w:val="2"/>
        <w:ind w:left="0" w:leftChars="0" w:firstLine="640" w:firstLineChars="200"/>
        <w:rPr>
          <w:rFonts w:ascii="仿宋" w:hAnsi="仿宋" w:eastAsia="仿宋"/>
        </w:rPr>
      </w:pPr>
      <w:r>
        <w:rPr>
          <w:rFonts w:hint="eastAsia" w:ascii="仿宋" w:hAnsi="仿宋" w:eastAsia="仿宋"/>
        </w:rPr>
        <w:t>项目名称：琴轩路停车场和凤凰西路与丰乐大道东南角停车场监控项目采购项目。</w:t>
      </w:r>
    </w:p>
    <w:p>
      <w:pPr>
        <w:pStyle w:val="2"/>
        <w:ind w:left="0" w:leftChars="0" w:firstLine="640" w:firstLineChars="200"/>
        <w:rPr>
          <w:rFonts w:ascii="仿宋" w:hAnsi="仿宋" w:eastAsia="仿宋"/>
        </w:rPr>
      </w:pPr>
      <w:r>
        <w:rPr>
          <w:rFonts w:hint="eastAsia" w:ascii="仿宋" w:hAnsi="仿宋" w:eastAsia="仿宋"/>
        </w:rPr>
        <w:t>总预算：8</w:t>
      </w:r>
      <w:r>
        <w:rPr>
          <w:rFonts w:ascii="仿宋" w:hAnsi="仿宋" w:eastAsia="仿宋"/>
        </w:rPr>
        <w:t>6</w:t>
      </w:r>
      <w:r>
        <w:rPr>
          <w:rFonts w:hint="eastAsia" w:ascii="仿宋" w:hAnsi="仿宋" w:eastAsia="仿宋"/>
        </w:rPr>
        <w:t>000元（含税）。</w:t>
      </w:r>
    </w:p>
    <w:p>
      <w:pPr>
        <w:pStyle w:val="2"/>
        <w:ind w:left="0" w:leftChars="0" w:firstLine="640" w:firstLineChars="200"/>
        <w:rPr>
          <w:rFonts w:hint="default" w:ascii="仿宋" w:hAnsi="仿宋" w:eastAsia="仿宋"/>
          <w:lang w:val="en-US" w:eastAsia="zh-CN"/>
        </w:rPr>
      </w:pPr>
      <w:r>
        <w:rPr>
          <w:rFonts w:hint="eastAsia" w:ascii="仿宋" w:hAnsi="仿宋" w:eastAsia="仿宋"/>
        </w:rPr>
        <w:t>最高限价：8</w:t>
      </w:r>
      <w:r>
        <w:rPr>
          <w:rFonts w:ascii="仿宋" w:hAnsi="仿宋" w:eastAsia="仿宋"/>
        </w:rPr>
        <w:t>6</w:t>
      </w:r>
      <w:r>
        <w:rPr>
          <w:rFonts w:hint="eastAsia" w:ascii="仿宋" w:hAnsi="仿宋" w:eastAsia="仿宋"/>
        </w:rPr>
        <w:t>000元（含税），高于最高投标限价的，按无效标处理。</w:t>
      </w:r>
      <w:r>
        <w:rPr>
          <w:rFonts w:hint="eastAsia" w:ascii="仿宋" w:hAnsi="仿宋" w:eastAsia="仿宋"/>
          <w:lang w:val="en-US" w:eastAsia="zh-CN"/>
        </w:rPr>
        <w:t>报价需注明税率。</w:t>
      </w:r>
    </w:p>
    <w:p>
      <w:pPr>
        <w:pStyle w:val="2"/>
        <w:ind w:left="0" w:leftChars="0" w:firstLine="640" w:firstLineChars="200"/>
        <w:rPr>
          <w:rFonts w:ascii="仿宋" w:hAnsi="仿宋" w:eastAsia="仿宋"/>
        </w:rPr>
      </w:pPr>
      <w:r>
        <w:rPr>
          <w:rFonts w:hint="eastAsia" w:ascii="仿宋" w:hAnsi="仿宋" w:eastAsia="仿宋"/>
        </w:rPr>
        <w:t>项目招标内容：滁州市城泊车辆服务有限公司所属琴轩路停车场和凤凰西路与丰乐大道东南角停车场约36个摄像头，提供设备、安装集成服务、云平台及云存储服务，其中视频存储不低于30日。</w:t>
      </w:r>
    </w:p>
    <w:p>
      <w:pPr>
        <w:pStyle w:val="2"/>
        <w:ind w:left="0" w:leftChars="0" w:firstLine="640" w:firstLineChars="200"/>
        <w:rPr>
          <w:rFonts w:ascii="仿宋" w:hAnsi="仿宋" w:eastAsia="仿宋"/>
        </w:rPr>
      </w:pPr>
      <w:r>
        <w:rPr>
          <w:rFonts w:hint="eastAsia" w:ascii="仿宋" w:hAnsi="仿宋" w:eastAsia="仿宋"/>
        </w:rPr>
        <w:t>（一）摄像头参数：</w:t>
      </w:r>
    </w:p>
    <w:p>
      <w:pPr>
        <w:pStyle w:val="2"/>
        <w:ind w:left="0" w:leftChars="0" w:firstLine="640" w:firstLineChars="200"/>
        <w:rPr>
          <w:rFonts w:ascii="仿宋" w:hAnsi="仿宋" w:eastAsia="仿宋"/>
        </w:rPr>
      </w:pPr>
      <w:r>
        <w:rPr>
          <w:rFonts w:hint="eastAsia" w:ascii="仿宋" w:hAnsi="仿宋" w:eastAsia="仿宋"/>
        </w:rPr>
        <w:t>1.1/2.7，400万CMOS图像传感器；</w:t>
      </w:r>
    </w:p>
    <w:p>
      <w:pPr>
        <w:pStyle w:val="2"/>
        <w:ind w:left="0" w:leftChars="0" w:firstLine="640" w:firstLineChars="200"/>
        <w:rPr>
          <w:rFonts w:ascii="仿宋" w:hAnsi="仿宋" w:eastAsia="仿宋"/>
        </w:rPr>
      </w:pPr>
      <w:r>
        <w:rPr>
          <w:rFonts w:hint="eastAsia" w:ascii="仿宋" w:hAnsi="仿宋" w:eastAsia="仿宋"/>
        </w:rPr>
        <w:t>2.视频分辨率2560(H)* 1440(V)（1440P）@25fps；</w:t>
      </w:r>
    </w:p>
    <w:p>
      <w:pPr>
        <w:pStyle w:val="2"/>
        <w:ind w:left="0" w:leftChars="0" w:firstLine="640" w:firstLineChars="200"/>
        <w:rPr>
          <w:rFonts w:ascii="仿宋" w:hAnsi="仿宋" w:eastAsia="仿宋"/>
        </w:rPr>
      </w:pPr>
      <w:r>
        <w:rPr>
          <w:rFonts w:hint="eastAsia" w:ascii="仿宋" w:hAnsi="仿宋" w:eastAsia="仿宋"/>
        </w:rPr>
        <w:t>3.镜头视觉：水平视场角90.3°</w:t>
      </w:r>
    </w:p>
    <w:p>
      <w:pPr>
        <w:pStyle w:val="2"/>
        <w:ind w:left="0" w:leftChars="0" w:firstLine="640" w:firstLineChars="200"/>
        <w:rPr>
          <w:rFonts w:ascii="仿宋" w:hAnsi="仿宋" w:eastAsia="仿宋"/>
        </w:rPr>
      </w:pPr>
      <w:r>
        <w:rPr>
          <w:rFonts w:hint="eastAsia" w:ascii="仿宋" w:hAnsi="仿宋" w:eastAsia="仿宋"/>
        </w:rPr>
        <w:t>4.夜晚模式：支持红外夜视（50米）及全彩夜视；</w:t>
      </w:r>
    </w:p>
    <w:p>
      <w:pPr>
        <w:pStyle w:val="2"/>
        <w:ind w:left="0" w:leftChars="0" w:firstLine="640" w:firstLineChars="200"/>
      </w:pPr>
      <w:r>
        <w:rPr>
          <w:rFonts w:hint="eastAsia" w:ascii="仿宋" w:hAnsi="仿宋" w:eastAsia="仿宋"/>
        </w:rPr>
        <w:t>5.室外摄像头防水防尘</w:t>
      </w:r>
    </w:p>
    <w:p>
      <w:pPr>
        <w:pStyle w:val="2"/>
        <w:ind w:left="0" w:leftChars="0" w:firstLine="640" w:firstLineChars="200"/>
        <w:rPr>
          <w:rFonts w:ascii="仿宋" w:hAnsi="仿宋" w:eastAsia="仿宋"/>
        </w:rPr>
      </w:pPr>
      <w:r>
        <w:rPr>
          <w:rFonts w:hint="eastAsia" w:ascii="仿宋" w:hAnsi="仿宋" w:eastAsia="仿宋"/>
        </w:rPr>
        <w:t>（二）平台需具备以下功能要求：</w:t>
      </w:r>
    </w:p>
    <w:p>
      <w:pPr>
        <w:pStyle w:val="2"/>
        <w:ind w:left="0" w:leftChars="0" w:firstLine="640" w:firstLineChars="200"/>
        <w:rPr>
          <w:rFonts w:ascii="仿宋" w:hAnsi="仿宋" w:eastAsia="仿宋"/>
        </w:rPr>
      </w:pPr>
      <w:r>
        <w:rPr>
          <w:rFonts w:hint="eastAsia" w:ascii="仿宋" w:hAnsi="仿宋" w:eastAsia="仿宋"/>
        </w:rPr>
        <w:t>1.云平台具有7*24小时在线监看、告警管理、用户管理、设备管理、组织节点管理、权限管理、组织级联、app与web多种登录方式等基础功能。</w:t>
      </w:r>
    </w:p>
    <w:p>
      <w:pPr>
        <w:pStyle w:val="2"/>
        <w:ind w:left="0" w:leftChars="0" w:firstLine="640" w:firstLineChars="200"/>
        <w:rPr>
          <w:rFonts w:ascii="仿宋" w:hAnsi="仿宋" w:eastAsia="仿宋"/>
        </w:rPr>
      </w:pPr>
      <w:r>
        <w:rPr>
          <w:rFonts w:hint="eastAsia" w:ascii="仿宋" w:hAnsi="仿宋" w:eastAsia="仿宋"/>
        </w:rPr>
        <w:t>2.云平台支持第三方在WEB、APP端，以API、WebSDK、Android SDK、Ios SDK等多元化方式集成的能力。</w:t>
      </w:r>
    </w:p>
    <w:p>
      <w:pPr>
        <w:pStyle w:val="2"/>
        <w:ind w:left="0" w:leftChars="0" w:firstLine="640" w:firstLineChars="200"/>
        <w:rPr>
          <w:rFonts w:ascii="仿宋" w:hAnsi="仿宋" w:eastAsia="仿宋"/>
        </w:rPr>
      </w:pPr>
      <w:r>
        <w:rPr>
          <w:rFonts w:hint="eastAsia" w:ascii="仿宋" w:hAnsi="仿宋" w:eastAsia="仿宋"/>
        </w:rPr>
        <w:t>3.终端、信道及平台三级视频加密算法，全程https长连接，AES256。</w:t>
      </w:r>
    </w:p>
    <w:p>
      <w:pPr>
        <w:pStyle w:val="2"/>
        <w:ind w:left="0" w:leftChars="0" w:firstLine="640" w:firstLineChars="200"/>
        <w:rPr>
          <w:rFonts w:ascii="仿宋" w:hAnsi="仿宋" w:eastAsia="仿宋"/>
        </w:rPr>
      </w:pPr>
      <w:r>
        <w:rPr>
          <w:rFonts w:hint="eastAsia" w:ascii="仿宋" w:hAnsi="仿宋" w:eastAsia="仿宋"/>
        </w:rPr>
        <w:t>4.视频监控平台具备信息系统安全等级保护。</w:t>
      </w:r>
    </w:p>
    <w:p>
      <w:pPr>
        <w:pStyle w:val="2"/>
        <w:ind w:left="0" w:leftChars="0" w:firstLine="640" w:firstLineChars="200"/>
        <w:rPr>
          <w:rFonts w:ascii="仿宋" w:hAnsi="仿宋" w:eastAsia="仿宋"/>
        </w:rPr>
      </w:pPr>
      <w:r>
        <w:rPr>
          <w:rFonts w:hint="eastAsia" w:ascii="仿宋" w:hAnsi="仿宋" w:eastAsia="仿宋"/>
        </w:rPr>
        <w:t>5.视频监控平台可支持国产主流基础软硬件，具备华为鲲鹏技术认证。</w:t>
      </w:r>
    </w:p>
    <w:p>
      <w:pPr>
        <w:pStyle w:val="2"/>
        <w:ind w:left="0" w:leftChars="0" w:firstLine="640" w:firstLineChars="200"/>
        <w:rPr>
          <w:rFonts w:ascii="仿宋" w:hAnsi="仿宋" w:eastAsia="仿宋"/>
        </w:rPr>
      </w:pPr>
      <w:r>
        <w:rPr>
          <w:rFonts w:hint="eastAsia" w:ascii="仿宋" w:hAnsi="仿宋" w:eastAsia="仿宋"/>
        </w:rPr>
        <w:t>6.接入滁州公安雪亮工程。</w:t>
      </w:r>
    </w:p>
    <w:p>
      <w:pPr>
        <w:pStyle w:val="2"/>
        <w:ind w:left="0" w:leftChars="0" w:firstLine="640" w:firstLineChars="200"/>
        <w:rPr>
          <w:rFonts w:ascii="仿宋" w:hAnsi="仿宋" w:eastAsia="仿宋"/>
        </w:rPr>
      </w:pPr>
      <w:r>
        <w:rPr>
          <w:rFonts w:hint="eastAsia" w:ascii="仿宋" w:hAnsi="仿宋" w:eastAsia="仿宋"/>
        </w:rPr>
        <w:t>7.云存储所有视频画面，存储时间不低于30天，可通过互联网访问阅览、下载历史视频。</w:t>
      </w:r>
    </w:p>
    <w:p>
      <w:pPr>
        <w:pStyle w:val="2"/>
        <w:ind w:left="0" w:leftChars="0" w:firstLine="643" w:firstLineChars="200"/>
        <w:rPr>
          <w:rFonts w:ascii="仿宋" w:hAnsi="仿宋" w:eastAsia="仿宋"/>
          <w:b/>
          <w:bCs/>
        </w:rPr>
      </w:pPr>
      <w:r>
        <w:rPr>
          <w:rFonts w:hint="eastAsia" w:ascii="仿宋" w:hAnsi="仿宋" w:eastAsia="仿宋"/>
          <w:b/>
          <w:bCs/>
        </w:rPr>
        <w:t>二、投标人资质要求</w:t>
      </w:r>
    </w:p>
    <w:p>
      <w:pPr>
        <w:pStyle w:val="2"/>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2"/>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本项目不接受联合体投标。</w:t>
      </w:r>
    </w:p>
    <w:p>
      <w:pPr>
        <w:pStyle w:val="2"/>
        <w:ind w:left="0" w:leftChars="0" w:firstLine="640" w:firstLineChars="200"/>
        <w:rPr>
          <w:rFonts w:ascii="仿宋" w:hAnsi="仿宋" w:eastAsia="仿宋"/>
        </w:rPr>
      </w:pPr>
      <w:r>
        <w:rPr>
          <w:rFonts w:hint="eastAsia" w:ascii="仿宋" w:hAnsi="仿宋" w:eastAsia="仿宋"/>
        </w:rPr>
        <w:t>3.投标人信誉要求：投标人不得存在以下情形：</w:t>
      </w:r>
    </w:p>
    <w:p>
      <w:pPr>
        <w:pStyle w:val="2"/>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2"/>
        <w:ind w:left="0" w:leftChars="0" w:firstLine="640" w:firstLineChars="200"/>
        <w:rPr>
          <w:rFonts w:ascii="仿宋" w:hAnsi="仿宋" w:eastAsia="仿宋"/>
        </w:rPr>
      </w:pPr>
      <w:r>
        <w:rPr>
          <w:rFonts w:hint="eastAsia" w:ascii="仿宋" w:hAnsi="仿宋" w:eastAsia="仿宋"/>
        </w:rPr>
        <w:t>②投标人或其法定代表人或拟派项目负责人近三年被人民检察院列入行贿犯罪档案的；</w:t>
      </w:r>
    </w:p>
    <w:p>
      <w:pPr>
        <w:pStyle w:val="2"/>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2"/>
        <w:ind w:left="0" w:leftChars="0" w:firstLine="640" w:firstLineChars="200"/>
        <w:rPr>
          <w:rFonts w:ascii="仿宋" w:hAnsi="仿宋" w:eastAsia="仿宋"/>
        </w:rPr>
      </w:pPr>
      <w:r>
        <w:rPr>
          <w:rFonts w:hint="eastAsia" w:ascii="仿宋" w:hAnsi="仿宋" w:eastAsia="仿宋"/>
        </w:rPr>
        <w:t>④投标人被税收部门列入重大税收违法案件当事人的；</w:t>
      </w:r>
    </w:p>
    <w:p>
      <w:pPr>
        <w:pStyle w:val="2"/>
        <w:ind w:left="0" w:leftChars="0" w:firstLine="640" w:firstLineChars="200"/>
        <w:rPr>
          <w:rFonts w:ascii="仿宋" w:hAnsi="仿宋" w:eastAsia="仿宋"/>
        </w:rPr>
      </w:pPr>
      <w:r>
        <w:rPr>
          <w:rFonts w:hint="eastAsia" w:ascii="仿宋" w:hAnsi="仿宋" w:eastAsia="仿宋"/>
        </w:rPr>
        <w:t>⑤在“信用中国”网站上披露仍在公示期的严重失信行为的；</w:t>
      </w:r>
    </w:p>
    <w:p>
      <w:pPr>
        <w:pStyle w:val="2"/>
        <w:ind w:left="0" w:leftChars="0" w:firstLine="640" w:firstLineChars="200"/>
        <w:rPr>
          <w:rFonts w:ascii="仿宋" w:hAnsi="仿宋" w:eastAsia="仿宋"/>
        </w:rPr>
      </w:pPr>
      <w:r>
        <w:rPr>
          <w:rFonts w:hint="eastAsia" w:ascii="仿宋" w:hAnsi="仿宋" w:eastAsia="仿宋"/>
        </w:rPr>
        <w:t>⑥被滁州市县两级各行业主管部门及公管部门取消在一定期限内的投标资格且在取消期限内的；</w:t>
      </w:r>
    </w:p>
    <w:p>
      <w:pPr>
        <w:pStyle w:val="2"/>
        <w:ind w:left="0" w:leftChars="0" w:firstLine="640" w:firstLineChars="200"/>
        <w:rPr>
          <w:rFonts w:ascii="仿宋" w:hAnsi="仿宋" w:eastAsia="仿宋"/>
        </w:rPr>
      </w:pPr>
      <w:r>
        <w:rPr>
          <w:rFonts w:hint="eastAsia" w:ascii="仿宋" w:hAnsi="仿宋" w:eastAsia="仿宋"/>
        </w:rPr>
        <w:t>⑦被滁州市县两级公管部门记入不良行为记录或者信用信息记录，且在披露期内的；</w:t>
      </w:r>
    </w:p>
    <w:p>
      <w:pPr>
        <w:pStyle w:val="2"/>
        <w:ind w:left="0" w:leftChars="0" w:firstLine="640" w:firstLineChars="200"/>
        <w:rPr>
          <w:rFonts w:ascii="仿宋" w:hAnsi="仿宋" w:eastAsia="仿宋"/>
        </w:rPr>
      </w:pPr>
      <w:r>
        <w:rPr>
          <w:rFonts w:hint="eastAsia" w:ascii="仿宋" w:hAnsi="仿宋" w:eastAsia="仿宋"/>
        </w:rPr>
        <w:t>⑧被人力资源社会保障主管部门列入拖欠农民工工资“黑名单”或因拖欠农民工工资被县级及以上有关行政主管部门限制投标资格且在限制期限内的。</w:t>
      </w:r>
    </w:p>
    <w:p>
      <w:pPr>
        <w:pStyle w:val="2"/>
        <w:ind w:left="0" w:leftChars="0" w:firstLine="643" w:firstLineChars="200"/>
        <w:rPr>
          <w:rFonts w:ascii="仿宋" w:hAnsi="仿宋" w:eastAsia="仿宋"/>
          <w:b/>
          <w:bCs/>
        </w:rPr>
      </w:pPr>
      <w:r>
        <w:rPr>
          <w:rFonts w:hint="eastAsia" w:ascii="仿宋" w:hAnsi="仿宋" w:eastAsia="仿宋"/>
          <w:b/>
          <w:bCs/>
        </w:rPr>
        <w:t>三、质保、工期及付款约定</w:t>
      </w:r>
    </w:p>
    <w:p>
      <w:pPr>
        <w:pStyle w:val="2"/>
        <w:ind w:left="0" w:leftChars="0" w:firstLine="640" w:firstLineChars="200"/>
        <w:rPr>
          <w:rFonts w:ascii="仿宋" w:hAnsi="仿宋" w:eastAsia="仿宋"/>
        </w:rPr>
      </w:pPr>
      <w:r>
        <w:rPr>
          <w:rFonts w:hint="eastAsia" w:ascii="仿宋" w:hAnsi="仿宋" w:eastAsia="仿宋"/>
        </w:rPr>
        <w:t>质量要求：投标方应保障质量，如经甲方审核验收不达标，由乙方承担结果，并按照合同要求执行。</w:t>
      </w:r>
    </w:p>
    <w:p>
      <w:pPr>
        <w:pStyle w:val="2"/>
        <w:ind w:left="0" w:leftChars="0" w:firstLine="640" w:firstLineChars="200"/>
        <w:rPr>
          <w:rFonts w:ascii="仿宋" w:hAnsi="仿宋" w:eastAsia="仿宋"/>
        </w:rPr>
      </w:pPr>
      <w:r>
        <w:rPr>
          <w:rFonts w:hint="eastAsia" w:ascii="仿宋" w:hAnsi="仿宋" w:eastAsia="仿宋"/>
        </w:rPr>
        <w:t>工期要求：合同签订后15个工作日内供货、安装、调试及验收完成。若因乙方因素造成延期，损失由乙方承担。</w:t>
      </w:r>
    </w:p>
    <w:p>
      <w:pPr>
        <w:pStyle w:val="2"/>
        <w:ind w:left="0" w:leftChars="0" w:firstLine="640" w:firstLineChars="200"/>
        <w:rPr>
          <w:rFonts w:ascii="仿宋" w:hAnsi="仿宋" w:eastAsia="仿宋"/>
        </w:rPr>
      </w:pPr>
      <w:r>
        <w:rPr>
          <w:rFonts w:hint="eastAsia" w:ascii="仿宋" w:hAnsi="仿宋" w:eastAsia="仿宋"/>
        </w:rPr>
        <w:t>付款约定：设备全部到场安装结束，经验收合格后开具增值税专用发票，付合同价的95%，五年后无质量问题支付合同价的5%。</w:t>
      </w:r>
    </w:p>
    <w:p>
      <w:pPr>
        <w:pStyle w:val="2"/>
        <w:ind w:left="0" w:leftChars="0" w:firstLine="643" w:firstLineChars="200"/>
        <w:rPr>
          <w:rFonts w:ascii="仿宋" w:hAnsi="仿宋" w:eastAsia="仿宋"/>
          <w:b/>
          <w:bCs/>
        </w:rPr>
      </w:pPr>
      <w:r>
        <w:rPr>
          <w:rFonts w:hint="eastAsia" w:ascii="仿宋" w:hAnsi="仿宋" w:eastAsia="仿宋"/>
          <w:b/>
          <w:bCs/>
        </w:rPr>
        <w:t>四、投标保证金金额及缴纳账户</w:t>
      </w:r>
    </w:p>
    <w:p>
      <w:pPr>
        <w:pStyle w:val="2"/>
        <w:ind w:left="0" w:leftChars="0" w:firstLine="640" w:firstLineChars="200"/>
        <w:rPr>
          <w:rFonts w:ascii="仿宋" w:hAnsi="仿宋" w:eastAsia="仿宋"/>
        </w:rPr>
      </w:pPr>
      <w:r>
        <w:rPr>
          <w:rFonts w:hint="eastAsia" w:ascii="仿宋" w:hAnsi="仿宋" w:eastAsia="仿宋"/>
        </w:rPr>
        <w:t>本项目不要求提交投标保证金。</w:t>
      </w:r>
    </w:p>
    <w:p>
      <w:pPr>
        <w:pStyle w:val="2"/>
        <w:ind w:left="0" w:leftChars="0" w:firstLine="643" w:firstLineChars="200"/>
        <w:rPr>
          <w:rFonts w:ascii="仿宋" w:hAnsi="仿宋" w:eastAsia="仿宋"/>
          <w:b/>
          <w:bCs/>
        </w:rPr>
      </w:pPr>
      <w:r>
        <w:rPr>
          <w:rFonts w:hint="eastAsia" w:ascii="仿宋" w:hAnsi="仿宋" w:eastAsia="仿宋"/>
          <w:b/>
          <w:bCs/>
        </w:rPr>
        <w:t>五、评标方法</w:t>
      </w:r>
    </w:p>
    <w:p>
      <w:pPr>
        <w:pStyle w:val="2"/>
        <w:ind w:left="0" w:leftChars="0" w:firstLine="640" w:firstLineChars="200"/>
        <w:rPr>
          <w:rFonts w:ascii="仿宋" w:hAnsi="仿宋" w:eastAsia="仿宋"/>
        </w:rPr>
      </w:pPr>
      <w:r>
        <w:rPr>
          <w:rFonts w:hint="eastAsia" w:ascii="仿宋" w:hAnsi="仿宋" w:eastAsia="仿宋"/>
        </w:rPr>
        <w:t>采取满足三家以上有效投标单位，招标人组织评标小组，采用经评审的最低价法。经评审的最低价法，是指投标文件满足交易文件全部实质性要求且投标报价最低</w:t>
      </w:r>
      <w:r>
        <w:rPr>
          <w:rFonts w:hint="eastAsia" w:ascii="仿宋" w:hAnsi="仿宋" w:eastAsia="仿宋"/>
          <w:lang w:eastAsia="zh-CN"/>
        </w:rPr>
        <w:t>（</w:t>
      </w:r>
      <w:r>
        <w:rPr>
          <w:rFonts w:hint="eastAsia" w:ascii="仿宋" w:hAnsi="仿宋" w:eastAsia="仿宋"/>
          <w:lang w:val="en-US" w:eastAsia="zh-CN"/>
        </w:rPr>
        <w:t>不含税价格</w:t>
      </w:r>
      <w:bookmarkStart w:id="16" w:name="_GoBack"/>
      <w:bookmarkEnd w:id="16"/>
      <w:r>
        <w:rPr>
          <w:rFonts w:hint="eastAsia" w:ascii="仿宋" w:hAnsi="仿宋" w:eastAsia="仿宋"/>
          <w:lang w:eastAsia="zh-CN"/>
        </w:rPr>
        <w:t>）</w:t>
      </w:r>
      <w:r>
        <w:rPr>
          <w:rFonts w:hint="eastAsia" w:ascii="仿宋" w:hAnsi="仿宋" w:eastAsia="仿宋"/>
        </w:rPr>
        <w:t>的供应商为中标候选人的评标方法。</w:t>
      </w:r>
    </w:p>
    <w:p>
      <w:pPr>
        <w:pStyle w:val="2"/>
        <w:ind w:left="0" w:leftChars="0" w:firstLine="643" w:firstLineChars="200"/>
        <w:rPr>
          <w:rFonts w:ascii="仿宋" w:hAnsi="仿宋" w:eastAsia="仿宋"/>
          <w:b/>
          <w:bCs/>
        </w:rPr>
      </w:pPr>
      <w:r>
        <w:rPr>
          <w:rFonts w:hint="eastAsia" w:ascii="仿宋" w:hAnsi="仿宋" w:eastAsia="仿宋"/>
          <w:b/>
          <w:bCs/>
        </w:rPr>
        <w:t>六、公告期限、开标时间和地点</w:t>
      </w:r>
    </w:p>
    <w:p>
      <w:pPr>
        <w:pStyle w:val="2"/>
        <w:ind w:left="0" w:leftChars="0" w:firstLine="640" w:firstLineChars="200"/>
        <w:rPr>
          <w:rFonts w:ascii="仿宋" w:hAnsi="仿宋" w:eastAsia="仿宋"/>
        </w:rPr>
      </w:pPr>
      <w:r>
        <w:rPr>
          <w:rFonts w:hint="eastAsia" w:ascii="仿宋" w:hAnsi="仿宋" w:eastAsia="仿宋"/>
        </w:rPr>
        <w:t>公告期限：2023年</w:t>
      </w:r>
      <w:r>
        <w:rPr>
          <w:rFonts w:ascii="仿宋" w:hAnsi="仿宋" w:eastAsia="仿宋"/>
        </w:rPr>
        <w:t>11</w:t>
      </w:r>
      <w:r>
        <w:rPr>
          <w:rFonts w:hint="eastAsia" w:ascii="仿宋" w:hAnsi="仿宋" w:eastAsia="仿宋"/>
        </w:rPr>
        <w:t>月</w:t>
      </w:r>
      <w:r>
        <w:rPr>
          <w:rFonts w:ascii="仿宋" w:hAnsi="仿宋" w:eastAsia="仿宋"/>
        </w:rPr>
        <w:t>1</w:t>
      </w:r>
      <w:r>
        <w:rPr>
          <w:rFonts w:hint="eastAsia" w:ascii="仿宋" w:hAnsi="仿宋" w:eastAsia="仿宋"/>
        </w:rPr>
        <w:t>日至2023年</w:t>
      </w:r>
      <w:r>
        <w:rPr>
          <w:rFonts w:ascii="仿宋" w:hAnsi="仿宋" w:eastAsia="仿宋"/>
        </w:rPr>
        <w:t>11</w:t>
      </w:r>
      <w:r>
        <w:rPr>
          <w:rFonts w:hint="eastAsia" w:ascii="仿宋" w:hAnsi="仿宋" w:eastAsia="仿宋"/>
        </w:rPr>
        <w:t>月6日9时止。</w:t>
      </w:r>
    </w:p>
    <w:p>
      <w:pPr>
        <w:pStyle w:val="2"/>
        <w:ind w:left="0" w:leftChars="0" w:firstLine="640" w:firstLineChars="200"/>
        <w:rPr>
          <w:rFonts w:ascii="仿宋" w:hAnsi="仿宋" w:eastAsia="仿宋"/>
        </w:rPr>
      </w:pPr>
      <w:r>
        <w:rPr>
          <w:rFonts w:hint="eastAsia" w:ascii="仿宋" w:hAnsi="仿宋" w:eastAsia="仿宋"/>
        </w:rPr>
        <w:t>开标时间：2023年</w:t>
      </w:r>
      <w:r>
        <w:rPr>
          <w:rFonts w:ascii="仿宋" w:hAnsi="仿宋" w:eastAsia="仿宋"/>
        </w:rPr>
        <w:t>11</w:t>
      </w:r>
      <w:r>
        <w:rPr>
          <w:rFonts w:hint="eastAsia" w:ascii="仿宋" w:hAnsi="仿宋" w:eastAsia="仿宋"/>
        </w:rPr>
        <w:t>月</w:t>
      </w:r>
      <w:r>
        <w:rPr>
          <w:rFonts w:ascii="仿宋" w:hAnsi="仿宋" w:eastAsia="仿宋"/>
        </w:rPr>
        <w:t>6</w:t>
      </w:r>
      <w:r>
        <w:rPr>
          <w:rFonts w:hint="eastAsia" w:ascii="仿宋" w:hAnsi="仿宋" w:eastAsia="仿宋"/>
        </w:rPr>
        <w:t>日9时。潜在投标人应在截止日期前将投标文件密封送至下文开标地点。</w:t>
      </w:r>
    </w:p>
    <w:p>
      <w:pPr>
        <w:pStyle w:val="2"/>
        <w:ind w:left="0" w:leftChars="0" w:firstLine="640" w:firstLineChars="200"/>
        <w:rPr>
          <w:rFonts w:ascii="仿宋" w:hAnsi="仿宋" w:eastAsia="仿宋"/>
        </w:rPr>
      </w:pPr>
      <w:r>
        <w:rPr>
          <w:rFonts w:hint="eastAsia" w:ascii="仿宋" w:hAnsi="仿宋" w:eastAsia="仿宋"/>
        </w:rPr>
        <w:t>开标地点：滁州市中都大道1598号城投大厦13楼会议室。</w:t>
      </w:r>
    </w:p>
    <w:p>
      <w:pPr>
        <w:pStyle w:val="2"/>
        <w:ind w:left="0" w:leftChars="0" w:firstLine="643" w:firstLineChars="200"/>
        <w:rPr>
          <w:rFonts w:ascii="仿宋" w:hAnsi="仿宋" w:eastAsia="仿宋"/>
          <w:b/>
          <w:bCs/>
        </w:rPr>
      </w:pPr>
      <w:r>
        <w:rPr>
          <w:rFonts w:hint="eastAsia" w:ascii="仿宋" w:hAnsi="仿宋" w:eastAsia="仿宋"/>
          <w:b/>
          <w:bCs/>
        </w:rPr>
        <w:t>七、投标文件内容包括：</w:t>
      </w:r>
    </w:p>
    <w:p>
      <w:pPr>
        <w:pStyle w:val="2"/>
        <w:ind w:left="0" w:leftChars="0" w:firstLine="640" w:firstLineChars="200"/>
        <w:rPr>
          <w:rFonts w:ascii="仿宋" w:hAnsi="仿宋" w:eastAsia="仿宋"/>
        </w:rPr>
      </w:pPr>
      <w:r>
        <w:rPr>
          <w:rFonts w:hint="eastAsia" w:ascii="仿宋" w:hAnsi="仿宋" w:eastAsia="仿宋"/>
        </w:rPr>
        <w:t>1.法定代表人身份证明文件和本人有效身份证(或法定代表人授权委托书和委托代理人有效身份证。</w:t>
      </w:r>
    </w:p>
    <w:p>
      <w:pPr>
        <w:pStyle w:val="2"/>
        <w:ind w:left="0" w:leftChars="0" w:firstLine="640" w:firstLineChars="200"/>
        <w:rPr>
          <w:rFonts w:ascii="仿宋" w:hAnsi="仿宋" w:eastAsia="仿宋"/>
        </w:rPr>
      </w:pPr>
      <w:r>
        <w:rPr>
          <w:rFonts w:hint="eastAsia" w:ascii="仿宋" w:hAnsi="仿宋" w:eastAsia="仿宋"/>
        </w:rPr>
        <w:t>2.企业营业执照副本、组织机构代码证（或三证合一的营业执照副本）。</w:t>
      </w:r>
    </w:p>
    <w:p>
      <w:pPr>
        <w:pStyle w:val="2"/>
        <w:ind w:left="0" w:leftChars="0" w:firstLine="640" w:firstLineChars="200"/>
        <w:rPr>
          <w:rFonts w:ascii="仿宋" w:hAnsi="仿宋" w:eastAsia="仿宋"/>
        </w:rPr>
      </w:pPr>
      <w:r>
        <w:rPr>
          <w:rFonts w:hint="eastAsia" w:ascii="仿宋" w:hAnsi="仿宋" w:eastAsia="仿宋"/>
        </w:rPr>
        <w:t>3.诚信投标承诺书（见附件1）。</w:t>
      </w:r>
    </w:p>
    <w:p>
      <w:pPr>
        <w:pStyle w:val="2"/>
        <w:ind w:left="0" w:leftChars="0" w:firstLine="640" w:firstLineChars="200"/>
        <w:rPr>
          <w:rFonts w:ascii="仿宋" w:hAnsi="仿宋" w:eastAsia="仿宋"/>
        </w:rPr>
      </w:pPr>
      <w:r>
        <w:rPr>
          <w:rFonts w:hint="eastAsia" w:ascii="仿宋" w:hAnsi="仿宋" w:eastAsia="仿宋"/>
        </w:rPr>
        <w:t>4.报价清单（见附件2）。</w:t>
      </w:r>
    </w:p>
    <w:p>
      <w:pPr>
        <w:pStyle w:val="2"/>
        <w:ind w:left="0" w:leftChars="0" w:firstLine="643" w:firstLineChars="200"/>
        <w:rPr>
          <w:rFonts w:ascii="仿宋" w:hAnsi="仿宋" w:eastAsia="仿宋"/>
          <w:b/>
          <w:bCs/>
        </w:rPr>
      </w:pPr>
      <w:r>
        <w:rPr>
          <w:rFonts w:hint="eastAsia" w:ascii="仿宋" w:hAnsi="仿宋" w:eastAsia="仿宋"/>
          <w:b/>
          <w:bCs/>
        </w:rPr>
        <w:t>八、投标文件的装订与密封：</w:t>
      </w:r>
    </w:p>
    <w:p>
      <w:pPr>
        <w:pStyle w:val="2"/>
        <w:ind w:left="0" w:leftChars="0" w:firstLine="640" w:firstLineChars="200"/>
        <w:rPr>
          <w:rFonts w:ascii="仿宋" w:hAnsi="仿宋" w:eastAsia="仿宋"/>
        </w:rPr>
      </w:pPr>
      <w:r>
        <w:rPr>
          <w:rFonts w:hint="eastAsia" w:ascii="仿宋" w:hAnsi="仿宋" w:eastAsia="仿宋"/>
        </w:rPr>
        <w:t>投标文件资料装订成册，投标文件为正本1份、副本1份。资信文件与商务报价文件应分别装袋密封，正本、副本密封于一袋内，均需加盖公章，投标文件须密封，并在封条（见附件1）上加盖投标人公章，否则作无效标处理。</w:t>
      </w:r>
    </w:p>
    <w:p>
      <w:pPr>
        <w:pStyle w:val="2"/>
        <w:ind w:left="0" w:leftChars="0" w:firstLine="643" w:firstLineChars="200"/>
        <w:rPr>
          <w:rFonts w:ascii="仿宋" w:hAnsi="仿宋" w:eastAsia="仿宋"/>
          <w:b/>
          <w:bCs/>
        </w:rPr>
      </w:pPr>
      <w:r>
        <w:rPr>
          <w:rFonts w:hint="eastAsia" w:ascii="仿宋" w:hAnsi="仿宋" w:eastAsia="仿宋"/>
          <w:b/>
          <w:bCs/>
        </w:rPr>
        <w:t>九、投标保证金：本项目不收取。</w:t>
      </w:r>
    </w:p>
    <w:p>
      <w:pPr>
        <w:pStyle w:val="2"/>
        <w:ind w:left="0" w:leftChars="0" w:firstLine="643" w:firstLineChars="200"/>
        <w:rPr>
          <w:rFonts w:ascii="仿宋" w:hAnsi="仿宋" w:eastAsia="仿宋"/>
          <w:b/>
          <w:bCs/>
        </w:rPr>
      </w:pPr>
      <w:r>
        <w:rPr>
          <w:rFonts w:hint="eastAsia" w:ascii="仿宋" w:hAnsi="仿宋" w:eastAsia="仿宋"/>
          <w:b/>
          <w:bCs/>
        </w:rPr>
        <w:t>十、履约保证金：本项目不采用。</w:t>
      </w:r>
    </w:p>
    <w:p>
      <w:pPr>
        <w:pStyle w:val="2"/>
        <w:ind w:left="0" w:leftChars="0" w:firstLine="643" w:firstLineChars="200"/>
        <w:rPr>
          <w:rFonts w:ascii="仿宋" w:hAnsi="仿宋" w:eastAsia="仿宋"/>
          <w:b/>
          <w:bCs/>
        </w:rPr>
      </w:pPr>
      <w:r>
        <w:rPr>
          <w:rFonts w:hint="eastAsia" w:ascii="仿宋" w:hAnsi="仿宋" w:eastAsia="仿宋"/>
          <w:b/>
          <w:bCs/>
        </w:rPr>
        <w:t>十一、联系人及联系方式</w:t>
      </w:r>
    </w:p>
    <w:p>
      <w:pPr>
        <w:pStyle w:val="2"/>
        <w:ind w:left="0" w:leftChars="0" w:firstLine="640" w:firstLineChars="200"/>
        <w:rPr>
          <w:rFonts w:ascii="仿宋" w:hAnsi="仿宋" w:eastAsia="仿宋"/>
        </w:rPr>
      </w:pPr>
      <w:r>
        <w:rPr>
          <w:rFonts w:hint="eastAsia" w:ascii="仿宋" w:hAnsi="仿宋" w:eastAsia="仿宋"/>
        </w:rPr>
        <w:t>联系人：黄工，联系方式：18900501257</w:t>
      </w:r>
    </w:p>
    <w:p>
      <w:pPr>
        <w:pStyle w:val="2"/>
        <w:ind w:left="0" w:leftChars="0" w:firstLine="643" w:firstLineChars="200"/>
        <w:rPr>
          <w:rFonts w:ascii="仿宋" w:hAnsi="仿宋" w:eastAsia="仿宋"/>
          <w:b/>
          <w:bCs/>
        </w:rPr>
      </w:pPr>
      <w:r>
        <w:rPr>
          <w:rFonts w:hint="eastAsia" w:ascii="仿宋" w:hAnsi="仿宋" w:eastAsia="仿宋"/>
          <w:b/>
          <w:bCs/>
        </w:rPr>
        <w:t>十二、重要说明</w:t>
      </w:r>
    </w:p>
    <w:p>
      <w:pPr>
        <w:pStyle w:val="2"/>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逾期送达或者未送达指定地点的参选文件，招标人不予受理。</w:t>
      </w:r>
    </w:p>
    <w:p>
      <w:pPr>
        <w:pStyle w:val="2"/>
        <w:ind w:left="0" w:leftChars="0" w:firstLine="640" w:firstLineChars="200"/>
        <w:rPr>
          <w:rFonts w:ascii="仿宋" w:hAnsi="仿宋" w:eastAsia="仿宋"/>
        </w:rPr>
      </w:pPr>
      <w:r>
        <w:rPr>
          <w:rFonts w:ascii="仿宋" w:hAnsi="仿宋" w:eastAsia="仿宋"/>
        </w:rPr>
        <w:t>2.</w:t>
      </w:r>
      <w:r>
        <w:rPr>
          <w:rFonts w:hint="eastAsia" w:ascii="仿宋" w:hAnsi="仿宋" w:eastAsia="仿宋"/>
        </w:rPr>
        <w:t>中选人需根据招标人确认的内容执行。</w:t>
      </w:r>
    </w:p>
    <w:p>
      <w:pPr>
        <w:pStyle w:val="2"/>
        <w:ind w:left="0" w:leftChars="0" w:firstLine="640" w:firstLineChars="200"/>
        <w:rPr>
          <w:rFonts w:ascii="仿宋" w:hAnsi="仿宋" w:eastAsia="仿宋"/>
        </w:rPr>
      </w:pPr>
      <w:r>
        <w:rPr>
          <w:rFonts w:ascii="仿宋" w:hAnsi="仿宋" w:eastAsia="仿宋"/>
        </w:rPr>
        <w:t>3.</w:t>
      </w:r>
      <w:r>
        <w:rPr>
          <w:rFonts w:hint="eastAsia" w:ascii="仿宋" w:hAnsi="仿宋" w:eastAsia="仿宋"/>
        </w:rPr>
        <w:t>中选人需自行解决物流、运输等。</w:t>
      </w:r>
    </w:p>
    <w:p>
      <w:pPr>
        <w:pStyle w:val="2"/>
        <w:ind w:left="0" w:leftChars="0" w:firstLine="640" w:firstLineChars="200"/>
        <w:rPr>
          <w:rFonts w:ascii="仿宋" w:hAnsi="仿宋" w:eastAsia="仿宋"/>
        </w:rPr>
      </w:pPr>
      <w:r>
        <w:rPr>
          <w:rFonts w:ascii="仿宋" w:hAnsi="仿宋" w:eastAsia="仿宋"/>
        </w:rPr>
        <w:t>4.</w:t>
      </w:r>
      <w:r>
        <w:rPr>
          <w:rFonts w:hint="eastAsia" w:ascii="仿宋" w:hAnsi="仿宋" w:eastAsia="仿宋"/>
        </w:rPr>
        <w:t>中选人采购完毕后，须经招标人验收通过。</w:t>
      </w:r>
    </w:p>
    <w:p>
      <w:pPr>
        <w:pStyle w:val="2"/>
        <w:ind w:left="0" w:leftChars="0" w:firstLine="640" w:firstLineChars="200"/>
        <w:rPr>
          <w:rFonts w:ascii="仿宋" w:hAnsi="仿宋" w:eastAsia="仿宋"/>
        </w:rPr>
      </w:pPr>
    </w:p>
    <w:p/>
    <w:p>
      <w:pPr>
        <w:pStyle w:val="2"/>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2"/>
        <w:ind w:left="0" w:leftChars="0" w:firstLine="640" w:firstLineChars="200"/>
        <w:rPr>
          <w:rFonts w:ascii="仿宋" w:hAnsi="仿宋" w:eastAsia="仿宋"/>
        </w:rPr>
      </w:pPr>
      <w:r>
        <w:rPr>
          <w:rFonts w:hint="eastAsia" w:ascii="仿宋" w:hAnsi="仿宋" w:eastAsia="仿宋"/>
        </w:rPr>
        <w:t xml:space="preserve">                                2023年</w:t>
      </w:r>
      <w:r>
        <w:rPr>
          <w:rFonts w:hint="eastAsia" w:ascii="仿宋" w:hAnsi="仿宋" w:eastAsia="仿宋"/>
          <w:lang w:val="en-US" w:eastAsia="zh-CN"/>
        </w:rPr>
        <w:t>11</w:t>
      </w:r>
      <w:r>
        <w:rPr>
          <w:rFonts w:hint="eastAsia" w:ascii="仿宋" w:hAnsi="仿宋" w:eastAsia="仿宋"/>
        </w:rPr>
        <w:t>月1日</w:t>
      </w:r>
    </w:p>
    <w:p>
      <w:pPr>
        <w:pStyle w:val="2"/>
      </w:pPr>
    </w:p>
    <w:p/>
    <w:p>
      <w:pPr>
        <w:pStyle w:val="2"/>
      </w:pPr>
    </w:p>
    <w:p/>
    <w:p>
      <w:pPr>
        <w:pStyle w:val="2"/>
      </w:pPr>
    </w:p>
    <w:p/>
    <w:p>
      <w:pPr>
        <w:pStyle w:val="2"/>
      </w:pPr>
    </w:p>
    <w:p/>
    <w:p>
      <w:pPr>
        <w:pStyle w:val="8"/>
      </w:pPr>
      <w:r>
        <w:rPr>
          <w:rFonts w:hint="eastAsia"/>
        </w:rPr>
        <w:t>附件1</w:t>
      </w:r>
    </w:p>
    <w:p>
      <w:pPr>
        <w:pStyle w:val="8"/>
      </w:pPr>
    </w:p>
    <w:p>
      <w:pPr>
        <w:jc w:val="center"/>
        <w:rPr>
          <w:rFonts w:ascii="宋体" w:hAnsi="宋体" w:cs="宋体"/>
          <w:bCs/>
          <w:sz w:val="28"/>
          <w:szCs w:val="28"/>
        </w:rPr>
      </w:pPr>
      <w:r>
        <w:rPr>
          <w:rFonts w:hint="eastAsia" w:ascii="宋体" w:hAnsi="宋体" w:cs="宋体"/>
          <w:bCs/>
          <w:sz w:val="28"/>
          <w:szCs w:val="28"/>
          <w:u w:val="single"/>
        </w:rPr>
        <w:t xml:space="preserve">                    </w:t>
      </w:r>
      <w:bookmarkStart w:id="0" w:name="_Toc12389"/>
      <w:bookmarkStart w:id="1" w:name="_Toc18692"/>
      <w:r>
        <w:rPr>
          <w:rFonts w:hint="eastAsia" w:ascii="宋体" w:hAnsi="宋体" w:cs="宋体"/>
          <w:bCs/>
          <w:sz w:val="28"/>
          <w:szCs w:val="28"/>
        </w:rPr>
        <w:t>项目名称</w:t>
      </w:r>
      <w:bookmarkEnd w:id="0"/>
      <w:bookmarkEnd w:id="1"/>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2" w:name="_Toc1854"/>
      <w:bookmarkStart w:id="3" w:name="_Toc29089"/>
      <w:r>
        <w:rPr>
          <w:rFonts w:hint="eastAsia" w:ascii="宋体" w:hAnsi="宋体" w:cs="宋体"/>
          <w:bCs/>
          <w:sz w:val="28"/>
          <w:szCs w:val="28"/>
        </w:rPr>
        <w:t>（投标文件一）</w:t>
      </w:r>
      <w:bookmarkEnd w:id="2"/>
      <w:bookmarkEnd w:id="3"/>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1"/>
        <w:ind w:left="420" w:firstLine="560"/>
        <w:rPr>
          <w:rFonts w:hAnsi="宋体" w:cs="宋体"/>
          <w:bCs/>
          <w:sz w:val="28"/>
          <w:szCs w:val="28"/>
        </w:rPr>
      </w:pPr>
    </w:p>
    <w:p/>
    <w:p>
      <w:pPr>
        <w:spacing w:line="360" w:lineRule="auto"/>
        <w:jc w:val="center"/>
        <w:rPr>
          <w:rFonts w:ascii="宋体" w:hAnsi="宋体" w:cs="宋体"/>
          <w:bCs/>
          <w:sz w:val="28"/>
          <w:szCs w:val="28"/>
          <w:u w:val="single"/>
        </w:rPr>
      </w:pPr>
      <w:bookmarkStart w:id="4" w:name="_Toc19766"/>
      <w:bookmarkStart w:id="5" w:name="_Toc27793"/>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bookmarkEnd w:id="4"/>
      <w:bookmarkEnd w:id="5"/>
    </w:p>
    <w:p>
      <w:pPr>
        <w:spacing w:line="360" w:lineRule="auto"/>
        <w:jc w:val="center"/>
        <w:rPr>
          <w:rFonts w:ascii="宋体" w:hAnsi="宋体" w:cs="宋体"/>
          <w:bCs/>
          <w:sz w:val="28"/>
          <w:szCs w:val="28"/>
        </w:rPr>
      </w:pPr>
      <w:bookmarkStart w:id="6" w:name="_Toc17049"/>
      <w:bookmarkStart w:id="7" w:name="_Toc9255"/>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bookmarkEnd w:id="6"/>
      <w:bookmarkEnd w:id="7"/>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bookmarkStart w:id="8" w:name="_Toc15461"/>
      <w:bookmarkStart w:id="9" w:name="_Toc19368"/>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bookmarkEnd w:id="8"/>
      <w:bookmarkEnd w:id="9"/>
    </w:p>
    <w:p>
      <w:pPr>
        <w:spacing w:line="720" w:lineRule="auto"/>
        <w:jc w:val="center"/>
        <w:rPr>
          <w:rFonts w:ascii="宋体" w:hAnsi="宋体" w:cs="宋体"/>
          <w:b/>
          <w:sz w:val="24"/>
        </w:rPr>
      </w:pPr>
    </w:p>
    <w:p>
      <w:pPr>
        <w:pageBreakBefore/>
        <w:ind w:firstLine="4216" w:firstLineChars="1400"/>
        <w:rPr>
          <w:rFonts w:ascii="宋体" w:hAnsi="宋体" w:cs="宋体"/>
          <w:b/>
          <w:sz w:val="30"/>
          <w:szCs w:val="30"/>
        </w:rPr>
      </w:pPr>
      <w:bookmarkStart w:id="10" w:name="_Toc2203"/>
      <w:bookmarkStart w:id="11" w:name="_Toc3397"/>
      <w:r>
        <w:rPr>
          <w:rFonts w:hint="eastAsia" w:ascii="宋体" w:hAnsi="宋体" w:cs="宋体"/>
          <w:b/>
          <w:sz w:val="30"/>
          <w:szCs w:val="30"/>
        </w:rPr>
        <w:t>目   录</w:t>
      </w:r>
      <w:bookmarkEnd w:id="10"/>
      <w:bookmarkEnd w:id="11"/>
    </w:p>
    <w:p>
      <w:pPr>
        <w:spacing w:line="440" w:lineRule="exact"/>
        <w:ind w:firstLine="420" w:firstLineChars="200"/>
        <w:rPr>
          <w:rFonts w:ascii="宋体" w:hAnsi="Times New Roman"/>
          <w:szCs w:val="21"/>
        </w:rPr>
      </w:pPr>
      <w:r>
        <w:rPr>
          <w:rFonts w:hint="eastAsia" w:ascii="宋体" w:hAnsi="Times New Roman"/>
          <w:szCs w:val="21"/>
        </w:rPr>
        <w:t>（1）法人代表身份证明及其有效身份证（或法人代表授权委托书及其有效身份证）；</w:t>
      </w:r>
      <w:r>
        <w:rPr>
          <w:rFonts w:ascii="宋体" w:hAnsi="Times New Roman"/>
          <w:szCs w:val="21"/>
        </w:rPr>
        <w:t xml:space="preserve"> </w:t>
      </w:r>
    </w:p>
    <w:p>
      <w:pPr>
        <w:spacing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line="440" w:lineRule="exact"/>
        <w:ind w:firstLine="420" w:firstLineChars="200"/>
        <w:rPr>
          <w:rFonts w:ascii="宋体" w:hAnsi="Times New Roman"/>
          <w:szCs w:val="21"/>
        </w:rPr>
      </w:pPr>
      <w:r>
        <w:rPr>
          <w:rFonts w:hint="eastAsia" w:ascii="宋体" w:hAnsi="Times New Roman"/>
          <w:szCs w:val="21"/>
        </w:rPr>
        <w:t>（3）诚信投标承诺书；</w:t>
      </w:r>
    </w:p>
    <w:p>
      <w:pPr>
        <w:spacing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4"/>
        <w:spacing w:line="440" w:lineRule="exact"/>
      </w:pPr>
    </w:p>
    <w:p>
      <w:pPr>
        <w:spacing w:line="440" w:lineRule="exact"/>
        <w:ind w:firstLine="420" w:firstLineChars="200"/>
        <w:jc w:val="left"/>
        <w:rPr>
          <w:rFonts w:ascii="宋体" w:hAnsi="宋体" w:cs="宋体"/>
          <w:bCs/>
          <w:szCs w:val="21"/>
        </w:rPr>
      </w:pPr>
    </w:p>
    <w:p>
      <w:pPr>
        <w:spacing w:line="480" w:lineRule="auto"/>
        <w:rPr>
          <w:rFonts w:ascii="宋体" w:hAnsi="宋体" w:cs="宋体"/>
          <w:bCs/>
          <w:szCs w:val="21"/>
        </w:rPr>
      </w:pPr>
    </w:p>
    <w:p>
      <w:pPr>
        <w:pStyle w:val="11"/>
        <w:ind w:left="420" w:firstLine="420"/>
        <w:rPr>
          <w:rFonts w:hAnsi="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9"/>
        <w:rPr>
          <w:rFonts w:ascii="宋体" w:hAnsi="宋体" w:eastAsia="宋体" w:cs="宋体"/>
          <w:bCs/>
          <w:szCs w:val="21"/>
        </w:rPr>
      </w:pPr>
    </w:p>
    <w:p>
      <w:pPr>
        <w:pStyle w:val="8"/>
      </w:pPr>
    </w:p>
    <w:p/>
    <w:p>
      <w:pPr>
        <w:pStyle w:val="2"/>
      </w:pPr>
    </w:p>
    <w:p/>
    <w:p>
      <w:pPr>
        <w:pStyle w:val="2"/>
      </w:pPr>
    </w:p>
    <w:p>
      <w:pPr>
        <w:spacing w:line="360" w:lineRule="auto"/>
        <w:jc w:val="center"/>
        <w:rPr>
          <w:rFonts w:ascii="宋体"/>
          <w:b/>
          <w:sz w:val="28"/>
          <w:szCs w:val="28"/>
        </w:rPr>
      </w:pPr>
      <w:r>
        <w:rPr>
          <w:rFonts w:hint="eastAsia"/>
          <w:b/>
          <w:sz w:val="28"/>
          <w:szCs w:val="28"/>
        </w:rPr>
        <w:t>法定代表人身份证明或授权委托书</w:t>
      </w:r>
    </w:p>
    <w:p>
      <w:pPr>
        <w:pStyle w:val="21"/>
        <w:spacing w:before="312" w:beforeLines="100" w:after="312" w:afterLines="10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line="480" w:lineRule="exact"/>
        <w:ind w:firstLine="840" w:firstLineChars="400"/>
        <w:rPr>
          <w:rFonts w:ascii="宋体" w:hAnsi="宋体"/>
          <w:szCs w:val="21"/>
        </w:rPr>
      </w:pPr>
      <w:r>
        <w:rPr>
          <w:rFonts w:hint="eastAsia" w:ascii="宋体" w:hAnsi="宋体"/>
          <w:szCs w:val="21"/>
        </w:rPr>
        <w:t>特此证明。</w:t>
      </w:r>
    </w:p>
    <w:p>
      <w:pPr>
        <w:spacing w:line="360" w:lineRule="auto"/>
        <w:jc w:val="left"/>
        <w:rPr>
          <w:rFonts w:ascii="宋体" w:hAnsi="宋体"/>
          <w:szCs w:val="21"/>
        </w:rPr>
      </w:pPr>
    </w:p>
    <w:p>
      <w:pPr>
        <w:pStyle w:val="3"/>
        <w:numPr>
          <w:ilvl w:val="0"/>
          <w:numId w:val="0"/>
        </w:numPr>
        <w:rPr>
          <w:szCs w:val="21"/>
        </w:rPr>
      </w:pPr>
      <w:r>
        <w:rPr>
          <w:rFonts w:hint="eastAsia"/>
          <w:szCs w:val="21"/>
        </w:rPr>
        <w:t xml:space="preserve">      </w:t>
      </w:r>
    </w:p>
    <w:p>
      <w:pPr>
        <w:spacing w:line="360" w:lineRule="auto"/>
        <w:ind w:firstLine="3045" w:firstLineChars="1450"/>
        <w:rPr>
          <w:rFonts w:ascii="宋体" w:hAnsi="宋体"/>
          <w:szCs w:val="21"/>
        </w:rPr>
      </w:pPr>
    </w:p>
    <w:p>
      <w:pPr>
        <w:spacing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line="360" w:lineRule="auto"/>
        <w:rPr>
          <w:rFonts w:ascii="宋体" w:hAnsi="宋体"/>
          <w:szCs w:val="21"/>
        </w:rPr>
      </w:pPr>
      <w:r>
        <w:rPr>
          <w:rFonts w:hint="eastAsia" w:ascii="宋体" w:hAnsi="宋体"/>
          <w:szCs w:val="21"/>
        </w:rPr>
        <w:t xml:space="preserve">                                        年    月     日</w:t>
      </w: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pStyle w:val="2"/>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line="480" w:lineRule="exact"/>
        <w:ind w:firstLine="2203" w:firstLineChars="1045"/>
        <w:jc w:val="left"/>
        <w:rPr>
          <w:rFonts w:ascii="宋体" w:hAnsi="宋体"/>
          <w:b/>
          <w:szCs w:val="21"/>
        </w:rPr>
      </w:pPr>
    </w:p>
    <w:p>
      <w:pPr>
        <w:spacing w:before="312" w:beforeLines="100" w:after="312" w:afterLines="100"/>
        <w:jc w:val="center"/>
        <w:rPr>
          <w:rFonts w:ascii="宋体" w:hAnsi="宋体"/>
          <w:b/>
          <w:szCs w:val="21"/>
        </w:rPr>
      </w:pPr>
      <w:bookmarkStart w:id="12" w:name="OLE_LINK29"/>
      <w:r>
        <w:rPr>
          <w:rFonts w:hint="eastAsia" w:ascii="宋体" w:hAnsi="宋体"/>
          <w:b/>
          <w:szCs w:val="21"/>
        </w:rPr>
        <w:t>2、授权委托书</w:t>
      </w:r>
    </w:p>
    <w:p>
      <w:pPr>
        <w:spacing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ascii="宋体" w:hAnsi="宋体"/>
          <w:szCs w:val="21"/>
        </w:rPr>
        <w:t>(</w:t>
      </w:r>
      <w:r>
        <w:rPr>
          <w:rFonts w:hint="eastAsia" w:ascii="宋体" w:hAnsi="宋体"/>
          <w:szCs w:val="21"/>
        </w:rPr>
        <w:t>项目名称）征集响应文件，全权处理与该项目响应、评审答疑、签订合同以及与合同执行有关的一切事务，其法律后果由我方承担。</w:t>
      </w:r>
    </w:p>
    <w:p>
      <w:pPr>
        <w:spacing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line="520" w:lineRule="exact"/>
        <w:ind w:firstLine="420" w:firstLineChars="200"/>
        <w:rPr>
          <w:rFonts w:ascii="宋体" w:hAnsi="宋体"/>
          <w:szCs w:val="21"/>
        </w:rPr>
      </w:pPr>
      <w:r>
        <w:rPr>
          <w:rFonts w:hint="eastAsia" w:ascii="宋体" w:hAnsi="宋体"/>
          <w:szCs w:val="21"/>
        </w:rPr>
        <w:t>代理人无转委托权。</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r>
        <w:rPr>
          <w:rFonts w:hint="eastAsia" w:ascii="宋体" w:hAnsi="宋体"/>
          <w:szCs w:val="21"/>
        </w:rPr>
        <w:t>附：法定代表人身份证明复印件</w:t>
      </w:r>
    </w:p>
    <w:p>
      <w:pPr>
        <w:spacing w:line="520" w:lineRule="exact"/>
        <w:ind w:firstLine="840" w:firstLineChars="400"/>
        <w:rPr>
          <w:rFonts w:ascii="宋体" w:hAnsi="宋体"/>
          <w:szCs w:val="21"/>
        </w:rPr>
      </w:pPr>
      <w:r>
        <w:rPr>
          <w:rFonts w:hint="eastAsia" w:ascii="宋体" w:hAnsi="宋体"/>
          <w:szCs w:val="21"/>
        </w:rPr>
        <w:t>委托代理人身份证明复印件</w:t>
      </w: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520" w:lineRule="exact"/>
        <w:ind w:firstLine="420" w:firstLineChars="200"/>
        <w:rPr>
          <w:rFonts w:ascii="宋体" w:hAnsi="宋体"/>
          <w:szCs w:val="21"/>
        </w:rPr>
      </w:pPr>
    </w:p>
    <w:p>
      <w:pPr>
        <w:spacing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line="440" w:lineRule="exact"/>
        <w:ind w:firstLine="2205" w:firstLineChars="1050"/>
        <w:rPr>
          <w:rFonts w:ascii="宋体" w:hAnsi="宋体"/>
          <w:szCs w:val="21"/>
        </w:rPr>
      </w:pPr>
      <w:r>
        <w:rPr>
          <w:rFonts w:hint="eastAsia" w:ascii="宋体" w:hAnsi="宋体"/>
          <w:szCs w:val="21"/>
        </w:rPr>
        <w:t>法定代表人（身份证号码）:</w:t>
      </w:r>
      <w:r>
        <w:rPr>
          <w:rFonts w:ascii="宋体" w:hAnsi="宋体"/>
          <w:szCs w:val="21"/>
        </w:rPr>
        <w:t xml:space="preserve">               </w:t>
      </w:r>
      <w:r>
        <w:rPr>
          <w:rFonts w:hint="eastAsia" w:ascii="宋体" w:hAnsi="宋体"/>
          <w:szCs w:val="21"/>
        </w:rPr>
        <w:t>（签字或盖章）</w:t>
      </w:r>
    </w:p>
    <w:p>
      <w:pPr>
        <w:pStyle w:val="5"/>
        <w:spacing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line="440" w:lineRule="exact"/>
        <w:ind w:left="2274" w:leftChars="1083"/>
        <w:rPr>
          <w:rFonts w:ascii="宋体" w:hAnsi="宋体"/>
          <w:szCs w:val="21"/>
        </w:rPr>
      </w:pPr>
      <w:r>
        <w:rPr>
          <w:rFonts w:hint="eastAsia" w:ascii="宋体" w:hAnsi="宋体"/>
          <w:szCs w:val="21"/>
        </w:rPr>
        <w:t>委托代理人（身份证号码）:</w:t>
      </w:r>
      <w:r>
        <w:rPr>
          <w:rFonts w:ascii="宋体" w:hAnsi="宋体"/>
          <w:szCs w:val="21"/>
        </w:rPr>
        <w:t xml:space="preserve"> </w:t>
      </w:r>
      <w:r>
        <w:rPr>
          <w:rFonts w:hint="eastAsia" w:ascii="宋体" w:hAnsi="宋体"/>
          <w:szCs w:val="21"/>
        </w:rPr>
        <w:t xml:space="preserve">              （签字）</w:t>
      </w:r>
    </w:p>
    <w:p>
      <w:pPr>
        <w:spacing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600" w:lineRule="exact"/>
        <w:ind w:firstLine="420" w:firstLineChars="200"/>
        <w:rPr>
          <w:rFonts w:ascii="宋体" w:hAnsi="宋体"/>
          <w:szCs w:val="21"/>
        </w:rPr>
      </w:pPr>
    </w:p>
    <w:p>
      <w:pPr>
        <w:pStyle w:val="2"/>
      </w:pPr>
    </w:p>
    <w:p>
      <w:pPr>
        <w:spacing w:line="600" w:lineRule="exact"/>
        <w:ind w:firstLine="420" w:firstLineChars="200"/>
        <w:rPr>
          <w:rFonts w:ascii="宋体" w:hAnsi="宋体"/>
          <w:szCs w:val="21"/>
        </w:rPr>
      </w:pPr>
    </w:p>
    <w:p/>
    <w:bookmarkEnd w:id="12"/>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b/>
          <w:color w:val="000000"/>
          <w:sz w:val="28"/>
          <w:szCs w:val="28"/>
        </w:rPr>
      </w:pPr>
      <w:r>
        <w:rPr>
          <w:rFonts w:hint="eastAsia"/>
          <w:b/>
          <w:color w:val="000000"/>
          <w:sz w:val="28"/>
          <w:szCs w:val="28"/>
        </w:rPr>
        <w:t>诚信投标承诺书  </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一、将遵循公</w:t>
      </w:r>
      <w:bookmarkStart w:id="13" w:name="_Toc506107356"/>
      <w:bookmarkStart w:id="14" w:name="_Toc503196197"/>
      <w:bookmarkStart w:id="15" w:name="_Toc26598"/>
      <w:r>
        <w:rPr>
          <w:rFonts w:hint="eastAsia" w:ascii="微软雅黑" w:hAnsi="微软雅黑" w:eastAsia="微软雅黑" w:cs="微软雅黑"/>
          <w:color w:val="000000"/>
          <w:szCs w:val="21"/>
        </w:rPr>
        <w:t>开、公正和诚实信用</w:t>
      </w:r>
      <w:bookmarkEnd w:id="13"/>
      <w:bookmarkEnd w:id="14"/>
      <w:r>
        <w:rPr>
          <w:rFonts w:hint="eastAsia" w:ascii="微软雅黑" w:hAnsi="微软雅黑" w:eastAsia="微软雅黑" w:cs="微软雅黑"/>
          <w:color w:val="000000"/>
          <w:szCs w:val="21"/>
        </w:rPr>
        <w:t>的</w:t>
      </w:r>
      <w:bookmarkEnd w:id="15"/>
      <w:r>
        <w:rPr>
          <w:rFonts w:hint="eastAsia" w:ascii="微软雅黑" w:hAnsi="微软雅黑" w:eastAsia="微软雅黑" w:cs="微软雅黑"/>
          <w:color w:val="000000"/>
          <w:szCs w:val="21"/>
        </w:rPr>
        <w:t>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九、保证中标之后，按照投标文件承诺派驻管理人员及投入机械设备，如有违反，同意接受建设单位违约处罚；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十四、我公司拟任项目经理（建造师）不是投标截止时间前六个月内在滁州市区域内办理过项目经理（建造师）变更备案手续的原项目经理（建造师）。</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line="360" w:lineRule="auto"/>
        <w:rPr>
          <w:rFonts w:ascii="宋体" w:hAnsi="宋体" w:cs="宋体"/>
          <w:bCs/>
          <w:sz w:val="28"/>
          <w:szCs w:val="28"/>
        </w:rPr>
      </w:pPr>
    </w:p>
    <w:p>
      <w:pPr>
        <w:pStyle w:val="11"/>
        <w:ind w:left="420" w:firstLine="560"/>
        <w:rPr>
          <w:rFonts w:hAnsi="宋体" w:cs="宋体"/>
          <w:bCs/>
          <w:sz w:val="28"/>
          <w:szCs w:val="28"/>
        </w:rPr>
      </w:pPr>
    </w:p>
    <w:p/>
    <w:p>
      <w:pPr>
        <w:spacing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line="720" w:lineRule="auto"/>
        <w:jc w:val="center"/>
        <w:rPr>
          <w:rFonts w:ascii="宋体" w:hAnsi="宋体" w:cs="宋体"/>
          <w:b/>
          <w:sz w:val="24"/>
        </w:rPr>
      </w:pPr>
    </w:p>
    <w:p>
      <w:pPr>
        <w:pStyle w:val="11"/>
        <w:ind w:left="420" w:firstLine="482"/>
        <w:rPr>
          <w:rFonts w:hAnsi="宋体" w:cs="宋体"/>
          <w:b/>
          <w:sz w:val="24"/>
          <w:szCs w:val="24"/>
        </w:rPr>
      </w:pPr>
    </w:p>
    <w:p>
      <w:pPr>
        <w:rPr>
          <w:rFonts w:ascii="宋体" w:hAnsi="宋体" w:cs="宋体"/>
          <w:b/>
          <w:sz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spacing w:line="440" w:lineRule="exact"/>
        <w:ind w:firstLine="420" w:firstLineChars="200"/>
        <w:rPr>
          <w:rFonts w:ascii="宋体" w:hAnsi="Times New Roman"/>
          <w:szCs w:val="21"/>
        </w:rPr>
      </w:pPr>
      <w:r>
        <w:rPr>
          <w:rFonts w:hint="eastAsia" w:ascii="宋体" w:hAnsi="Times New Roman"/>
          <w:szCs w:val="21"/>
        </w:rPr>
        <w:t>（1）报价清单（格式见附件</w:t>
      </w:r>
      <w:r>
        <w:rPr>
          <w:rFonts w:ascii="宋体" w:hAnsi="Times New Roman"/>
          <w:szCs w:val="21"/>
        </w:rPr>
        <w:t>2</w:t>
      </w:r>
      <w:r>
        <w:rPr>
          <w:rFonts w:hint="eastAsia" w:ascii="宋体" w:hAnsi="Times New Roman"/>
          <w:szCs w:val="21"/>
        </w:rPr>
        <w:t>）；</w:t>
      </w:r>
    </w:p>
    <w:p>
      <w:pPr>
        <w:spacing w:line="440" w:lineRule="exact"/>
        <w:ind w:firstLine="420" w:firstLineChars="200"/>
        <w:rPr>
          <w:rFonts w:ascii="宋体" w:hAnsi="Times New Roman"/>
          <w:szCs w:val="21"/>
        </w:rPr>
      </w:pPr>
      <w:r>
        <w:rPr>
          <w:rFonts w:hint="eastAsia" w:ascii="宋体" w:hAnsi="Times New Roman"/>
          <w:szCs w:val="21"/>
        </w:rPr>
        <w:t>（2）供应商认为需要提供的其他证明材料。</w:t>
      </w:r>
    </w:p>
    <w:p>
      <w:pPr>
        <w:pStyle w:val="2"/>
        <w:ind w:left="0" w:leftChars="0"/>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3"/>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lY2NiODZiOGQ4Yzk1Njc2MjY2ZGI0MWE3MTZkNzgifQ=="/>
  </w:docVars>
  <w:rsids>
    <w:rsidRoot w:val="186D08F6"/>
    <w:rsid w:val="00393440"/>
    <w:rsid w:val="003E231D"/>
    <w:rsid w:val="003F0C30"/>
    <w:rsid w:val="0040246A"/>
    <w:rsid w:val="00415D6E"/>
    <w:rsid w:val="00426CC2"/>
    <w:rsid w:val="00463C1B"/>
    <w:rsid w:val="00470CF8"/>
    <w:rsid w:val="004773AB"/>
    <w:rsid w:val="005107DE"/>
    <w:rsid w:val="0062338B"/>
    <w:rsid w:val="006532F9"/>
    <w:rsid w:val="006D06EA"/>
    <w:rsid w:val="007742A9"/>
    <w:rsid w:val="00955C0B"/>
    <w:rsid w:val="009F0BE8"/>
    <w:rsid w:val="00A45A73"/>
    <w:rsid w:val="00E24EFE"/>
    <w:rsid w:val="00E43D41"/>
    <w:rsid w:val="00F625CA"/>
    <w:rsid w:val="0BA46664"/>
    <w:rsid w:val="186D08F6"/>
    <w:rsid w:val="50A05E1B"/>
    <w:rsid w:val="680E1197"/>
    <w:rsid w:val="6A1D1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link w:val="17"/>
    <w:qFormat/>
    <w:uiPriority w:val="0"/>
    <w:pPr>
      <w:keepNext/>
      <w:keepLines/>
      <w:numPr>
        <w:ilvl w:val="1"/>
        <w:numId w:val="1"/>
      </w:numPr>
      <w:adjustRightInd w:val="0"/>
      <w:spacing w:line="400" w:lineRule="exact"/>
      <w:ind w:left="0" w:firstLine="0"/>
      <w:jc w:val="left"/>
      <w:outlineLvl w:val="1"/>
    </w:pPr>
    <w:rPr>
      <w:b/>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textAlignment w:val="baseline"/>
    </w:pPr>
    <w:rPr>
      <w:rFonts w:eastAsia="仿宋_GB2312"/>
      <w:sz w:val="32"/>
      <w:szCs w:val="32"/>
    </w:rPr>
  </w:style>
  <w:style w:type="paragraph" w:styleId="4">
    <w:name w:val="annotation text"/>
    <w:basedOn w:val="1"/>
    <w:link w:val="20"/>
    <w:unhideWhenUsed/>
    <w:qFormat/>
    <w:uiPriority w:val="0"/>
    <w:pPr>
      <w:jc w:val="left"/>
    </w:pPr>
  </w:style>
  <w:style w:type="paragraph" w:styleId="5">
    <w:name w:val="Body Text Indent"/>
    <w:basedOn w:val="1"/>
    <w:link w:val="18"/>
    <w:qFormat/>
    <w:uiPriority w:val="0"/>
    <w:pPr>
      <w:spacing w:after="120"/>
      <w:ind w:left="420" w:leftChars="200"/>
    </w:p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tabs>
        <w:tab w:val="center" w:pos="4153"/>
        <w:tab w:val="right" w:pos="8306"/>
      </w:tabs>
      <w:snapToGrid w:val="0"/>
      <w:jc w:val="center"/>
    </w:pPr>
    <w:rPr>
      <w:sz w:val="18"/>
      <w:szCs w:val="18"/>
    </w:rPr>
  </w:style>
  <w:style w:type="paragraph" w:styleId="8">
    <w:name w:val="toc 1"/>
    <w:basedOn w:val="1"/>
    <w:next w:val="1"/>
    <w:unhideWhenUsed/>
    <w:qFormat/>
    <w:uiPriority w:val="0"/>
  </w:style>
  <w:style w:type="paragraph" w:styleId="9">
    <w:name w:val="List"/>
    <w:basedOn w:val="1"/>
    <w:qFormat/>
    <w:uiPriority w:val="0"/>
    <w:pPr>
      <w:ind w:left="420" w:hanging="420"/>
    </w:pPr>
    <w:rPr>
      <w:rFonts w:ascii="Arial" w:hAnsi="Arial" w:eastAsia="楷体_GB2312"/>
      <w:sz w:val="28"/>
    </w:rPr>
  </w:style>
  <w:style w:type="paragraph" w:styleId="10">
    <w:name w:val="Normal (Web)"/>
    <w:basedOn w:val="1"/>
    <w:qFormat/>
    <w:uiPriority w:val="0"/>
    <w:pPr>
      <w:widowControl/>
      <w:spacing w:before="100" w:beforeAutospacing="1" w:after="100" w:afterAutospacing="1"/>
      <w:jc w:val="left"/>
    </w:pPr>
    <w:rPr>
      <w:rFonts w:ascii="宋体" w:hAnsi="Times New Roman" w:cs="宋体"/>
      <w:kern w:val="0"/>
      <w:sz w:val="24"/>
    </w:rPr>
  </w:style>
  <w:style w:type="paragraph" w:styleId="11">
    <w:name w:val="Body Text First Indent 2"/>
    <w:basedOn w:val="5"/>
    <w:next w:val="1"/>
    <w:link w:val="19"/>
    <w:qFormat/>
    <w:uiPriority w:val="0"/>
    <w:pPr>
      <w:spacing w:line="360" w:lineRule="auto"/>
      <w:ind w:left="200" w:firstLine="200" w:firstLineChars="200"/>
    </w:pPr>
    <w:rPr>
      <w:rFonts w:ascii="宋体"/>
      <w:szCs w:val="20"/>
    </w:rPr>
  </w:style>
  <w:style w:type="paragraph" w:styleId="14">
    <w:name w:val="List Paragraph"/>
    <w:basedOn w:val="1"/>
    <w:qFormat/>
    <w:uiPriority w:val="34"/>
    <w:pPr>
      <w:ind w:firstLine="420" w:firstLineChars="200"/>
    </w:pPr>
    <w:rPr>
      <w:szCs w:val="22"/>
    </w:rPr>
  </w:style>
  <w:style w:type="character" w:customStyle="1" w:styleId="15">
    <w:name w:val="页眉 字符"/>
    <w:basedOn w:val="13"/>
    <w:link w:val="7"/>
    <w:qFormat/>
    <w:uiPriority w:val="0"/>
    <w:rPr>
      <w:rFonts w:ascii="Calibri" w:hAnsi="Calibri" w:eastAsia="宋体" w:cs="Times New Roman"/>
      <w:kern w:val="2"/>
      <w:sz w:val="18"/>
      <w:szCs w:val="18"/>
    </w:rPr>
  </w:style>
  <w:style w:type="character" w:customStyle="1" w:styleId="16">
    <w:name w:val="页脚 字符"/>
    <w:basedOn w:val="13"/>
    <w:link w:val="6"/>
    <w:qFormat/>
    <w:uiPriority w:val="0"/>
    <w:rPr>
      <w:rFonts w:ascii="Calibri" w:hAnsi="Calibri" w:eastAsia="宋体" w:cs="Times New Roman"/>
      <w:kern w:val="2"/>
      <w:sz w:val="18"/>
      <w:szCs w:val="18"/>
    </w:rPr>
  </w:style>
  <w:style w:type="character" w:customStyle="1" w:styleId="17">
    <w:name w:val="标题 2 字符"/>
    <w:basedOn w:val="13"/>
    <w:link w:val="3"/>
    <w:qFormat/>
    <w:uiPriority w:val="0"/>
    <w:rPr>
      <w:rFonts w:ascii="Calibri" w:hAnsi="Calibri" w:eastAsia="宋体" w:cs="Times New Roman"/>
      <w:b/>
      <w:kern w:val="2"/>
      <w:sz w:val="21"/>
      <w:szCs w:val="24"/>
    </w:rPr>
  </w:style>
  <w:style w:type="character" w:customStyle="1" w:styleId="18">
    <w:name w:val="正文文本缩进 字符"/>
    <w:basedOn w:val="13"/>
    <w:link w:val="5"/>
    <w:qFormat/>
    <w:uiPriority w:val="0"/>
    <w:rPr>
      <w:rFonts w:ascii="Calibri" w:hAnsi="Calibri" w:eastAsia="宋体" w:cs="Times New Roman"/>
      <w:kern w:val="2"/>
      <w:sz w:val="21"/>
      <w:szCs w:val="24"/>
    </w:rPr>
  </w:style>
  <w:style w:type="character" w:customStyle="1" w:styleId="19">
    <w:name w:val="正文文本首行缩进 2 字符"/>
    <w:basedOn w:val="18"/>
    <w:link w:val="11"/>
    <w:qFormat/>
    <w:uiPriority w:val="0"/>
    <w:rPr>
      <w:rFonts w:ascii="宋体" w:hAnsi="Calibri" w:eastAsia="宋体" w:cs="Times New Roman"/>
      <w:kern w:val="2"/>
      <w:sz w:val="21"/>
      <w:szCs w:val="24"/>
    </w:rPr>
  </w:style>
  <w:style w:type="character" w:customStyle="1" w:styleId="20">
    <w:name w:val="批注文字 字符"/>
    <w:basedOn w:val="13"/>
    <w:link w:val="4"/>
    <w:qFormat/>
    <w:uiPriority w:val="0"/>
    <w:rPr>
      <w:rFonts w:ascii="Calibri" w:hAnsi="Calibri" w:eastAsia="宋体" w:cs="Times New Roman"/>
      <w:kern w:val="2"/>
      <w:sz w:val="21"/>
      <w:szCs w:val="24"/>
    </w:rPr>
  </w:style>
  <w:style w:type="paragraph" w:customStyle="1" w:styleId="21">
    <w:name w:val="节标题"/>
    <w:basedOn w:val="1"/>
    <w:next w:val="1"/>
    <w:qFormat/>
    <w:uiPriority w:val="0"/>
    <w:pPr>
      <w:spacing w:line="289" w:lineRule="atLeast"/>
      <w:jc w:val="center"/>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775</Words>
  <Characters>4420</Characters>
  <Lines>36</Lines>
  <Paragraphs>10</Paragraphs>
  <TotalTime>80</TotalTime>
  <ScaleCrop>false</ScaleCrop>
  <LinksUpToDate>false</LinksUpToDate>
  <CharactersWithSpaces>5185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2023-10-12T08:38:00Z</dcterms:created>
  <dc:creator>好奇害死汪</dc:creator>
  <cp:lastModifiedBy>好奇害死汪</cp:lastModifiedBy>
  <dcterms:modified xsi:type="dcterms:W3CDTF">2023-11-01T00:59:20Z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98DC21EC161C4674BDC82F3087608D91_11</vt:lpwstr>
  </property>
</Properties>
</file>